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0"/>
        </w:tabs>
        <w:overflowPunct w:val="0"/>
        <w:adjustRightInd w:val="0"/>
        <w:snapToGrid w:val="0"/>
        <w:jc w:val="left"/>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附件4</w:t>
      </w:r>
    </w:p>
    <w:p>
      <w:pPr>
        <w:tabs>
          <w:tab w:val="left" w:pos="790"/>
        </w:tabs>
        <w:overflowPunct w:val="0"/>
        <w:adjustRightInd w:val="0"/>
        <w:snapToGrid w:val="0"/>
        <w:jc w:val="left"/>
        <w:rPr>
          <w:rFonts w:hint="eastAsia" w:ascii="黑体" w:hAnsi="黑体" w:eastAsia="黑体" w:cs="黑体"/>
          <w:b w:val="0"/>
          <w:bCs w:val="0"/>
          <w:kern w:val="0"/>
          <w:sz w:val="32"/>
          <w:szCs w:val="32"/>
          <w:lang w:val="en-US" w:eastAsia="zh-CN"/>
        </w:rPr>
      </w:pPr>
      <w:bookmarkStart w:id="0" w:name="_GoBack"/>
      <w:bookmarkEnd w:id="0"/>
    </w:p>
    <w:p>
      <w:pPr>
        <w:spacing w:line="600" w:lineRule="exact"/>
        <w:jc w:val="center"/>
        <w:rPr>
          <w:rFonts w:eastAsia="方正小标宋简体"/>
          <w:b w:val="0"/>
          <w:bCs/>
          <w:sz w:val="44"/>
          <w:szCs w:val="44"/>
        </w:rPr>
      </w:pPr>
      <w:r>
        <w:rPr>
          <w:rFonts w:hint="eastAsia" w:eastAsia="方正小标宋简体"/>
          <w:b w:val="0"/>
          <w:bCs/>
          <w:sz w:val="44"/>
          <w:szCs w:val="44"/>
          <w:lang w:val="en-US" w:eastAsia="zh-CN"/>
        </w:rPr>
        <w:t>广西壮族自治区</w:t>
      </w:r>
      <w:r>
        <w:rPr>
          <w:rFonts w:eastAsia="方正小标宋简体"/>
          <w:b w:val="0"/>
          <w:bCs/>
          <w:sz w:val="44"/>
          <w:szCs w:val="44"/>
        </w:rPr>
        <w:t>食用农产品销售者</w:t>
      </w:r>
      <w:r>
        <w:rPr>
          <w:rFonts w:hint="eastAsia" w:eastAsia="方正小标宋简体"/>
          <w:b w:val="0"/>
          <w:bCs/>
          <w:sz w:val="44"/>
          <w:szCs w:val="44"/>
          <w:lang w:val="en-US" w:eastAsia="zh-CN"/>
        </w:rPr>
        <w:t>食品安全主体</w:t>
      </w:r>
      <w:r>
        <w:rPr>
          <w:rFonts w:eastAsia="方正小标宋简体"/>
          <w:b w:val="0"/>
          <w:bCs/>
          <w:sz w:val="44"/>
          <w:szCs w:val="44"/>
        </w:rPr>
        <w:t>责任清单</w:t>
      </w:r>
    </w:p>
    <w:p>
      <w:pPr>
        <w:spacing w:line="600" w:lineRule="exact"/>
        <w:jc w:val="center"/>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lang w:val="en-US" w:eastAsia="zh-CN"/>
        </w:rPr>
        <w:t>2019年版</w:t>
      </w:r>
      <w:r>
        <w:rPr>
          <w:rFonts w:hint="eastAsia" w:ascii="楷体_GB2312" w:hAnsi="楷体_GB2312" w:eastAsia="楷体_GB2312" w:cs="楷体_GB2312"/>
          <w:b/>
          <w:bCs w:val="0"/>
          <w:sz w:val="32"/>
          <w:szCs w:val="32"/>
          <w:lang w:eastAsia="zh-CN"/>
        </w:rPr>
        <w:t>）</w:t>
      </w:r>
    </w:p>
    <w:p>
      <w:pPr>
        <w:spacing w:line="360" w:lineRule="exact"/>
        <w:jc w:val="both"/>
        <w:rPr>
          <w:rFonts w:eastAsia="方正黑体简体"/>
          <w:bCs/>
          <w:sz w:val="24"/>
        </w:rPr>
      </w:pPr>
    </w:p>
    <w:tbl>
      <w:tblPr>
        <w:tblStyle w:val="5"/>
        <w:tblW w:w="14050" w:type="dxa"/>
        <w:tblInd w:w="98" w:type="dxa"/>
        <w:tblLayout w:type="fixed"/>
        <w:tblCellMar>
          <w:top w:w="0" w:type="dxa"/>
          <w:left w:w="108" w:type="dxa"/>
          <w:bottom w:w="0" w:type="dxa"/>
          <w:right w:w="108" w:type="dxa"/>
        </w:tblCellMar>
      </w:tblPr>
      <w:tblGrid>
        <w:gridCol w:w="730"/>
        <w:gridCol w:w="760"/>
        <w:gridCol w:w="4616"/>
        <w:gridCol w:w="2508"/>
        <w:gridCol w:w="3020"/>
        <w:gridCol w:w="2416"/>
      </w:tblGrid>
      <w:tr>
        <w:tblPrEx>
          <w:tblLayout w:type="fixed"/>
          <w:tblCellMar>
            <w:top w:w="0" w:type="dxa"/>
            <w:left w:w="108" w:type="dxa"/>
            <w:bottom w:w="0" w:type="dxa"/>
            <w:right w:w="108" w:type="dxa"/>
          </w:tblCellMar>
        </w:tblPrEx>
        <w:trPr>
          <w:trHeight w:val="454" w:hRule="atLeast"/>
          <w:tblHeader/>
        </w:trPr>
        <w:tc>
          <w:tcPr>
            <w:tcW w:w="1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项目</w:t>
            </w:r>
          </w:p>
        </w:tc>
        <w:tc>
          <w:tcPr>
            <w:tcW w:w="46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主体责任</w:t>
            </w:r>
          </w:p>
        </w:tc>
        <w:tc>
          <w:tcPr>
            <w:tcW w:w="250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责任依据</w:t>
            </w:r>
          </w:p>
        </w:tc>
        <w:tc>
          <w:tcPr>
            <w:tcW w:w="302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法律责任</w:t>
            </w:r>
          </w:p>
        </w:tc>
        <w:tc>
          <w:tcPr>
            <w:tcW w:w="241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处罚依据</w:t>
            </w:r>
          </w:p>
        </w:tc>
      </w:tr>
      <w:tr>
        <w:tblPrEx>
          <w:tblLayout w:type="fixed"/>
          <w:tblCellMar>
            <w:top w:w="0" w:type="dxa"/>
            <w:left w:w="108" w:type="dxa"/>
            <w:bottom w:w="0" w:type="dxa"/>
            <w:right w:w="108" w:type="dxa"/>
          </w:tblCellMar>
        </w:tblPrEx>
        <w:trPr>
          <w:trHeight w:val="2203" w:hRule="atLeast"/>
        </w:trPr>
        <w:tc>
          <w:tcPr>
            <w:tcW w:w="730" w:type="dxa"/>
            <w:vMerge w:val="restart"/>
            <w:tcBorders>
              <w:top w:val="single" w:color="auto" w:sz="4" w:space="0"/>
              <w:left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bCs/>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销售者责任</w:t>
            </w: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lang w:val="en-US" w:eastAsia="zh-CN"/>
              </w:rPr>
            </w:pPr>
          </w:p>
          <w:p>
            <w:pPr>
              <w:widowControl/>
              <w:spacing w:line="360" w:lineRule="exact"/>
              <w:jc w:val="center"/>
              <w:rPr>
                <w:rFonts w:hint="eastAsia" w:ascii="仿宋_GB2312" w:hAnsi="仿宋_GB2312" w:eastAsia="仿宋_GB2312" w:cs="仿宋_GB2312"/>
                <w:b/>
                <w:bCs w:val="0"/>
                <w:color w:val="000000"/>
                <w:sz w:val="24"/>
                <w:szCs w:val="24"/>
                <w:lang w:val="en-US" w:eastAsia="zh-CN"/>
              </w:rPr>
            </w:pPr>
          </w:p>
          <w:p>
            <w:pPr>
              <w:widowControl/>
              <w:spacing w:line="360" w:lineRule="exact"/>
              <w:jc w:val="center"/>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销售者责任</w:t>
            </w: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center"/>
              <w:rPr>
                <w:rFonts w:hint="eastAsia" w:ascii="仿宋_GB2312" w:hAnsi="仿宋_GB2312" w:eastAsia="仿宋_GB2312" w:cs="仿宋_GB2312"/>
                <w:b/>
                <w:bCs w:val="0"/>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销售者责任</w:t>
            </w: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center"/>
              <w:rPr>
                <w:rFonts w:hint="eastAsia" w:ascii="仿宋_GB2312" w:hAnsi="仿宋_GB2312" w:eastAsia="仿宋_GB2312" w:cs="仿宋_GB2312"/>
                <w:b/>
                <w:bCs w:val="0"/>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销售者责任</w:t>
            </w: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center"/>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销售者责任</w:t>
            </w: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both"/>
              <w:rPr>
                <w:rFonts w:hint="eastAsia" w:ascii="仿宋_GB2312" w:hAnsi="仿宋_GB2312" w:eastAsia="仿宋_GB2312" w:cs="仿宋_GB2312"/>
                <w:b/>
                <w:bCs w:val="0"/>
                <w:color w:val="000000"/>
                <w:sz w:val="24"/>
                <w:szCs w:val="24"/>
                <w:lang w:val="en-US" w:eastAsia="zh-CN"/>
              </w:rPr>
            </w:pPr>
          </w:p>
          <w:p>
            <w:pPr>
              <w:widowControl/>
              <w:spacing w:line="360" w:lineRule="exact"/>
              <w:jc w:val="center"/>
              <w:rPr>
                <w:rFonts w:hint="eastAsia" w:ascii="仿宋_GB2312" w:hAnsi="仿宋_GB2312" w:eastAsia="仿宋_GB2312" w:cs="仿宋_GB2312"/>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销售者责任</w:t>
            </w:r>
          </w:p>
        </w:tc>
        <w:tc>
          <w:tcPr>
            <w:tcW w:w="760" w:type="dxa"/>
            <w:vMerge w:val="restart"/>
            <w:tcBorders>
              <w:top w:val="single" w:color="auto" w:sz="4" w:space="0"/>
              <w:left w:val="nil"/>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color w:val="000000"/>
                <w:sz w:val="24"/>
                <w:szCs w:val="24"/>
                <w:lang w:val="en-US" w:eastAsia="zh-CN"/>
              </w:rPr>
            </w:pPr>
          </w:p>
          <w:p>
            <w:pPr>
              <w:widowControl/>
              <w:spacing w:line="360" w:lineRule="exact"/>
              <w:jc w:val="center"/>
              <w:rPr>
                <w:rFonts w:hint="eastAsia" w:ascii="仿宋_GB2312" w:hAnsi="仿宋_GB2312" w:eastAsia="仿宋_GB2312" w:cs="仿宋_GB2312"/>
                <w:color w:val="000000"/>
                <w:sz w:val="24"/>
                <w:szCs w:val="24"/>
                <w:lang w:val="en-US" w:eastAsia="zh-CN"/>
              </w:rPr>
            </w:pPr>
          </w:p>
          <w:p>
            <w:pPr>
              <w:widowControl/>
              <w:spacing w:line="360" w:lineRule="exact"/>
              <w:jc w:val="center"/>
              <w:rPr>
                <w:rFonts w:hint="eastAsia" w:ascii="仿宋_GB2312" w:hAnsi="仿宋_GB2312" w:eastAsia="仿宋_GB2312" w:cs="仿宋_GB2312"/>
                <w:color w:val="000000"/>
                <w:sz w:val="24"/>
                <w:szCs w:val="24"/>
                <w:lang w:val="en-US" w:eastAsia="zh-CN"/>
              </w:rPr>
            </w:pPr>
          </w:p>
          <w:p>
            <w:pPr>
              <w:widowControl/>
              <w:spacing w:line="360" w:lineRule="exact"/>
              <w:ind w:firstLine="0" w:firstLineChars="0"/>
              <w:jc w:val="both"/>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一、设备设施及环境</w:t>
            </w:r>
          </w:p>
        </w:tc>
        <w:tc>
          <w:tcPr>
            <w:tcW w:w="46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sz w:val="24"/>
                <w:szCs w:val="24"/>
              </w:rPr>
              <w:t>配备与销售品种相适应的冷藏、冷冻设施，并符合保证食用农产品质量安全所需要的温度、湿度和环境等特殊要求。</w:t>
            </w:r>
          </w:p>
        </w:tc>
        <w:tc>
          <w:tcPr>
            <w:tcW w:w="25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《食用农产品市场销售质量安全监督管理办法》第二十四条第二款</w:t>
            </w:r>
            <w:r>
              <w:rPr>
                <w:rFonts w:hint="eastAsia" w:ascii="仿宋_GB2312" w:hAnsi="仿宋_GB2312" w:eastAsia="仿宋_GB2312" w:cs="仿宋_GB2312"/>
                <w:sz w:val="24"/>
                <w:szCs w:val="24"/>
                <w:lang w:eastAsia="zh-CN"/>
              </w:rPr>
              <w:t>。</w:t>
            </w:r>
          </w:p>
        </w:tc>
        <w:tc>
          <w:tcPr>
            <w:tcW w:w="30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责令改正，给予警告;拒不改正的，处</w:t>
            </w:r>
            <w:r>
              <w:rPr>
                <w:rFonts w:hint="eastAsia" w:ascii="仿宋_GB2312" w:hAnsi="仿宋_GB2312" w:eastAsia="仿宋_GB2312" w:cs="仿宋_GB2312"/>
                <w:sz w:val="24"/>
                <w:szCs w:val="24"/>
                <w:lang w:val="en-US" w:eastAsia="zh-CN"/>
              </w:rPr>
              <w:t>五千</w:t>
            </w:r>
            <w:r>
              <w:rPr>
                <w:rFonts w:hint="eastAsia" w:ascii="仿宋_GB2312" w:hAnsi="仿宋_GB2312" w:eastAsia="仿宋_GB2312" w:cs="仿宋_GB2312"/>
                <w:sz w:val="24"/>
                <w:szCs w:val="24"/>
              </w:rPr>
              <w:t>元以上</w:t>
            </w:r>
            <w:r>
              <w:rPr>
                <w:rFonts w:hint="eastAsia" w:ascii="仿宋_GB2312" w:hAnsi="仿宋_GB2312" w:eastAsia="仿宋_GB2312" w:cs="仿宋_GB2312"/>
                <w:sz w:val="24"/>
                <w:szCs w:val="24"/>
                <w:lang w:val="en-US" w:eastAsia="zh-CN"/>
              </w:rPr>
              <w:t>三</w:t>
            </w:r>
            <w:r>
              <w:rPr>
                <w:rFonts w:hint="eastAsia" w:ascii="仿宋_GB2312" w:hAnsi="仿宋_GB2312" w:eastAsia="仿宋_GB2312" w:cs="仿宋_GB2312"/>
                <w:sz w:val="24"/>
                <w:szCs w:val="24"/>
              </w:rPr>
              <w:t>万元以下罚款。</w:t>
            </w:r>
          </w:p>
        </w:tc>
        <w:tc>
          <w:tcPr>
            <w:tcW w:w="2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《食用农产品市场销售质量安全监督管理办法》第四十九条</w:t>
            </w:r>
            <w:r>
              <w:rPr>
                <w:rFonts w:hint="eastAsia" w:ascii="仿宋_GB2312" w:hAnsi="仿宋_GB2312" w:eastAsia="仿宋_GB2312" w:cs="仿宋_GB2312"/>
                <w:sz w:val="24"/>
                <w:szCs w:val="24"/>
                <w:lang w:eastAsia="zh-CN"/>
              </w:rPr>
              <w:t>。</w:t>
            </w:r>
          </w:p>
        </w:tc>
      </w:tr>
      <w:tr>
        <w:tblPrEx>
          <w:tblLayout w:type="fixed"/>
          <w:tblCellMar>
            <w:top w:w="0" w:type="dxa"/>
            <w:left w:w="108" w:type="dxa"/>
            <w:bottom w:w="0" w:type="dxa"/>
            <w:right w:w="108" w:type="dxa"/>
          </w:tblCellMar>
        </w:tblPrEx>
        <w:trPr>
          <w:trHeight w:val="1790" w:hRule="atLeast"/>
        </w:trPr>
        <w:tc>
          <w:tcPr>
            <w:tcW w:w="730" w:type="dxa"/>
            <w:vMerge w:val="continue"/>
            <w:tcBorders>
              <w:left w:val="single" w:color="auto" w:sz="4" w:space="0"/>
              <w:bottom w:val="single" w:color="auto" w:sz="4" w:space="0"/>
              <w:right w:val="single" w:color="auto" w:sz="4" w:space="0"/>
            </w:tcBorders>
            <w:shd w:val="clear" w:color="auto" w:fill="auto"/>
            <w:vAlign w:val="center"/>
          </w:tcPr>
          <w:p>
            <w:pPr>
              <w:widowControl/>
              <w:spacing w:line="360" w:lineRule="exact"/>
            </w:pPr>
          </w:p>
        </w:tc>
        <w:tc>
          <w:tcPr>
            <w:tcW w:w="760" w:type="dxa"/>
            <w:vMerge w:val="continue"/>
            <w:tcBorders>
              <w:left w:val="nil"/>
              <w:bottom w:val="single" w:color="auto" w:sz="4" w:space="0"/>
              <w:right w:val="single" w:color="auto" w:sz="4" w:space="0"/>
            </w:tcBorders>
            <w:shd w:val="clear" w:color="auto" w:fill="auto"/>
            <w:vAlign w:val="center"/>
          </w:tcPr>
          <w:p>
            <w:pPr>
              <w:widowControl/>
              <w:spacing w:line="360" w:lineRule="exact"/>
            </w:pPr>
          </w:p>
        </w:tc>
        <w:tc>
          <w:tcPr>
            <w:tcW w:w="46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租赁仓库的，应当选择能够保障食用农产品质量安全的食用农产品贮存服务提供者</w:t>
            </w:r>
            <w:r>
              <w:rPr>
                <w:rFonts w:hint="eastAsia" w:ascii="仿宋_GB2312" w:hAnsi="仿宋_GB2312" w:eastAsia="仿宋_GB2312" w:cs="仿宋_GB2312"/>
                <w:sz w:val="24"/>
                <w:szCs w:val="24"/>
                <w:lang w:eastAsia="zh-CN"/>
              </w:rPr>
              <w:t>。</w:t>
            </w:r>
          </w:p>
        </w:tc>
        <w:tc>
          <w:tcPr>
            <w:tcW w:w="25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sz w:val="24"/>
                <w:szCs w:val="24"/>
              </w:rPr>
              <w:t>《食用农产品市场销售质量安全监督管理办法》第二十八条第一款</w:t>
            </w:r>
            <w:r>
              <w:rPr>
                <w:rFonts w:hint="eastAsia" w:ascii="仿宋_GB2312" w:hAnsi="仿宋_GB2312" w:eastAsia="仿宋_GB2312" w:cs="仿宋_GB2312"/>
                <w:sz w:val="24"/>
                <w:szCs w:val="24"/>
                <w:lang w:eastAsia="zh-CN"/>
              </w:rPr>
              <w:t>。</w:t>
            </w:r>
          </w:p>
        </w:tc>
        <w:tc>
          <w:tcPr>
            <w:tcW w:w="30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sz w:val="24"/>
                <w:szCs w:val="24"/>
              </w:rPr>
              <w:t>责令改正，给予警告;拒不改正的，处</w:t>
            </w:r>
            <w:r>
              <w:rPr>
                <w:rFonts w:hint="eastAsia" w:ascii="仿宋_GB2312" w:hAnsi="仿宋_GB2312" w:eastAsia="仿宋_GB2312" w:cs="仿宋_GB2312"/>
                <w:sz w:val="24"/>
                <w:szCs w:val="24"/>
                <w:lang w:val="en-US" w:eastAsia="zh-CN"/>
              </w:rPr>
              <w:t>五千</w:t>
            </w:r>
            <w:r>
              <w:rPr>
                <w:rFonts w:hint="eastAsia" w:ascii="仿宋_GB2312" w:hAnsi="仿宋_GB2312" w:eastAsia="仿宋_GB2312" w:cs="仿宋_GB2312"/>
                <w:sz w:val="24"/>
                <w:szCs w:val="24"/>
              </w:rPr>
              <w:t>元以上</w:t>
            </w:r>
            <w:r>
              <w:rPr>
                <w:rFonts w:hint="eastAsia" w:ascii="仿宋_GB2312" w:hAnsi="仿宋_GB2312" w:eastAsia="仿宋_GB2312" w:cs="仿宋_GB2312"/>
                <w:sz w:val="24"/>
                <w:szCs w:val="24"/>
                <w:lang w:val="en-US" w:eastAsia="zh-CN"/>
              </w:rPr>
              <w:t>三</w:t>
            </w:r>
            <w:r>
              <w:rPr>
                <w:rFonts w:hint="eastAsia" w:ascii="仿宋_GB2312" w:hAnsi="仿宋_GB2312" w:eastAsia="仿宋_GB2312" w:cs="仿宋_GB2312"/>
                <w:sz w:val="24"/>
                <w:szCs w:val="24"/>
              </w:rPr>
              <w:t>万元以下罚款。</w:t>
            </w:r>
          </w:p>
        </w:tc>
        <w:tc>
          <w:tcPr>
            <w:tcW w:w="2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sz w:val="24"/>
                <w:szCs w:val="24"/>
              </w:rPr>
              <w:t>《食用农产品市场销售质量安全监督管理办法》第五十一条</w:t>
            </w:r>
            <w:r>
              <w:rPr>
                <w:rFonts w:hint="eastAsia" w:ascii="仿宋_GB2312" w:hAnsi="仿宋_GB2312" w:eastAsia="仿宋_GB2312" w:cs="仿宋_GB2312"/>
                <w:sz w:val="24"/>
                <w:szCs w:val="24"/>
                <w:lang w:eastAsia="zh-CN"/>
              </w:rPr>
              <w:t>。</w:t>
            </w:r>
          </w:p>
        </w:tc>
      </w:tr>
      <w:tr>
        <w:tblPrEx>
          <w:tblLayout w:type="fixed"/>
          <w:tblCellMar>
            <w:top w:w="0" w:type="dxa"/>
            <w:left w:w="108" w:type="dxa"/>
            <w:bottom w:w="0" w:type="dxa"/>
            <w:right w:w="108" w:type="dxa"/>
          </w:tblCellMar>
        </w:tblPrEx>
        <w:trPr>
          <w:trHeight w:val="2352" w:hRule="atLeast"/>
        </w:trPr>
        <w:tc>
          <w:tcPr>
            <w:tcW w:w="7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pPr>
          </w:p>
        </w:tc>
        <w:tc>
          <w:tcPr>
            <w:tcW w:w="76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60" w:lineRule="exact"/>
            </w:pPr>
          </w:p>
        </w:tc>
        <w:tc>
          <w:tcPr>
            <w:tcW w:w="46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保持食用农产品存放环境安全、无毒、无害、清洁，不得将食用农产品与有毒、有害物品混放</w:t>
            </w:r>
            <w:r>
              <w:rPr>
                <w:rFonts w:hint="eastAsia" w:ascii="仿宋_GB2312" w:hAnsi="仿宋_GB2312" w:eastAsia="仿宋_GB2312" w:cs="仿宋_GB2312"/>
                <w:color w:val="000000"/>
                <w:sz w:val="24"/>
                <w:szCs w:val="24"/>
                <w:lang w:eastAsia="zh-CN"/>
              </w:rPr>
              <w:t>。</w:t>
            </w:r>
          </w:p>
        </w:tc>
        <w:tc>
          <w:tcPr>
            <w:tcW w:w="25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广西壮族自治区食品安全条例</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第五十一条。</w:t>
            </w:r>
          </w:p>
        </w:tc>
        <w:tc>
          <w:tcPr>
            <w:tcW w:w="3020" w:type="dxa"/>
            <w:tcBorders>
              <w:top w:val="single" w:color="auto" w:sz="4" w:space="0"/>
              <w:left w:val="nil"/>
              <w:bottom w:val="single" w:color="auto" w:sz="4" w:space="0"/>
              <w:right w:val="single" w:color="auto" w:sz="4" w:space="0"/>
            </w:tcBorders>
            <w:shd w:val="clear" w:color="auto" w:fill="FFFFFF"/>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责令改正，给予警告；拒不改正的，处三千元以上三万元以下罚款</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br w:type="textWrapping"/>
            </w:r>
          </w:p>
        </w:tc>
        <w:tc>
          <w:tcPr>
            <w:tcW w:w="241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广西壮族自治区食品安全条例</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第八十一条第一款。</w:t>
            </w:r>
          </w:p>
        </w:tc>
      </w:tr>
      <w:tr>
        <w:tblPrEx>
          <w:tblLayout w:type="fixed"/>
          <w:tblCellMar>
            <w:top w:w="0" w:type="dxa"/>
            <w:left w:w="108" w:type="dxa"/>
            <w:bottom w:w="0" w:type="dxa"/>
            <w:right w:w="108" w:type="dxa"/>
          </w:tblCellMar>
        </w:tblPrEx>
        <w:trPr>
          <w:trHeight w:val="1428" w:hRule="atLeast"/>
        </w:trPr>
        <w:tc>
          <w:tcPr>
            <w:tcW w:w="73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bCs/>
                <w:color w:val="000000"/>
                <w:sz w:val="24"/>
                <w:szCs w:val="24"/>
              </w:rPr>
            </w:pPr>
          </w:p>
        </w:tc>
        <w:tc>
          <w:tcPr>
            <w:tcW w:w="76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both"/>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sz w:val="24"/>
                <w:szCs w:val="24"/>
                <w:lang w:eastAsia="zh-CN"/>
              </w:rPr>
              <w:t>二、</w:t>
            </w:r>
            <w:r>
              <w:rPr>
                <w:rFonts w:hint="eastAsia" w:ascii="仿宋_GB2312" w:hAnsi="仿宋_GB2312" w:eastAsia="仿宋_GB2312" w:cs="仿宋_GB2312"/>
                <w:sz w:val="24"/>
                <w:szCs w:val="24"/>
              </w:rPr>
              <w:t>食用农产品</w:t>
            </w:r>
            <w:r>
              <w:rPr>
                <w:rFonts w:hint="eastAsia" w:ascii="仿宋_GB2312" w:hAnsi="仿宋_GB2312" w:eastAsia="仿宋_GB2312" w:cs="仿宋_GB2312"/>
                <w:sz w:val="24"/>
                <w:szCs w:val="24"/>
                <w:lang w:val="en-US" w:eastAsia="zh-CN"/>
              </w:rPr>
              <w:t>质量</w:t>
            </w:r>
          </w:p>
        </w:tc>
        <w:tc>
          <w:tcPr>
            <w:tcW w:w="461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sz w:val="24"/>
                <w:szCs w:val="24"/>
              </w:rPr>
              <w:t>使用国家禁止的兽药和剧毒、高毒农药，或者添加食品添加剂以外的化学物质和其他可能危害人体健康的物质的</w:t>
            </w:r>
            <w:r>
              <w:rPr>
                <w:rFonts w:hint="eastAsia" w:ascii="仿宋_GB2312" w:hAnsi="仿宋_GB2312" w:eastAsia="仿宋_GB2312" w:cs="仿宋_GB2312"/>
                <w:sz w:val="24"/>
                <w:szCs w:val="24"/>
                <w:lang w:eastAsia="zh-CN"/>
              </w:rPr>
              <w:t>。</w:t>
            </w:r>
          </w:p>
        </w:tc>
        <w:tc>
          <w:tcPr>
            <w:tcW w:w="25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《食用农产品市场销售质量安全监督管理办法》第二十五条</w:t>
            </w:r>
            <w:r>
              <w:rPr>
                <w:rFonts w:hint="eastAsia" w:ascii="仿宋_GB2312" w:hAnsi="仿宋_GB2312" w:eastAsia="仿宋_GB2312" w:cs="仿宋_GB2312"/>
                <w:sz w:val="24"/>
                <w:szCs w:val="24"/>
                <w:lang w:val="en-US" w:eastAsia="zh-CN"/>
              </w:rPr>
              <w:t>第一项</w:t>
            </w:r>
            <w:r>
              <w:rPr>
                <w:rFonts w:hint="eastAsia" w:ascii="仿宋_GB2312" w:hAnsi="仿宋_GB2312" w:eastAsia="仿宋_GB2312" w:cs="仿宋_GB2312"/>
                <w:sz w:val="24"/>
                <w:szCs w:val="24"/>
                <w:lang w:eastAsia="zh-CN"/>
              </w:rPr>
              <w:t>。</w:t>
            </w:r>
          </w:p>
        </w:tc>
        <w:tc>
          <w:tcPr>
            <w:tcW w:w="30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r>
              <w:rPr>
                <w:rFonts w:hint="eastAsia" w:ascii="仿宋_GB2312" w:hAnsi="仿宋_GB2312" w:eastAsia="仿宋_GB2312" w:cs="仿宋_GB2312"/>
                <w:sz w:val="22"/>
                <w:szCs w:val="22"/>
              </w:rPr>
              <w:t>。</w:t>
            </w:r>
          </w:p>
        </w:tc>
        <w:tc>
          <w:tcPr>
            <w:tcW w:w="241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《食品安全法》第一百二十三条第一款</w:t>
            </w:r>
            <w:r>
              <w:rPr>
                <w:rFonts w:hint="eastAsia" w:ascii="仿宋_GB2312" w:hAnsi="仿宋_GB2312" w:eastAsia="仿宋_GB2312" w:cs="仿宋_GB2312"/>
                <w:sz w:val="24"/>
                <w:szCs w:val="24"/>
                <w:lang w:eastAsia="zh-CN"/>
              </w:rPr>
              <w:t>。</w:t>
            </w:r>
          </w:p>
          <w:p>
            <w:pPr>
              <w:widowControl/>
              <w:spacing w:line="360" w:lineRule="exact"/>
              <w:jc w:val="left"/>
              <w:rPr>
                <w:rFonts w:hint="eastAsia" w:ascii="仿宋_GB2312" w:hAnsi="仿宋_GB2312" w:eastAsia="仿宋_GB2312" w:cs="仿宋_GB2312"/>
                <w:sz w:val="24"/>
                <w:szCs w:val="24"/>
                <w:lang w:eastAsia="zh-CN"/>
              </w:rPr>
            </w:pPr>
          </w:p>
        </w:tc>
      </w:tr>
      <w:tr>
        <w:tblPrEx>
          <w:tblLayout w:type="fixed"/>
          <w:tblCellMar>
            <w:top w:w="0" w:type="dxa"/>
            <w:left w:w="108" w:type="dxa"/>
            <w:bottom w:w="0" w:type="dxa"/>
            <w:right w:w="108" w:type="dxa"/>
          </w:tblCellMar>
        </w:tblPrEx>
        <w:trPr>
          <w:trHeight w:val="1008" w:hRule="atLeast"/>
        </w:trPr>
        <w:tc>
          <w:tcPr>
            <w:tcW w:w="73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bCs/>
                <w:color w:val="000000"/>
                <w:sz w:val="24"/>
                <w:szCs w:val="24"/>
              </w:rPr>
            </w:pPr>
          </w:p>
        </w:tc>
        <w:tc>
          <w:tcPr>
            <w:tcW w:w="7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color w:val="000000"/>
                <w:sz w:val="24"/>
                <w:szCs w:val="24"/>
              </w:rPr>
            </w:pPr>
          </w:p>
        </w:tc>
        <w:tc>
          <w:tcPr>
            <w:tcW w:w="461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.病死、毒死或者死因不明的禽、畜、兽、水产动物肉类;</w:t>
            </w:r>
          </w:p>
        </w:tc>
        <w:tc>
          <w:tcPr>
            <w:tcW w:w="2508" w:type="dxa"/>
            <w:vMerge w:val="restart"/>
            <w:tcBorders>
              <w:top w:val="single" w:color="auto" w:sz="4" w:space="0"/>
              <w:left w:val="single" w:color="auto" w:sz="4" w:space="0"/>
              <w:right w:val="single" w:color="auto" w:sz="4" w:space="0"/>
            </w:tcBorders>
            <w:vAlign w:val="center"/>
          </w:tcPr>
          <w:p>
            <w:pPr>
              <w:widowControl/>
              <w:spacing w:line="36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《食用农产品市场销售质量安全监督管理办法》第二十五条</w:t>
            </w:r>
            <w:r>
              <w:rPr>
                <w:rFonts w:hint="eastAsia" w:ascii="仿宋_GB2312" w:hAnsi="仿宋_GB2312" w:eastAsia="仿宋_GB2312" w:cs="仿宋_GB2312"/>
                <w:sz w:val="24"/>
                <w:szCs w:val="24"/>
                <w:lang w:val="en-US" w:eastAsia="zh-CN"/>
              </w:rPr>
              <w:t>第五项、第六项、第十一项</w:t>
            </w:r>
            <w:r>
              <w:rPr>
                <w:rFonts w:hint="eastAsia" w:ascii="仿宋_GB2312" w:hAnsi="仿宋_GB2312" w:eastAsia="仿宋_GB2312" w:cs="仿宋_GB2312"/>
                <w:sz w:val="24"/>
                <w:szCs w:val="24"/>
                <w:lang w:eastAsia="zh-CN"/>
              </w:rPr>
              <w:t>。</w:t>
            </w:r>
          </w:p>
        </w:tc>
        <w:tc>
          <w:tcPr>
            <w:tcW w:w="3020" w:type="dxa"/>
            <w:vMerge w:val="restart"/>
            <w:tcBorders>
              <w:top w:val="single" w:color="auto" w:sz="4" w:space="0"/>
              <w:left w:val="single" w:color="auto" w:sz="4" w:space="0"/>
              <w:right w:val="single" w:color="auto" w:sz="4" w:space="0"/>
            </w:tcBorders>
            <w:vAlign w:val="center"/>
          </w:tcPr>
          <w:p>
            <w:pPr>
              <w:widowControl/>
              <w:spacing w:line="360" w:lineRule="exact"/>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r>
              <w:rPr>
                <w:rFonts w:hint="eastAsia" w:ascii="仿宋_GB2312" w:hAnsi="仿宋_GB2312" w:eastAsia="仿宋_GB2312" w:cs="仿宋_GB2312"/>
                <w:sz w:val="24"/>
                <w:szCs w:val="24"/>
                <w:lang w:eastAsia="zh-CN"/>
              </w:rPr>
              <w:t>。</w:t>
            </w:r>
          </w:p>
        </w:tc>
        <w:tc>
          <w:tcPr>
            <w:tcW w:w="24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仿宋_GB2312" w:eastAsia="仿宋_GB2312" w:cs="仿宋_GB2312"/>
                <w:sz w:val="24"/>
                <w:szCs w:val="24"/>
                <w:lang w:eastAsia="zh-CN"/>
              </w:rPr>
            </w:pPr>
          </w:p>
        </w:tc>
      </w:tr>
      <w:tr>
        <w:tblPrEx>
          <w:tblLayout w:type="fixed"/>
          <w:tblCellMar>
            <w:top w:w="0" w:type="dxa"/>
            <w:left w:w="108" w:type="dxa"/>
            <w:bottom w:w="0" w:type="dxa"/>
            <w:right w:w="108" w:type="dxa"/>
          </w:tblCellMar>
        </w:tblPrEx>
        <w:trPr>
          <w:trHeight w:val="907" w:hRule="atLeast"/>
        </w:trPr>
        <w:tc>
          <w:tcPr>
            <w:tcW w:w="73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bCs/>
                <w:color w:val="000000"/>
                <w:sz w:val="24"/>
                <w:szCs w:val="24"/>
              </w:rPr>
            </w:pPr>
          </w:p>
        </w:tc>
        <w:tc>
          <w:tcPr>
            <w:tcW w:w="7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color w:val="000000"/>
                <w:sz w:val="24"/>
                <w:szCs w:val="24"/>
              </w:rPr>
            </w:pPr>
          </w:p>
        </w:tc>
        <w:tc>
          <w:tcPr>
            <w:tcW w:w="461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.未按规定进行检疫或者检疫不合格的肉类;</w:t>
            </w:r>
          </w:p>
        </w:tc>
        <w:tc>
          <w:tcPr>
            <w:tcW w:w="250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仿宋_GB2312" w:eastAsia="仿宋_GB2312" w:cs="仿宋_GB2312"/>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仿宋_GB2312" w:eastAsia="仿宋_GB2312" w:cs="仿宋_GB2312"/>
                <w:sz w:val="24"/>
                <w:szCs w:val="24"/>
              </w:rPr>
            </w:pPr>
          </w:p>
        </w:tc>
        <w:tc>
          <w:tcPr>
            <w:tcW w:w="24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90" w:hRule="atLeast"/>
        </w:trPr>
        <w:tc>
          <w:tcPr>
            <w:tcW w:w="73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bCs/>
                <w:color w:val="000000"/>
                <w:sz w:val="24"/>
                <w:szCs w:val="24"/>
              </w:rPr>
            </w:pPr>
          </w:p>
        </w:tc>
        <w:tc>
          <w:tcPr>
            <w:tcW w:w="7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color w:val="000000"/>
                <w:sz w:val="24"/>
                <w:szCs w:val="24"/>
              </w:rPr>
            </w:pPr>
          </w:p>
        </w:tc>
        <w:tc>
          <w:tcPr>
            <w:tcW w:w="461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.国家为防病等特殊需要明令禁止销售的;</w:t>
            </w:r>
          </w:p>
        </w:tc>
        <w:tc>
          <w:tcPr>
            <w:tcW w:w="250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仿宋_GB2312" w:eastAsia="仿宋_GB2312" w:cs="仿宋_GB2312"/>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仿宋_GB2312" w:eastAsia="仿宋_GB2312" w:cs="仿宋_GB2312"/>
                <w:sz w:val="24"/>
                <w:szCs w:val="24"/>
              </w:rPr>
            </w:pPr>
          </w:p>
        </w:tc>
        <w:tc>
          <w:tcPr>
            <w:tcW w:w="24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979" w:hRule="atLeast"/>
        </w:trPr>
        <w:tc>
          <w:tcPr>
            <w:tcW w:w="73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bCs/>
                <w:color w:val="000000"/>
                <w:sz w:val="24"/>
                <w:szCs w:val="24"/>
              </w:rPr>
            </w:pPr>
          </w:p>
        </w:tc>
        <w:tc>
          <w:tcPr>
            <w:tcW w:w="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both"/>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二、食用农产品质量</w:t>
            </w:r>
          </w:p>
        </w:tc>
        <w:tc>
          <w:tcPr>
            <w:tcW w:w="46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.致病性微生物、农药残留、兽药残留、生物毒素、重金属等污染物质以及其他危害人体健康的物质含量超过食品安全标准限量的;</w:t>
            </w:r>
          </w:p>
        </w:tc>
        <w:tc>
          <w:tcPr>
            <w:tcW w:w="2508"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36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《食用农产品市场销售质量安全监督管理办法》第二十五条</w:t>
            </w:r>
            <w:r>
              <w:rPr>
                <w:rFonts w:hint="eastAsia" w:ascii="仿宋_GB2312" w:hAnsi="仿宋_GB2312" w:eastAsia="仿宋_GB2312" w:cs="仿宋_GB2312"/>
                <w:sz w:val="24"/>
                <w:szCs w:val="24"/>
                <w:lang w:val="en-US" w:eastAsia="zh-CN"/>
              </w:rPr>
              <w:t>第二项、第三项、第四项、第十项。</w:t>
            </w:r>
          </w:p>
        </w:tc>
        <w:tc>
          <w:tcPr>
            <w:tcW w:w="3020"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3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tc>
        <w:tc>
          <w:tcPr>
            <w:tcW w:w="241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《食品安全法》第一百二十四条第一款</w:t>
            </w:r>
            <w:r>
              <w:rPr>
                <w:rFonts w:hint="eastAsia" w:ascii="仿宋_GB2312" w:hAnsi="仿宋_GB2312" w:eastAsia="仿宋_GB2312" w:cs="仿宋_GB2312"/>
                <w:sz w:val="24"/>
                <w:szCs w:val="24"/>
                <w:lang w:eastAsia="zh-CN"/>
              </w:rPr>
              <w:t>。</w:t>
            </w:r>
          </w:p>
        </w:tc>
      </w:tr>
      <w:tr>
        <w:tblPrEx>
          <w:tblLayout w:type="fixed"/>
          <w:tblCellMar>
            <w:top w:w="0" w:type="dxa"/>
            <w:left w:w="108" w:type="dxa"/>
            <w:bottom w:w="0" w:type="dxa"/>
            <w:right w:w="108" w:type="dxa"/>
          </w:tblCellMar>
        </w:tblPrEx>
        <w:trPr>
          <w:trHeight w:val="945" w:hRule="atLeast"/>
        </w:trPr>
        <w:tc>
          <w:tcPr>
            <w:tcW w:w="73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bCs/>
                <w:color w:val="000000"/>
                <w:sz w:val="24"/>
                <w:szCs w:val="24"/>
              </w:rPr>
            </w:pPr>
          </w:p>
        </w:tc>
        <w:tc>
          <w:tcPr>
            <w:tcW w:w="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color w:val="000000"/>
                <w:sz w:val="24"/>
                <w:szCs w:val="24"/>
              </w:rPr>
            </w:pPr>
          </w:p>
        </w:tc>
        <w:tc>
          <w:tcPr>
            <w:tcW w:w="46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t>.超范围、超限量使用食品添加剂的;</w:t>
            </w:r>
          </w:p>
        </w:tc>
        <w:tc>
          <w:tcPr>
            <w:tcW w:w="250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仿宋_GB2312" w:eastAsia="仿宋_GB2312" w:cs="仿宋_GB2312"/>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仿宋_GB2312" w:eastAsia="仿宋_GB2312" w:cs="仿宋_GB2312"/>
                <w:sz w:val="24"/>
                <w:szCs w:val="24"/>
              </w:rPr>
            </w:pPr>
          </w:p>
        </w:tc>
        <w:tc>
          <w:tcPr>
            <w:tcW w:w="24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1315" w:hRule="atLeast"/>
        </w:trPr>
        <w:tc>
          <w:tcPr>
            <w:tcW w:w="73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bCs/>
                <w:color w:val="000000"/>
                <w:sz w:val="24"/>
                <w:szCs w:val="24"/>
              </w:rPr>
            </w:pPr>
          </w:p>
        </w:tc>
        <w:tc>
          <w:tcPr>
            <w:tcW w:w="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color w:val="000000"/>
                <w:sz w:val="24"/>
                <w:szCs w:val="24"/>
              </w:rPr>
            </w:pPr>
          </w:p>
        </w:tc>
        <w:tc>
          <w:tcPr>
            <w:tcW w:w="46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.腐败变质、油脂酸败、霉变生虫、污秽不洁、混有异物、掺假掺杂或者感官性状异常的;</w:t>
            </w:r>
          </w:p>
        </w:tc>
        <w:tc>
          <w:tcPr>
            <w:tcW w:w="250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仿宋_GB2312" w:eastAsia="仿宋_GB2312" w:cs="仿宋_GB2312"/>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仿宋_GB2312" w:eastAsia="仿宋_GB2312" w:cs="仿宋_GB2312"/>
                <w:sz w:val="24"/>
                <w:szCs w:val="24"/>
              </w:rPr>
            </w:pPr>
          </w:p>
        </w:tc>
        <w:tc>
          <w:tcPr>
            <w:tcW w:w="24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1170" w:hRule="atLeast"/>
        </w:trPr>
        <w:tc>
          <w:tcPr>
            <w:tcW w:w="73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bCs/>
                <w:color w:val="000000"/>
                <w:sz w:val="24"/>
                <w:szCs w:val="24"/>
              </w:rPr>
            </w:pPr>
          </w:p>
        </w:tc>
        <w:tc>
          <w:tcPr>
            <w:tcW w:w="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color w:val="000000"/>
                <w:sz w:val="24"/>
                <w:szCs w:val="24"/>
              </w:rPr>
            </w:pPr>
          </w:p>
        </w:tc>
        <w:tc>
          <w:tcPr>
            <w:tcW w:w="46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11</w:t>
            </w:r>
            <w:r>
              <w:rPr>
                <w:rFonts w:hint="eastAsia" w:ascii="仿宋_GB2312" w:hAnsi="仿宋_GB2312" w:eastAsia="仿宋_GB2312" w:cs="仿宋_GB2312"/>
                <w:sz w:val="24"/>
                <w:szCs w:val="24"/>
              </w:rPr>
              <w:t>.标注虚假生产日期、保质期或者超过保质期的;</w:t>
            </w:r>
          </w:p>
        </w:tc>
        <w:tc>
          <w:tcPr>
            <w:tcW w:w="250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仿宋_GB2312" w:eastAsia="仿宋_GB2312" w:cs="仿宋_GB2312"/>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仿宋_GB2312" w:eastAsia="仿宋_GB2312" w:cs="仿宋_GB2312"/>
                <w:sz w:val="24"/>
                <w:szCs w:val="24"/>
              </w:rPr>
            </w:pPr>
          </w:p>
        </w:tc>
        <w:tc>
          <w:tcPr>
            <w:tcW w:w="24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387" w:hRule="atLeast"/>
        </w:trPr>
        <w:tc>
          <w:tcPr>
            <w:tcW w:w="73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bCs/>
                <w:color w:val="000000"/>
                <w:sz w:val="24"/>
                <w:szCs w:val="24"/>
              </w:rPr>
            </w:pPr>
          </w:p>
        </w:tc>
        <w:tc>
          <w:tcPr>
            <w:tcW w:w="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color w:val="000000"/>
                <w:sz w:val="24"/>
                <w:szCs w:val="24"/>
              </w:rPr>
            </w:pPr>
          </w:p>
        </w:tc>
        <w:tc>
          <w:tcPr>
            <w:tcW w:w="461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12</w:t>
            </w:r>
            <w:r>
              <w:rPr>
                <w:rFonts w:hint="eastAsia" w:ascii="仿宋_GB2312" w:hAnsi="仿宋_GB2312" w:eastAsia="仿宋_GB2312" w:cs="仿宋_GB2312"/>
                <w:sz w:val="24"/>
                <w:szCs w:val="24"/>
              </w:rPr>
              <w:t>.未按规定进行检验或者检验不合格的肉类;</w:t>
            </w:r>
          </w:p>
        </w:tc>
        <w:tc>
          <w:tcPr>
            <w:tcW w:w="250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《食用农产品市场销售质量安全监督管理办法》第二十五条</w:t>
            </w:r>
            <w:r>
              <w:rPr>
                <w:rFonts w:hint="eastAsia" w:ascii="仿宋_GB2312" w:hAnsi="仿宋_GB2312" w:eastAsia="仿宋_GB2312" w:cs="仿宋_GB2312"/>
                <w:sz w:val="24"/>
                <w:szCs w:val="24"/>
                <w:lang w:val="en-US" w:eastAsia="zh-CN"/>
              </w:rPr>
              <w:t>第七项、第十二项。</w:t>
            </w:r>
          </w:p>
        </w:tc>
        <w:tc>
          <w:tcPr>
            <w:tcW w:w="3020"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责令改正，处</w:t>
            </w:r>
            <w:r>
              <w:rPr>
                <w:rFonts w:hint="eastAsia" w:ascii="仿宋_GB2312" w:hAnsi="仿宋_GB2312" w:eastAsia="仿宋_GB2312" w:cs="仿宋_GB2312"/>
                <w:sz w:val="24"/>
                <w:szCs w:val="24"/>
                <w:lang w:val="en-US" w:eastAsia="zh-CN"/>
              </w:rPr>
              <w:t>一</w:t>
            </w:r>
            <w:r>
              <w:rPr>
                <w:rFonts w:hint="eastAsia" w:ascii="仿宋_GB2312" w:hAnsi="仿宋_GB2312" w:eastAsia="仿宋_GB2312" w:cs="仿宋_GB2312"/>
                <w:sz w:val="24"/>
                <w:szCs w:val="24"/>
              </w:rPr>
              <w:t>万元以上</w:t>
            </w:r>
            <w:r>
              <w:rPr>
                <w:rFonts w:hint="eastAsia" w:ascii="仿宋_GB2312" w:hAnsi="仿宋_GB2312" w:eastAsia="仿宋_GB2312" w:cs="仿宋_GB2312"/>
                <w:sz w:val="24"/>
                <w:szCs w:val="24"/>
                <w:lang w:val="en-US" w:eastAsia="zh-CN"/>
              </w:rPr>
              <w:t>三</w:t>
            </w:r>
            <w:r>
              <w:rPr>
                <w:rFonts w:hint="eastAsia" w:ascii="仿宋_GB2312" w:hAnsi="仿宋_GB2312" w:eastAsia="仿宋_GB2312" w:cs="仿宋_GB2312"/>
                <w:sz w:val="24"/>
                <w:szCs w:val="24"/>
              </w:rPr>
              <w:t>万元以下罚款。</w:t>
            </w:r>
          </w:p>
        </w:tc>
        <w:tc>
          <w:tcPr>
            <w:tcW w:w="241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《食用农产品市场销售质量安全监督管理办法》第五十条第三款</w:t>
            </w:r>
            <w:r>
              <w:rPr>
                <w:rFonts w:hint="eastAsia" w:ascii="仿宋_GB2312" w:hAnsi="仿宋_GB2312" w:eastAsia="仿宋_GB2312" w:cs="仿宋_GB2312"/>
                <w:sz w:val="24"/>
                <w:szCs w:val="24"/>
                <w:lang w:eastAsia="zh-CN"/>
              </w:rPr>
              <w:t>。</w:t>
            </w:r>
          </w:p>
        </w:tc>
      </w:tr>
      <w:tr>
        <w:tblPrEx>
          <w:tblLayout w:type="fixed"/>
          <w:tblCellMar>
            <w:top w:w="0" w:type="dxa"/>
            <w:left w:w="108" w:type="dxa"/>
            <w:bottom w:w="0" w:type="dxa"/>
            <w:right w:w="108" w:type="dxa"/>
          </w:tblCellMar>
        </w:tblPrEx>
        <w:trPr>
          <w:trHeight w:val="660" w:hRule="atLeast"/>
        </w:trPr>
        <w:tc>
          <w:tcPr>
            <w:tcW w:w="73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bCs/>
                <w:color w:val="000000"/>
                <w:sz w:val="24"/>
                <w:szCs w:val="24"/>
              </w:rPr>
            </w:pPr>
          </w:p>
        </w:tc>
        <w:tc>
          <w:tcPr>
            <w:tcW w:w="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color w:val="000000"/>
                <w:sz w:val="24"/>
                <w:szCs w:val="24"/>
              </w:rPr>
            </w:pPr>
          </w:p>
        </w:tc>
        <w:tc>
          <w:tcPr>
            <w:tcW w:w="461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.标注虚假的食用农产品产地、生产者名称、生产者地址，或者标注伪造、冒用的认证标志等质量标志的;</w:t>
            </w:r>
          </w:p>
        </w:tc>
        <w:tc>
          <w:tcPr>
            <w:tcW w:w="250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仿宋_GB2312" w:eastAsia="仿宋_GB2312" w:cs="仿宋_GB2312"/>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仿宋_GB2312" w:eastAsia="仿宋_GB2312" w:cs="仿宋_GB2312"/>
                <w:sz w:val="24"/>
                <w:szCs w:val="24"/>
              </w:rPr>
            </w:pPr>
          </w:p>
        </w:tc>
        <w:tc>
          <w:tcPr>
            <w:tcW w:w="24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1985" w:hRule="atLeast"/>
        </w:trPr>
        <w:tc>
          <w:tcPr>
            <w:tcW w:w="73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bCs/>
                <w:color w:val="000000"/>
                <w:sz w:val="24"/>
                <w:szCs w:val="24"/>
              </w:rPr>
            </w:pPr>
          </w:p>
        </w:tc>
        <w:tc>
          <w:tcPr>
            <w:tcW w:w="760" w:type="dxa"/>
            <w:vMerge w:val="restart"/>
            <w:tcBorders>
              <w:top w:val="nil"/>
              <w:left w:val="single" w:color="auto" w:sz="4" w:space="0"/>
              <w:right w:val="single" w:color="auto" w:sz="4" w:space="0"/>
            </w:tcBorders>
            <w:shd w:val="clear" w:color="auto" w:fill="auto"/>
            <w:vAlign w:val="center"/>
          </w:tcPr>
          <w:p>
            <w:pPr>
              <w:widowControl/>
              <w:spacing w:line="360" w:lineRule="exact"/>
              <w:jc w:val="both"/>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二、食用农产品质量</w:t>
            </w:r>
          </w:p>
        </w:tc>
        <w:tc>
          <w:tcPr>
            <w:tcW w:w="46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.使用的保鲜剂、防腐剂等食品添加剂和包装材料等食品相关产品不符合食品安全国家标准的;</w:t>
            </w:r>
          </w:p>
        </w:tc>
        <w:tc>
          <w:tcPr>
            <w:tcW w:w="2508" w:type="dxa"/>
            <w:vMerge w:val="restart"/>
            <w:tcBorders>
              <w:top w:val="nil"/>
              <w:left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《食用农产品市场销售质量安全监督管理办法》第二十五条</w:t>
            </w:r>
            <w:r>
              <w:rPr>
                <w:rFonts w:hint="eastAsia" w:ascii="仿宋_GB2312" w:hAnsi="仿宋_GB2312" w:eastAsia="仿宋_GB2312" w:cs="仿宋_GB2312"/>
                <w:sz w:val="24"/>
                <w:szCs w:val="24"/>
                <w:lang w:val="en-US" w:eastAsia="zh-CN"/>
              </w:rPr>
              <w:t>第八项、第九项。</w:t>
            </w:r>
          </w:p>
        </w:tc>
        <w:tc>
          <w:tcPr>
            <w:tcW w:w="3020" w:type="dxa"/>
            <w:vMerge w:val="restart"/>
            <w:tcBorders>
              <w:top w:val="nil"/>
              <w:left w:val="single" w:color="auto" w:sz="4" w:space="0"/>
              <w:right w:val="single" w:color="auto" w:sz="4" w:space="0"/>
            </w:tcBorders>
            <w:shd w:val="clear" w:color="auto" w:fill="FFFFFF"/>
            <w:vAlign w:val="center"/>
          </w:tcPr>
          <w:p>
            <w:pPr>
              <w:widowControl/>
              <w:spacing w:line="3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tc>
        <w:tc>
          <w:tcPr>
            <w:tcW w:w="241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《食品安全法》第一百二十五条第一款</w:t>
            </w:r>
            <w:r>
              <w:rPr>
                <w:rFonts w:hint="eastAsia" w:ascii="仿宋_GB2312" w:hAnsi="仿宋_GB2312" w:eastAsia="仿宋_GB2312" w:cs="仿宋_GB2312"/>
                <w:sz w:val="24"/>
                <w:szCs w:val="24"/>
                <w:lang w:eastAsia="zh-CN"/>
              </w:rPr>
              <w:t>。</w:t>
            </w:r>
          </w:p>
        </w:tc>
      </w:tr>
      <w:tr>
        <w:tblPrEx>
          <w:tblLayout w:type="fixed"/>
          <w:tblCellMar>
            <w:top w:w="0" w:type="dxa"/>
            <w:left w:w="108" w:type="dxa"/>
            <w:bottom w:w="0" w:type="dxa"/>
            <w:right w:w="108" w:type="dxa"/>
          </w:tblCellMar>
        </w:tblPrEx>
        <w:trPr>
          <w:trHeight w:val="222" w:hRule="atLeast"/>
        </w:trPr>
        <w:tc>
          <w:tcPr>
            <w:tcW w:w="73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bCs/>
                <w:color w:val="000000"/>
                <w:sz w:val="24"/>
                <w:szCs w:val="24"/>
              </w:rPr>
            </w:pPr>
          </w:p>
        </w:tc>
        <w:tc>
          <w:tcPr>
            <w:tcW w:w="7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color w:val="000000"/>
                <w:sz w:val="24"/>
                <w:szCs w:val="24"/>
              </w:rPr>
            </w:pPr>
          </w:p>
        </w:tc>
        <w:tc>
          <w:tcPr>
            <w:tcW w:w="46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0"/>
              </w:num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15.</w:t>
            </w:r>
            <w:r>
              <w:rPr>
                <w:rFonts w:hint="eastAsia" w:ascii="仿宋_GB2312" w:hAnsi="仿宋_GB2312" w:eastAsia="仿宋_GB2312" w:cs="仿宋_GB2312"/>
                <w:sz w:val="24"/>
                <w:szCs w:val="24"/>
              </w:rPr>
              <w:t>被包装材料、容器、运输工具等污染的。</w:t>
            </w:r>
          </w:p>
          <w:p>
            <w:pPr>
              <w:widowControl/>
              <w:numPr>
                <w:ilvl w:val="0"/>
                <w:numId w:val="0"/>
              </w:numPr>
              <w:spacing w:line="360" w:lineRule="exact"/>
              <w:rPr>
                <w:rFonts w:hint="eastAsia" w:ascii="仿宋_GB2312" w:hAnsi="仿宋_GB2312" w:eastAsia="仿宋_GB2312" w:cs="仿宋_GB2312"/>
                <w:sz w:val="24"/>
                <w:szCs w:val="24"/>
              </w:rPr>
            </w:pPr>
          </w:p>
        </w:tc>
        <w:tc>
          <w:tcPr>
            <w:tcW w:w="2508" w:type="dxa"/>
            <w:vMerge w:val="continue"/>
            <w:tcBorders>
              <w:left w:val="single" w:color="auto" w:sz="4" w:space="0"/>
              <w:bottom w:val="single" w:color="auto" w:sz="4" w:space="0"/>
              <w:right w:val="single" w:color="auto" w:sz="4" w:space="0"/>
            </w:tcBorders>
            <w:vAlign w:val="center"/>
          </w:tcPr>
          <w:p>
            <w:pPr>
              <w:widowControl/>
              <w:spacing w:line="360" w:lineRule="exact"/>
              <w:rPr>
                <w:rFonts w:hint="eastAsia" w:ascii="仿宋_GB2312" w:hAnsi="仿宋_GB2312" w:eastAsia="仿宋_GB2312" w:cs="仿宋_GB2312"/>
                <w:sz w:val="24"/>
                <w:szCs w:val="24"/>
              </w:rPr>
            </w:pPr>
          </w:p>
        </w:tc>
        <w:tc>
          <w:tcPr>
            <w:tcW w:w="3020"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仿宋_GB2312" w:eastAsia="仿宋_GB2312" w:cs="仿宋_GB2312"/>
                <w:sz w:val="24"/>
                <w:szCs w:val="24"/>
              </w:rPr>
            </w:pPr>
          </w:p>
        </w:tc>
        <w:tc>
          <w:tcPr>
            <w:tcW w:w="24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441" w:hRule="atLeast"/>
        </w:trPr>
        <w:tc>
          <w:tcPr>
            <w:tcW w:w="7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pPr>
          </w:p>
        </w:tc>
        <w:tc>
          <w:tcPr>
            <w:tcW w:w="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pPr>
          </w:p>
        </w:tc>
        <w:tc>
          <w:tcPr>
            <w:tcW w:w="4616" w:type="dxa"/>
            <w:tcBorders>
              <w:top w:val="single" w:color="auto" w:sz="4" w:space="0"/>
              <w:left w:val="nil"/>
              <w:bottom w:val="single" w:color="auto" w:sz="4" w:space="0"/>
              <w:right w:val="single" w:color="auto" w:sz="4" w:space="0"/>
            </w:tcBorders>
            <w:shd w:val="clear" w:color="auto" w:fill="auto"/>
            <w:vAlign w:val="center"/>
          </w:tcPr>
          <w:p>
            <w:pPr>
              <w:widowControl/>
              <w:numPr>
                <w:ilvl w:val="0"/>
                <w:numId w:val="0"/>
              </w:num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val="en-US" w:eastAsia="zh-CN"/>
              </w:rPr>
              <w:t>16.</w:t>
            </w:r>
            <w:r>
              <w:rPr>
                <w:rFonts w:hint="eastAsia" w:ascii="仿宋_GB2312" w:hAnsi="仿宋_GB2312" w:eastAsia="仿宋_GB2312" w:cs="仿宋_GB2312"/>
                <w:color w:val="auto"/>
                <w:sz w:val="24"/>
                <w:szCs w:val="24"/>
              </w:rPr>
              <w:t>不得在食用农产品包装、清洗、保鲜、贮存、运输等过程中添加可能危害人体健康的物质。</w:t>
            </w:r>
          </w:p>
        </w:tc>
        <w:tc>
          <w:tcPr>
            <w:tcW w:w="250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广西壮族自治区食品安全条例</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第五十一条。</w:t>
            </w:r>
          </w:p>
        </w:tc>
        <w:tc>
          <w:tcPr>
            <w:tcW w:w="30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没收违法所得和违法经营的食用农产品，并可以没收用于违法经营的工具、设备、原料等物品；违法经营的食用农产品货值金额不足一万元的，并处十万元以上十五万元以下罚款；货值金额一万元以上的，并处货值金额十五倍以上三十倍以下罚款。</w:t>
            </w:r>
          </w:p>
        </w:tc>
        <w:tc>
          <w:tcPr>
            <w:tcW w:w="24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广西壮族自治区食品安全条例</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第八十一条第二款。</w:t>
            </w:r>
          </w:p>
        </w:tc>
      </w:tr>
      <w:tr>
        <w:tblPrEx>
          <w:tblLayout w:type="fixed"/>
          <w:tblCellMar>
            <w:top w:w="0" w:type="dxa"/>
            <w:left w:w="108" w:type="dxa"/>
            <w:bottom w:w="0" w:type="dxa"/>
            <w:right w:w="108" w:type="dxa"/>
          </w:tblCellMar>
        </w:tblPrEx>
        <w:trPr>
          <w:trHeight w:val="2385" w:hRule="atLeast"/>
        </w:trPr>
        <w:tc>
          <w:tcPr>
            <w:tcW w:w="73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bCs/>
                <w:color w:val="000000"/>
                <w:sz w:val="24"/>
                <w:szCs w:val="24"/>
              </w:rPr>
            </w:pPr>
          </w:p>
        </w:tc>
        <w:tc>
          <w:tcPr>
            <w:tcW w:w="7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lang w:eastAsia="zh-CN"/>
              </w:rPr>
              <w:t>三、</w:t>
            </w:r>
            <w:r>
              <w:rPr>
                <w:rFonts w:hint="eastAsia" w:ascii="仿宋_GB2312" w:hAnsi="仿宋_GB2312" w:eastAsia="仿宋_GB2312" w:cs="仿宋_GB2312"/>
                <w:sz w:val="24"/>
                <w:szCs w:val="24"/>
              </w:rPr>
              <w:t>进货查验记录制度</w:t>
            </w:r>
          </w:p>
        </w:tc>
        <w:tc>
          <w:tcPr>
            <w:tcW w:w="4616" w:type="dxa"/>
            <w:tcBorders>
              <w:top w:val="nil"/>
              <w:left w:val="nil"/>
              <w:bottom w:val="single" w:color="auto" w:sz="4" w:space="0"/>
              <w:right w:val="single" w:color="auto" w:sz="4" w:space="0"/>
            </w:tcBorders>
            <w:shd w:val="clear" w:color="auto" w:fill="FFFFFF"/>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17.</w:t>
            </w:r>
            <w:r>
              <w:rPr>
                <w:rFonts w:hint="eastAsia" w:ascii="仿宋_GB2312" w:hAnsi="仿宋_GB2312" w:eastAsia="仿宋_GB2312" w:cs="仿宋_GB2312"/>
                <w:sz w:val="24"/>
                <w:szCs w:val="24"/>
              </w:rPr>
              <w:t>建立食用农产品进货查验记录制度，如实记录食用农产品名称、数量、进货日期以及供货者名称、地址、联系方式等内容，并保存相关凭证。记录和凭证保存期限不得少于</w:t>
            </w:r>
            <w:r>
              <w:rPr>
                <w:rFonts w:hint="eastAsia" w:ascii="仿宋_GB2312" w:hAnsi="仿宋_GB2312" w:eastAsia="仿宋_GB2312" w:cs="仿宋_GB2312"/>
                <w:sz w:val="24"/>
                <w:szCs w:val="24"/>
                <w:lang w:val="en-US" w:eastAsia="zh-CN"/>
              </w:rPr>
              <w:t>六</w:t>
            </w:r>
            <w:r>
              <w:rPr>
                <w:rFonts w:hint="eastAsia" w:ascii="仿宋_GB2312" w:hAnsi="仿宋_GB2312" w:eastAsia="仿宋_GB2312" w:cs="仿宋_GB2312"/>
                <w:sz w:val="24"/>
                <w:szCs w:val="24"/>
              </w:rPr>
              <w:t>个月。</w:t>
            </w:r>
          </w:p>
        </w:tc>
        <w:tc>
          <w:tcPr>
            <w:tcW w:w="2508" w:type="dxa"/>
            <w:tcBorders>
              <w:top w:val="nil"/>
              <w:left w:val="nil"/>
              <w:bottom w:val="single" w:color="auto" w:sz="4" w:space="0"/>
              <w:right w:val="single" w:color="auto" w:sz="4" w:space="0"/>
            </w:tcBorders>
            <w:shd w:val="clear" w:color="auto" w:fill="FFFFFF"/>
            <w:vAlign w:val="center"/>
          </w:tcPr>
          <w:p>
            <w:pPr>
              <w:widowControl/>
              <w:spacing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《食品安全法》第六十五条、《食用农产品市场销售监督管理办法》第二十六条第二款</w:t>
            </w:r>
            <w:r>
              <w:rPr>
                <w:rFonts w:hint="eastAsia" w:ascii="仿宋_GB2312" w:hAnsi="仿宋_GB2312" w:eastAsia="仿宋_GB2312" w:cs="仿宋_GB2312"/>
                <w:sz w:val="24"/>
                <w:szCs w:val="24"/>
                <w:lang w:eastAsia="zh-CN"/>
              </w:rPr>
              <w:t>。</w:t>
            </w:r>
          </w:p>
        </w:tc>
        <w:tc>
          <w:tcPr>
            <w:tcW w:w="3020" w:type="dxa"/>
            <w:tcBorders>
              <w:top w:val="nil"/>
              <w:left w:val="nil"/>
              <w:bottom w:val="single" w:color="auto" w:sz="4" w:space="0"/>
              <w:right w:val="single" w:color="auto" w:sz="4" w:space="0"/>
            </w:tcBorders>
            <w:shd w:val="clear" w:color="auto" w:fill="FFFFFF"/>
            <w:vAlign w:val="center"/>
          </w:tcPr>
          <w:p>
            <w:pPr>
              <w:widowControl/>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责令改正，给予警告；拒不改正的，处五千元以上五万元以下罚款；情节严重的，责令停产停业，直至吊销许可证。</w:t>
            </w:r>
          </w:p>
        </w:tc>
        <w:tc>
          <w:tcPr>
            <w:tcW w:w="2416" w:type="dxa"/>
            <w:tcBorders>
              <w:top w:val="single" w:color="auto" w:sz="4" w:space="0"/>
              <w:left w:val="nil"/>
              <w:bottom w:val="single" w:color="auto" w:sz="4" w:space="0"/>
              <w:right w:val="single" w:color="auto" w:sz="4" w:space="0"/>
            </w:tcBorders>
            <w:shd w:val="clear" w:color="auto" w:fill="FFFFFF"/>
            <w:vAlign w:val="center"/>
          </w:tcPr>
          <w:p>
            <w:pPr>
              <w:widowControl/>
              <w:spacing w:line="36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《食品安全法》第一百二十六条第四款</w:t>
            </w:r>
            <w:r>
              <w:rPr>
                <w:rFonts w:hint="eastAsia" w:ascii="仿宋_GB2312" w:hAnsi="仿宋_GB2312" w:eastAsia="仿宋_GB2312" w:cs="仿宋_GB2312"/>
                <w:sz w:val="24"/>
                <w:szCs w:val="24"/>
                <w:lang w:eastAsia="zh-CN"/>
              </w:rPr>
              <w:t>。</w:t>
            </w:r>
          </w:p>
        </w:tc>
      </w:tr>
      <w:tr>
        <w:tblPrEx>
          <w:tblLayout w:type="fixed"/>
          <w:tblCellMar>
            <w:top w:w="0" w:type="dxa"/>
            <w:left w:w="108" w:type="dxa"/>
            <w:bottom w:w="0" w:type="dxa"/>
            <w:right w:w="108" w:type="dxa"/>
          </w:tblCellMar>
        </w:tblPrEx>
        <w:trPr>
          <w:trHeight w:val="774" w:hRule="atLeast"/>
        </w:trPr>
        <w:tc>
          <w:tcPr>
            <w:tcW w:w="73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bCs/>
                <w:color w:val="000000"/>
                <w:sz w:val="24"/>
                <w:szCs w:val="24"/>
              </w:rPr>
            </w:pPr>
          </w:p>
        </w:tc>
        <w:tc>
          <w:tcPr>
            <w:tcW w:w="7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color w:val="000000"/>
                <w:sz w:val="24"/>
                <w:szCs w:val="24"/>
                <w:lang w:val="en-US" w:eastAsia="zh-CN"/>
              </w:rPr>
            </w:pPr>
          </w:p>
          <w:p>
            <w:pPr>
              <w:widowControl/>
              <w:spacing w:line="360" w:lineRule="exact"/>
              <w:jc w:val="center"/>
              <w:rPr>
                <w:rFonts w:hint="eastAsia" w:ascii="仿宋_GB2312" w:hAnsi="仿宋_GB2312" w:eastAsia="仿宋_GB2312" w:cs="仿宋_GB2312"/>
                <w:color w:val="000000"/>
                <w:sz w:val="24"/>
                <w:szCs w:val="24"/>
                <w:lang w:val="en-US" w:eastAsia="zh-CN"/>
              </w:rPr>
            </w:pPr>
          </w:p>
          <w:p>
            <w:pPr>
              <w:widowControl/>
              <w:spacing w:line="36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四、包装及标签</w:t>
            </w:r>
          </w:p>
        </w:tc>
        <w:tc>
          <w:tcPr>
            <w:tcW w:w="4616" w:type="dxa"/>
            <w:tcBorders>
              <w:top w:val="nil"/>
              <w:left w:val="nil"/>
              <w:bottom w:val="single" w:color="auto" w:sz="4" w:space="0"/>
              <w:right w:val="single" w:color="auto" w:sz="4" w:space="0"/>
            </w:tcBorders>
            <w:shd w:val="clear" w:color="auto" w:fill="FFFFFF"/>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18.</w:t>
            </w:r>
            <w:r>
              <w:rPr>
                <w:rFonts w:hint="eastAsia" w:ascii="仿宋_GB2312" w:hAnsi="仿宋_GB2312" w:eastAsia="仿宋_GB2312" w:cs="仿宋_GB2312"/>
                <w:sz w:val="24"/>
                <w:szCs w:val="24"/>
              </w:rPr>
              <w:t>销售应当包装或者附加标签的食用农产品，在包装或者附加标签后方可销售。包装或者标签上应当按照规定标注食用农产品名称、产地、生产者、生产日期等内容;对保质期有要求的，应当标注保质期;保质期与贮藏条件有关的，应当予以标明;有分级标准或者使用食品添加剂的，应当标明产品质量等级或者食品添加剂名称。标签及标注的内容应当使用规范的中文不得含有虚假、错误或者其他误导性内容。</w:t>
            </w:r>
          </w:p>
        </w:tc>
        <w:tc>
          <w:tcPr>
            <w:tcW w:w="25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《食用农产品市场销售质量安全监督管理办法》第三十二条</w:t>
            </w:r>
            <w:r>
              <w:rPr>
                <w:rFonts w:hint="eastAsia" w:ascii="仿宋_GB2312" w:hAnsi="仿宋_GB2312" w:eastAsia="仿宋_GB2312" w:cs="仿宋_GB2312"/>
                <w:sz w:val="24"/>
                <w:szCs w:val="24"/>
                <w:lang w:val="en-US" w:eastAsia="zh-CN"/>
              </w:rPr>
              <w:t>第一款、第二款。</w:t>
            </w:r>
          </w:p>
        </w:tc>
        <w:tc>
          <w:tcPr>
            <w:tcW w:w="30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责令改正，给予警告;拒不改正的，处</w:t>
            </w:r>
            <w:r>
              <w:rPr>
                <w:rFonts w:hint="eastAsia" w:ascii="仿宋_GB2312" w:hAnsi="仿宋_GB2312" w:eastAsia="仿宋_GB2312" w:cs="仿宋_GB2312"/>
                <w:sz w:val="24"/>
                <w:szCs w:val="24"/>
                <w:lang w:val="en-US" w:eastAsia="zh-CN"/>
              </w:rPr>
              <w:t>五千</w:t>
            </w:r>
            <w:r>
              <w:rPr>
                <w:rFonts w:hint="eastAsia" w:ascii="仿宋_GB2312" w:hAnsi="仿宋_GB2312" w:eastAsia="仿宋_GB2312" w:cs="仿宋_GB2312"/>
                <w:sz w:val="24"/>
                <w:szCs w:val="24"/>
              </w:rPr>
              <w:t>元以上</w:t>
            </w:r>
            <w:r>
              <w:rPr>
                <w:rFonts w:hint="eastAsia" w:ascii="仿宋_GB2312" w:hAnsi="仿宋_GB2312" w:eastAsia="仿宋_GB2312" w:cs="仿宋_GB2312"/>
                <w:sz w:val="24"/>
                <w:szCs w:val="24"/>
                <w:lang w:val="en-US" w:eastAsia="zh-CN"/>
              </w:rPr>
              <w:t>三</w:t>
            </w:r>
            <w:r>
              <w:rPr>
                <w:rFonts w:hint="eastAsia" w:ascii="仿宋_GB2312" w:hAnsi="仿宋_GB2312" w:eastAsia="仿宋_GB2312" w:cs="仿宋_GB2312"/>
                <w:sz w:val="24"/>
                <w:szCs w:val="24"/>
              </w:rPr>
              <w:t>万元以下罚款。</w:t>
            </w:r>
          </w:p>
        </w:tc>
        <w:tc>
          <w:tcPr>
            <w:tcW w:w="24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《食用农产品市场销售质量安全监督管理办法》第五十二条</w:t>
            </w:r>
            <w:r>
              <w:rPr>
                <w:rFonts w:hint="eastAsia" w:ascii="仿宋_GB2312" w:hAnsi="仿宋_GB2312" w:eastAsia="仿宋_GB2312" w:cs="仿宋_GB2312"/>
                <w:sz w:val="24"/>
                <w:szCs w:val="24"/>
                <w:lang w:eastAsia="zh-CN"/>
              </w:rPr>
              <w:t>。</w:t>
            </w:r>
          </w:p>
        </w:tc>
      </w:tr>
      <w:tr>
        <w:tblPrEx>
          <w:tblLayout w:type="fixed"/>
          <w:tblCellMar>
            <w:top w:w="0" w:type="dxa"/>
            <w:left w:w="108" w:type="dxa"/>
            <w:bottom w:w="0" w:type="dxa"/>
            <w:right w:w="108" w:type="dxa"/>
          </w:tblCellMar>
        </w:tblPrEx>
        <w:trPr>
          <w:trHeight w:val="2337" w:hRule="atLeast"/>
        </w:trPr>
        <w:tc>
          <w:tcPr>
            <w:tcW w:w="73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bCs/>
                <w:color w:val="000000"/>
                <w:sz w:val="24"/>
                <w:szCs w:val="24"/>
              </w:rPr>
            </w:pPr>
          </w:p>
        </w:tc>
        <w:tc>
          <w:tcPr>
            <w:tcW w:w="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五、包装及标签</w:t>
            </w:r>
          </w:p>
          <w:p>
            <w:pPr>
              <w:widowControl/>
              <w:spacing w:line="360" w:lineRule="exact"/>
              <w:jc w:val="center"/>
              <w:rPr>
                <w:rFonts w:hint="eastAsia" w:ascii="仿宋_GB2312" w:hAnsi="仿宋_GB2312" w:eastAsia="仿宋_GB2312" w:cs="仿宋_GB2312"/>
                <w:color w:val="000000"/>
                <w:sz w:val="24"/>
                <w:szCs w:val="24"/>
              </w:rPr>
            </w:pPr>
          </w:p>
        </w:tc>
        <w:tc>
          <w:tcPr>
            <w:tcW w:w="46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19</w:t>
            </w:r>
            <w:r>
              <w:rPr>
                <w:rFonts w:hint="eastAsia" w:ascii="仿宋_GB2312" w:hAnsi="仿宋_GB2312" w:eastAsia="仿宋_GB2312" w:cs="仿宋_GB2312"/>
                <w:sz w:val="24"/>
                <w:szCs w:val="24"/>
              </w:rPr>
              <w:t>销售获得无公害农产品、绿色食品、有机农产品等认证的食用农产品以及省级以上农业行政部门规定的其他需要包装销售的应当包装，并标注相应标志和发证机构，鲜活畜、禽、水产品等除外。</w:t>
            </w:r>
          </w:p>
        </w:tc>
        <w:tc>
          <w:tcPr>
            <w:tcW w:w="25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《食用农产品市场销售质量安全监督管理办法》第三十三条</w:t>
            </w:r>
            <w:r>
              <w:rPr>
                <w:rFonts w:hint="eastAsia" w:ascii="仿宋_GB2312" w:hAnsi="仿宋_GB2312" w:eastAsia="仿宋_GB2312" w:cs="仿宋_GB2312"/>
                <w:sz w:val="24"/>
                <w:szCs w:val="24"/>
                <w:lang w:eastAsia="zh-CN"/>
              </w:rPr>
              <w:t>。</w:t>
            </w:r>
          </w:p>
        </w:tc>
        <w:tc>
          <w:tcPr>
            <w:tcW w:w="30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责令改正，给予警告;拒不改正的，处</w:t>
            </w:r>
            <w:r>
              <w:rPr>
                <w:rFonts w:hint="eastAsia" w:ascii="仿宋_GB2312" w:hAnsi="仿宋_GB2312" w:eastAsia="仿宋_GB2312" w:cs="仿宋_GB2312"/>
                <w:sz w:val="24"/>
                <w:szCs w:val="24"/>
                <w:lang w:val="en-US" w:eastAsia="zh-CN"/>
              </w:rPr>
              <w:t>五千</w:t>
            </w:r>
            <w:r>
              <w:rPr>
                <w:rFonts w:hint="eastAsia" w:ascii="仿宋_GB2312" w:hAnsi="仿宋_GB2312" w:eastAsia="仿宋_GB2312" w:cs="仿宋_GB2312"/>
                <w:sz w:val="24"/>
                <w:szCs w:val="24"/>
              </w:rPr>
              <w:t>元以上</w:t>
            </w:r>
            <w:r>
              <w:rPr>
                <w:rFonts w:hint="eastAsia" w:ascii="仿宋_GB2312" w:hAnsi="仿宋_GB2312" w:eastAsia="仿宋_GB2312" w:cs="仿宋_GB2312"/>
                <w:sz w:val="24"/>
                <w:szCs w:val="24"/>
                <w:lang w:val="en-US" w:eastAsia="zh-CN"/>
              </w:rPr>
              <w:t>三</w:t>
            </w:r>
            <w:r>
              <w:rPr>
                <w:rFonts w:hint="eastAsia" w:ascii="仿宋_GB2312" w:hAnsi="仿宋_GB2312" w:eastAsia="仿宋_GB2312" w:cs="仿宋_GB2312"/>
                <w:sz w:val="24"/>
                <w:szCs w:val="24"/>
              </w:rPr>
              <w:t>万元以下罚款。</w:t>
            </w:r>
          </w:p>
        </w:tc>
        <w:tc>
          <w:tcPr>
            <w:tcW w:w="24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《食用农产品市场销售质量安全监督管理办法》第五十二条</w:t>
            </w:r>
            <w:r>
              <w:rPr>
                <w:rFonts w:hint="eastAsia" w:ascii="仿宋_GB2312" w:hAnsi="仿宋_GB2312" w:eastAsia="仿宋_GB2312" w:cs="仿宋_GB2312"/>
                <w:sz w:val="24"/>
                <w:szCs w:val="24"/>
                <w:lang w:eastAsia="zh-CN"/>
              </w:rPr>
              <w:t>。</w:t>
            </w:r>
          </w:p>
        </w:tc>
      </w:tr>
      <w:tr>
        <w:tblPrEx>
          <w:tblLayout w:type="fixed"/>
          <w:tblCellMar>
            <w:top w:w="0" w:type="dxa"/>
            <w:left w:w="108" w:type="dxa"/>
            <w:bottom w:w="0" w:type="dxa"/>
            <w:right w:w="108" w:type="dxa"/>
          </w:tblCellMar>
        </w:tblPrEx>
        <w:trPr>
          <w:trHeight w:val="2220" w:hRule="atLeast"/>
        </w:trPr>
        <w:tc>
          <w:tcPr>
            <w:tcW w:w="730" w:type="dxa"/>
            <w:vMerge w:val="continue"/>
            <w:tcBorders>
              <w:left w:val="single" w:color="auto" w:sz="4" w:space="0"/>
              <w:bottom w:val="single" w:color="auto" w:sz="4" w:space="0"/>
              <w:right w:val="single" w:color="auto" w:sz="4" w:space="0"/>
            </w:tcBorders>
            <w:shd w:val="clear" w:color="auto" w:fill="auto"/>
            <w:vAlign w:val="center"/>
          </w:tcPr>
          <w:p>
            <w:pPr>
              <w:widowControl/>
              <w:spacing w:line="360" w:lineRule="exact"/>
            </w:pPr>
          </w:p>
        </w:tc>
        <w:tc>
          <w:tcPr>
            <w:tcW w:w="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pPr>
          </w:p>
        </w:tc>
        <w:tc>
          <w:tcPr>
            <w:tcW w:w="4616" w:type="dxa"/>
            <w:tcBorders>
              <w:top w:val="single" w:color="auto" w:sz="4" w:space="0"/>
              <w:left w:val="nil"/>
              <w:bottom w:val="single" w:color="auto" w:sz="4" w:space="0"/>
              <w:right w:val="single" w:color="auto" w:sz="4" w:space="0"/>
            </w:tcBorders>
            <w:shd w:val="clear" w:color="auto" w:fill="FFFFFF"/>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rPr>
              <w:t>获得无公害农产品、绿色食品、有机产品、农产品地理标志产品等质量标志使用权的食用农产品，但是鲜活畜、禽、水产品除外</w:t>
            </w:r>
            <w:r>
              <w:rPr>
                <w:rFonts w:hint="eastAsia" w:ascii="仿宋_GB2312" w:hAnsi="仿宋_GB2312" w:eastAsia="仿宋_GB2312" w:cs="仿宋_GB2312"/>
                <w:color w:val="000000"/>
                <w:sz w:val="24"/>
                <w:szCs w:val="24"/>
                <w:lang w:val="en-US" w:eastAsia="zh-CN"/>
              </w:rPr>
              <w:t>和</w:t>
            </w:r>
            <w:r>
              <w:rPr>
                <w:rFonts w:hint="eastAsia" w:ascii="仿宋_GB2312" w:hAnsi="仿宋_GB2312" w:eastAsia="仿宋_GB2312" w:cs="仿宋_GB2312"/>
                <w:color w:val="000000"/>
                <w:sz w:val="24"/>
                <w:szCs w:val="24"/>
              </w:rPr>
              <w:t>自治区人民政府农业农村部门规定的其他需要包装销售的食用农产品未按照规定进行包装、标注的</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br w:type="textWrapping"/>
            </w:r>
          </w:p>
        </w:tc>
        <w:tc>
          <w:tcPr>
            <w:tcW w:w="25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广西壮族自治区食品安全条例</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第五十二条第一款。</w:t>
            </w:r>
          </w:p>
        </w:tc>
        <w:tc>
          <w:tcPr>
            <w:tcW w:w="302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责令改正；拒不改正的，处五千元以上三万元以下罚款</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br w:type="textWrapping"/>
            </w:r>
          </w:p>
          <w:p>
            <w:pPr>
              <w:widowControl/>
              <w:spacing w:line="360" w:lineRule="exact"/>
              <w:rPr>
                <w:rFonts w:hint="eastAsia" w:ascii="仿宋_GB2312" w:hAnsi="仿宋_GB2312" w:eastAsia="仿宋_GB2312" w:cs="仿宋_GB2312"/>
                <w:sz w:val="24"/>
                <w:szCs w:val="24"/>
              </w:rPr>
            </w:pPr>
          </w:p>
        </w:tc>
        <w:tc>
          <w:tcPr>
            <w:tcW w:w="24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广西壮族自治区食品安全条例</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第八十二条。</w:t>
            </w:r>
          </w:p>
        </w:tc>
      </w:tr>
      <w:tr>
        <w:tblPrEx>
          <w:tblLayout w:type="fixed"/>
          <w:tblCellMar>
            <w:top w:w="0" w:type="dxa"/>
            <w:left w:w="108" w:type="dxa"/>
            <w:bottom w:w="0" w:type="dxa"/>
            <w:right w:w="108" w:type="dxa"/>
          </w:tblCellMar>
        </w:tblPrEx>
        <w:trPr>
          <w:trHeight w:val="2520" w:hRule="atLeast"/>
        </w:trPr>
        <w:tc>
          <w:tcPr>
            <w:tcW w:w="73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bCs/>
                <w:color w:val="000000"/>
                <w:sz w:val="24"/>
                <w:szCs w:val="24"/>
              </w:rPr>
            </w:pPr>
          </w:p>
        </w:tc>
        <w:tc>
          <w:tcPr>
            <w:tcW w:w="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color w:val="000000"/>
                <w:sz w:val="24"/>
                <w:szCs w:val="24"/>
              </w:rPr>
            </w:pPr>
          </w:p>
        </w:tc>
        <w:tc>
          <w:tcPr>
            <w:tcW w:w="4616" w:type="dxa"/>
            <w:tcBorders>
              <w:top w:val="nil"/>
              <w:left w:val="nil"/>
              <w:bottom w:val="single" w:color="auto" w:sz="4" w:space="0"/>
              <w:right w:val="single" w:color="auto" w:sz="4" w:space="0"/>
            </w:tcBorders>
            <w:shd w:val="clear" w:color="auto" w:fill="FFFFFF"/>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21.</w:t>
            </w:r>
            <w:r>
              <w:rPr>
                <w:rFonts w:hint="eastAsia" w:ascii="仿宋_GB2312" w:hAnsi="仿宋_GB2312" w:eastAsia="仿宋_GB2312" w:cs="仿宋_GB2312"/>
                <w:sz w:val="24"/>
                <w:szCs w:val="24"/>
              </w:rPr>
              <w:t>进口食用农产品的包装或者标签应当符合我国法律、行政法规的规定和食品安全国家标准要求，并载明原产地，境内代理商的名称、地址、联系方式。</w:t>
            </w:r>
          </w:p>
        </w:tc>
        <w:tc>
          <w:tcPr>
            <w:tcW w:w="250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《食用农产品市场销售质量安全监督管理办法》第三十五条</w:t>
            </w:r>
            <w:r>
              <w:rPr>
                <w:rFonts w:hint="eastAsia" w:ascii="仿宋_GB2312" w:hAnsi="仿宋_GB2312" w:eastAsia="仿宋_GB2312" w:cs="仿宋_GB2312"/>
                <w:sz w:val="24"/>
                <w:szCs w:val="24"/>
                <w:lang w:eastAsia="zh-CN"/>
              </w:rPr>
              <w:t>。</w:t>
            </w:r>
          </w:p>
        </w:tc>
        <w:tc>
          <w:tcPr>
            <w:tcW w:w="3020" w:type="dxa"/>
            <w:tcBorders>
              <w:top w:val="single" w:color="auto" w:sz="4" w:space="0"/>
              <w:left w:val="nil"/>
              <w:bottom w:val="single" w:color="auto" w:sz="4" w:space="0"/>
              <w:right w:val="single" w:color="auto" w:sz="4" w:space="0"/>
            </w:tcBorders>
            <w:shd w:val="clear" w:color="auto" w:fill="FFFFFF"/>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责令改正，给予警告;拒不改正的，处</w:t>
            </w:r>
            <w:r>
              <w:rPr>
                <w:rFonts w:hint="eastAsia" w:ascii="仿宋_GB2312" w:hAnsi="仿宋_GB2312" w:eastAsia="仿宋_GB2312" w:cs="仿宋_GB2312"/>
                <w:sz w:val="24"/>
                <w:szCs w:val="24"/>
                <w:lang w:val="en-US" w:eastAsia="zh-CN"/>
              </w:rPr>
              <w:t>五千</w:t>
            </w:r>
            <w:r>
              <w:rPr>
                <w:rFonts w:hint="eastAsia" w:ascii="仿宋_GB2312" w:hAnsi="仿宋_GB2312" w:eastAsia="仿宋_GB2312" w:cs="仿宋_GB2312"/>
                <w:sz w:val="24"/>
                <w:szCs w:val="24"/>
              </w:rPr>
              <w:t>元以上</w:t>
            </w:r>
            <w:r>
              <w:rPr>
                <w:rFonts w:hint="eastAsia" w:ascii="仿宋_GB2312" w:hAnsi="仿宋_GB2312" w:eastAsia="仿宋_GB2312" w:cs="仿宋_GB2312"/>
                <w:sz w:val="24"/>
                <w:szCs w:val="24"/>
                <w:lang w:val="en-US" w:eastAsia="zh-CN"/>
              </w:rPr>
              <w:t>三</w:t>
            </w:r>
            <w:r>
              <w:rPr>
                <w:rFonts w:hint="eastAsia" w:ascii="仿宋_GB2312" w:hAnsi="仿宋_GB2312" w:eastAsia="仿宋_GB2312" w:cs="仿宋_GB2312"/>
                <w:sz w:val="24"/>
                <w:szCs w:val="24"/>
              </w:rPr>
              <w:t>万元以下罚款。</w:t>
            </w:r>
          </w:p>
        </w:tc>
        <w:tc>
          <w:tcPr>
            <w:tcW w:w="2416" w:type="dxa"/>
            <w:tcBorders>
              <w:top w:val="single" w:color="auto" w:sz="4" w:space="0"/>
              <w:left w:val="nil"/>
              <w:bottom w:val="single" w:color="auto" w:sz="4" w:space="0"/>
              <w:right w:val="single" w:color="auto" w:sz="4" w:space="0"/>
            </w:tcBorders>
            <w:shd w:val="clear" w:color="auto" w:fill="FFFFFF"/>
            <w:vAlign w:val="center"/>
          </w:tcPr>
          <w:p>
            <w:pPr>
              <w:widowControl/>
              <w:spacing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《食用农产品市场销售质量安全监督管理办法》第五十二条</w:t>
            </w:r>
            <w:r>
              <w:rPr>
                <w:rFonts w:hint="eastAsia" w:ascii="仿宋_GB2312" w:hAnsi="仿宋_GB2312" w:eastAsia="仿宋_GB2312" w:cs="仿宋_GB2312"/>
                <w:sz w:val="24"/>
                <w:szCs w:val="24"/>
                <w:lang w:eastAsia="zh-CN"/>
              </w:rPr>
              <w:t>。</w:t>
            </w:r>
          </w:p>
        </w:tc>
      </w:tr>
      <w:tr>
        <w:tblPrEx>
          <w:tblLayout w:type="fixed"/>
          <w:tblCellMar>
            <w:top w:w="0" w:type="dxa"/>
            <w:left w:w="108" w:type="dxa"/>
            <w:bottom w:w="0" w:type="dxa"/>
            <w:right w:w="108" w:type="dxa"/>
          </w:tblCellMar>
        </w:tblPrEx>
        <w:trPr>
          <w:trHeight w:val="90" w:hRule="atLeast"/>
        </w:trPr>
        <w:tc>
          <w:tcPr>
            <w:tcW w:w="73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bCs/>
                <w:color w:val="000000"/>
                <w:sz w:val="24"/>
                <w:szCs w:val="24"/>
              </w:rPr>
            </w:pPr>
          </w:p>
        </w:tc>
        <w:tc>
          <w:tcPr>
            <w:tcW w:w="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color w:val="000000"/>
                <w:sz w:val="24"/>
                <w:szCs w:val="24"/>
              </w:rPr>
            </w:pPr>
          </w:p>
        </w:tc>
        <w:tc>
          <w:tcPr>
            <w:tcW w:w="4616" w:type="dxa"/>
            <w:tcBorders>
              <w:top w:val="nil"/>
              <w:left w:val="nil"/>
              <w:bottom w:val="single" w:color="auto" w:sz="4" w:space="0"/>
              <w:right w:val="single" w:color="auto" w:sz="4" w:space="0"/>
            </w:tcBorders>
            <w:shd w:val="clear" w:color="auto" w:fill="FFFFFF"/>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22.</w:t>
            </w:r>
            <w:r>
              <w:rPr>
                <w:rFonts w:hint="eastAsia" w:ascii="仿宋_GB2312" w:hAnsi="仿宋_GB2312" w:eastAsia="仿宋_GB2312" w:cs="仿宋_GB2312"/>
                <w:sz w:val="24"/>
                <w:szCs w:val="24"/>
              </w:rPr>
              <w:t>销售未包装的食用农产品，应当在摊位(柜台)明显位置如实公布食用农产品名称、产地、生产者或者销售者名称或者姓名等信息。</w:t>
            </w:r>
          </w:p>
        </w:tc>
        <w:tc>
          <w:tcPr>
            <w:tcW w:w="2508" w:type="dxa"/>
            <w:tcBorders>
              <w:top w:val="nil"/>
              <w:left w:val="nil"/>
              <w:bottom w:val="single" w:color="auto" w:sz="4" w:space="0"/>
              <w:right w:val="single" w:color="auto" w:sz="4" w:space="0"/>
            </w:tcBorders>
            <w:shd w:val="clear" w:color="auto" w:fill="FFFFFF"/>
            <w:vAlign w:val="center"/>
          </w:tcPr>
          <w:p>
            <w:pPr>
              <w:widowControl/>
              <w:spacing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《食用农产品市场销售质量安全监督管理办法》第三十四条第一款</w:t>
            </w:r>
            <w:r>
              <w:rPr>
                <w:rFonts w:hint="eastAsia" w:ascii="仿宋_GB2312" w:hAnsi="仿宋_GB2312" w:eastAsia="仿宋_GB2312" w:cs="仿宋_GB2312"/>
                <w:sz w:val="24"/>
                <w:szCs w:val="24"/>
                <w:lang w:eastAsia="zh-CN"/>
              </w:rPr>
              <w:t>。</w:t>
            </w:r>
          </w:p>
        </w:tc>
        <w:tc>
          <w:tcPr>
            <w:tcW w:w="3020" w:type="dxa"/>
            <w:tcBorders>
              <w:top w:val="nil"/>
              <w:left w:val="nil"/>
              <w:bottom w:val="single" w:color="auto" w:sz="4" w:space="0"/>
              <w:right w:val="single" w:color="auto" w:sz="4" w:space="0"/>
            </w:tcBorders>
            <w:shd w:val="clear" w:color="auto" w:fill="FFFFFF"/>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责令改正，给予警告;拒不改正的，处</w:t>
            </w:r>
            <w:r>
              <w:rPr>
                <w:rFonts w:hint="eastAsia" w:ascii="仿宋_GB2312" w:hAnsi="仿宋_GB2312" w:eastAsia="仿宋_GB2312" w:cs="仿宋_GB2312"/>
                <w:sz w:val="24"/>
                <w:szCs w:val="24"/>
                <w:lang w:val="en-US" w:eastAsia="zh-CN"/>
              </w:rPr>
              <w:t>五千</w:t>
            </w:r>
            <w:r>
              <w:rPr>
                <w:rFonts w:hint="eastAsia" w:ascii="仿宋_GB2312" w:hAnsi="仿宋_GB2312" w:eastAsia="仿宋_GB2312" w:cs="仿宋_GB2312"/>
                <w:sz w:val="24"/>
                <w:szCs w:val="24"/>
              </w:rPr>
              <w:t>元以上</w:t>
            </w:r>
            <w:r>
              <w:rPr>
                <w:rFonts w:hint="eastAsia" w:ascii="仿宋_GB2312" w:hAnsi="仿宋_GB2312" w:eastAsia="仿宋_GB2312" w:cs="仿宋_GB2312"/>
                <w:sz w:val="24"/>
                <w:szCs w:val="24"/>
                <w:lang w:val="en-US" w:eastAsia="zh-CN"/>
              </w:rPr>
              <w:t>一</w:t>
            </w:r>
            <w:r>
              <w:rPr>
                <w:rFonts w:hint="eastAsia" w:ascii="仿宋_GB2312" w:hAnsi="仿宋_GB2312" w:eastAsia="仿宋_GB2312" w:cs="仿宋_GB2312"/>
                <w:sz w:val="24"/>
                <w:szCs w:val="24"/>
              </w:rPr>
              <w:t>万元以下罚款。</w:t>
            </w:r>
          </w:p>
        </w:tc>
        <w:tc>
          <w:tcPr>
            <w:tcW w:w="2416" w:type="dxa"/>
            <w:tcBorders>
              <w:top w:val="nil"/>
              <w:left w:val="nil"/>
              <w:bottom w:val="single" w:color="auto" w:sz="4" w:space="0"/>
              <w:right w:val="single" w:color="auto" w:sz="4" w:space="0"/>
            </w:tcBorders>
            <w:shd w:val="clear" w:color="auto" w:fill="FFFFFF"/>
            <w:vAlign w:val="center"/>
          </w:tcPr>
          <w:p>
            <w:pPr>
              <w:widowControl/>
              <w:spacing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《食用农产品市场销售质量安全监督管理办法》第五十三条</w:t>
            </w:r>
            <w:r>
              <w:rPr>
                <w:rFonts w:hint="eastAsia" w:ascii="仿宋_GB2312" w:hAnsi="仿宋_GB2312" w:eastAsia="仿宋_GB2312" w:cs="仿宋_GB2312"/>
                <w:sz w:val="24"/>
                <w:szCs w:val="24"/>
                <w:lang w:eastAsia="zh-CN"/>
              </w:rPr>
              <w:t>。</w:t>
            </w:r>
          </w:p>
        </w:tc>
      </w:tr>
      <w:tr>
        <w:tblPrEx>
          <w:tblLayout w:type="fixed"/>
          <w:tblCellMar>
            <w:top w:w="0" w:type="dxa"/>
            <w:left w:w="108" w:type="dxa"/>
            <w:bottom w:w="0" w:type="dxa"/>
            <w:right w:w="108" w:type="dxa"/>
          </w:tblCellMar>
        </w:tblPrEx>
        <w:trPr>
          <w:trHeight w:val="2245" w:hRule="atLeast"/>
        </w:trPr>
        <w:tc>
          <w:tcPr>
            <w:tcW w:w="1490" w:type="dxa"/>
            <w:gridSpan w:val="2"/>
            <w:vMerge w:val="restart"/>
            <w:tcBorders>
              <w:top w:val="single" w:color="auto" w:sz="4" w:space="0"/>
              <w:left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贮存服务提供者责任</w:t>
            </w: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lang w:val="en-US" w:eastAsia="zh-CN"/>
              </w:rPr>
            </w:pPr>
          </w:p>
          <w:p>
            <w:pPr>
              <w:widowControl/>
              <w:spacing w:line="36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储存服务提供者责任</w:t>
            </w: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center"/>
              <w:rPr>
                <w:rFonts w:hint="eastAsia" w:ascii="仿宋_GB2312" w:hAnsi="仿宋_GB2312" w:eastAsia="仿宋_GB2312" w:cs="仿宋_GB2312"/>
                <w:b/>
                <w:bCs w:val="0"/>
                <w:color w:val="000000"/>
                <w:sz w:val="24"/>
                <w:szCs w:val="24"/>
              </w:rPr>
            </w:pPr>
          </w:p>
          <w:p>
            <w:pPr>
              <w:widowControl/>
              <w:spacing w:line="360" w:lineRule="exact"/>
              <w:jc w:val="both"/>
              <w:rPr>
                <w:rFonts w:hint="eastAsia" w:ascii="仿宋_GB2312" w:hAnsi="仿宋_GB2312" w:eastAsia="仿宋_GB2312" w:cs="仿宋_GB2312"/>
                <w:color w:val="000000"/>
                <w:sz w:val="24"/>
                <w:szCs w:val="24"/>
              </w:rPr>
            </w:pPr>
          </w:p>
        </w:tc>
        <w:tc>
          <w:tcPr>
            <w:tcW w:w="461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23</w:t>
            </w:r>
            <w:r>
              <w:rPr>
                <w:rFonts w:hint="eastAsia" w:ascii="仿宋_GB2312" w:hAnsi="仿宋_GB2312" w:eastAsia="仿宋_GB2312" w:cs="仿宋_GB2312"/>
                <w:sz w:val="24"/>
                <w:szCs w:val="24"/>
              </w:rPr>
              <w:t>.如实向所在地县级食品监督管理部门报告其名称、地址、法定代表人或者负责人姓名、社会信用代码或者身份证号码、联系方式以及所提供服务的销售者名称、贮存的食用农产品品种、数量等信息;</w:t>
            </w:r>
          </w:p>
        </w:tc>
        <w:tc>
          <w:tcPr>
            <w:tcW w:w="250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《食用农产品市场销售质量安全监督管理办法》第二十八条第二款</w:t>
            </w:r>
            <w:r>
              <w:rPr>
                <w:rFonts w:hint="eastAsia" w:ascii="仿宋_GB2312" w:hAnsi="仿宋_GB2312" w:eastAsia="仿宋_GB2312" w:cs="仿宋_GB2312"/>
                <w:sz w:val="24"/>
                <w:szCs w:val="24"/>
                <w:lang w:eastAsia="zh-CN"/>
              </w:rPr>
              <w:t>。</w:t>
            </w:r>
          </w:p>
        </w:tc>
        <w:tc>
          <w:tcPr>
            <w:tcW w:w="3020"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责令改正，给予警告;拒不改正的，处</w:t>
            </w:r>
            <w:r>
              <w:rPr>
                <w:rFonts w:hint="eastAsia" w:ascii="仿宋_GB2312" w:hAnsi="仿宋_GB2312" w:eastAsia="仿宋_GB2312" w:cs="仿宋_GB2312"/>
                <w:sz w:val="24"/>
                <w:szCs w:val="24"/>
                <w:lang w:val="en-US" w:eastAsia="zh-CN"/>
              </w:rPr>
              <w:t>五千</w:t>
            </w:r>
            <w:r>
              <w:rPr>
                <w:rFonts w:hint="eastAsia" w:ascii="仿宋_GB2312" w:hAnsi="仿宋_GB2312" w:eastAsia="仿宋_GB2312" w:cs="仿宋_GB2312"/>
                <w:sz w:val="24"/>
                <w:szCs w:val="24"/>
              </w:rPr>
              <w:t>元以上</w:t>
            </w:r>
            <w:r>
              <w:rPr>
                <w:rFonts w:hint="eastAsia" w:ascii="仿宋_GB2312" w:hAnsi="仿宋_GB2312" w:eastAsia="仿宋_GB2312" w:cs="仿宋_GB2312"/>
                <w:sz w:val="24"/>
                <w:szCs w:val="24"/>
                <w:lang w:val="en-US" w:eastAsia="zh-CN"/>
              </w:rPr>
              <w:t>三</w:t>
            </w:r>
            <w:r>
              <w:rPr>
                <w:rFonts w:hint="eastAsia" w:ascii="仿宋_GB2312" w:hAnsi="仿宋_GB2312" w:eastAsia="仿宋_GB2312" w:cs="仿宋_GB2312"/>
                <w:sz w:val="24"/>
                <w:szCs w:val="24"/>
              </w:rPr>
              <w:t>万元以下罚款。</w:t>
            </w:r>
          </w:p>
        </w:tc>
        <w:tc>
          <w:tcPr>
            <w:tcW w:w="2416"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《食用农产品市场销售质量安全监督管理办法》第五十一条</w:t>
            </w:r>
            <w:r>
              <w:rPr>
                <w:rFonts w:hint="eastAsia" w:ascii="仿宋_GB2312" w:hAnsi="仿宋_GB2312" w:eastAsia="仿宋_GB2312" w:cs="仿宋_GB2312"/>
                <w:sz w:val="24"/>
                <w:szCs w:val="24"/>
                <w:lang w:eastAsia="zh-CN"/>
              </w:rPr>
              <w:t>。</w:t>
            </w:r>
          </w:p>
        </w:tc>
      </w:tr>
      <w:tr>
        <w:tblPrEx>
          <w:tblLayout w:type="fixed"/>
          <w:tblCellMar>
            <w:top w:w="0" w:type="dxa"/>
            <w:left w:w="108" w:type="dxa"/>
            <w:bottom w:w="0" w:type="dxa"/>
            <w:right w:w="108" w:type="dxa"/>
          </w:tblCellMar>
        </w:tblPrEx>
        <w:trPr>
          <w:trHeight w:val="1080" w:hRule="atLeast"/>
        </w:trPr>
        <w:tc>
          <w:tcPr>
            <w:tcW w:w="1490" w:type="dxa"/>
            <w:gridSpan w:val="2"/>
            <w:vMerge w:val="continue"/>
            <w:tcBorders>
              <w:left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color w:val="000000"/>
                <w:sz w:val="24"/>
                <w:szCs w:val="24"/>
              </w:rPr>
            </w:pPr>
          </w:p>
        </w:tc>
        <w:tc>
          <w:tcPr>
            <w:tcW w:w="4616" w:type="dxa"/>
            <w:tcBorders>
              <w:top w:val="nil"/>
              <w:left w:val="nil"/>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24</w:t>
            </w:r>
            <w:r>
              <w:rPr>
                <w:rFonts w:hint="eastAsia" w:ascii="仿宋_GB2312" w:hAnsi="仿宋_GB2312" w:eastAsia="仿宋_GB2312" w:cs="仿宋_GB2312"/>
                <w:sz w:val="24"/>
                <w:szCs w:val="24"/>
              </w:rPr>
              <w:t>.查验所提供服务的销售者的营业执照或者身份证明和食用农产品产地或者来源证明、合格证明文件，并建立进出货台账，记录食用农产品名称、产地、贮存日期、出货日期、销售者名称或者姓名、联系方式等。进出货台账和相关证明材料保存期限不得少于</w:t>
            </w:r>
            <w:r>
              <w:rPr>
                <w:rFonts w:hint="eastAsia" w:ascii="仿宋_GB2312" w:hAnsi="仿宋_GB2312" w:eastAsia="仿宋_GB2312" w:cs="仿宋_GB2312"/>
                <w:sz w:val="24"/>
                <w:szCs w:val="24"/>
                <w:lang w:val="en-US" w:eastAsia="zh-CN"/>
              </w:rPr>
              <w:t>六</w:t>
            </w:r>
            <w:r>
              <w:rPr>
                <w:rFonts w:hint="eastAsia" w:ascii="仿宋_GB2312" w:hAnsi="仿宋_GB2312" w:eastAsia="仿宋_GB2312" w:cs="仿宋_GB2312"/>
                <w:sz w:val="24"/>
                <w:szCs w:val="24"/>
              </w:rPr>
              <w:t>个月;</w:t>
            </w:r>
          </w:p>
        </w:tc>
        <w:tc>
          <w:tcPr>
            <w:tcW w:w="250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仿宋_GB2312" w:eastAsia="仿宋_GB2312" w:cs="仿宋_GB2312"/>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仿宋_GB2312" w:eastAsia="仿宋_GB2312" w:cs="仿宋_GB2312"/>
                <w:sz w:val="24"/>
                <w:szCs w:val="24"/>
              </w:rPr>
            </w:pPr>
          </w:p>
        </w:tc>
        <w:tc>
          <w:tcPr>
            <w:tcW w:w="241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2370" w:hRule="atLeast"/>
        </w:trPr>
        <w:tc>
          <w:tcPr>
            <w:tcW w:w="1490" w:type="dxa"/>
            <w:gridSpan w:val="2"/>
            <w:vMerge w:val="continue"/>
            <w:tcBorders>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color w:val="000000"/>
                <w:sz w:val="24"/>
                <w:szCs w:val="24"/>
              </w:rPr>
            </w:pPr>
          </w:p>
        </w:tc>
        <w:tc>
          <w:tcPr>
            <w:tcW w:w="4616" w:type="dxa"/>
            <w:tcBorders>
              <w:top w:val="nil"/>
              <w:left w:val="nil"/>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25</w:t>
            </w:r>
            <w:r>
              <w:rPr>
                <w:rFonts w:hint="eastAsia" w:ascii="仿宋_GB2312" w:hAnsi="仿宋_GB2312" w:eastAsia="仿宋_GB2312" w:cs="仿宋_GB2312"/>
                <w:sz w:val="24"/>
                <w:szCs w:val="24"/>
              </w:rPr>
              <w:t>.保证贮存食用农产品的容器、工具和设备安全无害，保持清洁，防止污染，保证食用农产品质量安全所需的温度、湿度和环境等特殊要求，不得将食用农产品与有毒、有害物品一同贮存;</w:t>
            </w:r>
          </w:p>
        </w:tc>
        <w:tc>
          <w:tcPr>
            <w:tcW w:w="250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仿宋_GB2312" w:eastAsia="仿宋_GB2312" w:cs="仿宋_GB2312"/>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仿宋_GB2312" w:eastAsia="仿宋_GB2312" w:cs="仿宋_GB2312"/>
                <w:sz w:val="24"/>
                <w:szCs w:val="24"/>
              </w:rPr>
            </w:pPr>
          </w:p>
        </w:tc>
        <w:tc>
          <w:tcPr>
            <w:tcW w:w="241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851" w:hRule="atLeast"/>
        </w:trPr>
        <w:tc>
          <w:tcPr>
            <w:tcW w:w="1490" w:type="dxa"/>
            <w:gridSpan w:val="2"/>
            <w:vMerge w:val="continue"/>
            <w:tcBorders>
              <w:top w:val="single" w:color="auto" w:sz="4" w:space="0"/>
              <w:left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color w:val="000000"/>
                <w:sz w:val="24"/>
                <w:szCs w:val="24"/>
              </w:rPr>
            </w:pPr>
          </w:p>
        </w:tc>
        <w:tc>
          <w:tcPr>
            <w:tcW w:w="461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26</w:t>
            </w:r>
            <w:r>
              <w:rPr>
                <w:rFonts w:hint="eastAsia" w:ascii="仿宋_GB2312" w:hAnsi="仿宋_GB2312" w:eastAsia="仿宋_GB2312" w:cs="仿宋_GB2312"/>
                <w:sz w:val="24"/>
                <w:szCs w:val="24"/>
              </w:rPr>
              <w:t>.贮存肉类冻品应当查验并留存检疫合格证明、肉类检验合格证明等证明文件;</w:t>
            </w:r>
          </w:p>
        </w:tc>
        <w:tc>
          <w:tcPr>
            <w:tcW w:w="250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《食用农产品市场销售质量安全监督管理办法》第二十八条第二款</w:t>
            </w:r>
            <w:r>
              <w:rPr>
                <w:rFonts w:hint="eastAsia" w:ascii="仿宋_GB2312" w:hAnsi="仿宋_GB2312" w:eastAsia="仿宋_GB2312" w:cs="仿宋_GB2312"/>
                <w:sz w:val="24"/>
                <w:szCs w:val="24"/>
                <w:lang w:eastAsia="zh-CN"/>
              </w:rPr>
              <w:t>。</w:t>
            </w:r>
          </w:p>
        </w:tc>
        <w:tc>
          <w:tcPr>
            <w:tcW w:w="30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责令改正，给予警告;拒不改正的，处</w:t>
            </w:r>
            <w:r>
              <w:rPr>
                <w:rFonts w:hint="eastAsia" w:ascii="仿宋_GB2312" w:hAnsi="仿宋_GB2312" w:eastAsia="仿宋_GB2312" w:cs="仿宋_GB2312"/>
                <w:sz w:val="24"/>
                <w:szCs w:val="24"/>
                <w:lang w:val="en-US" w:eastAsia="zh-CN"/>
              </w:rPr>
              <w:t>五千</w:t>
            </w:r>
            <w:r>
              <w:rPr>
                <w:rFonts w:hint="eastAsia" w:ascii="仿宋_GB2312" w:hAnsi="仿宋_GB2312" w:eastAsia="仿宋_GB2312" w:cs="仿宋_GB2312"/>
                <w:sz w:val="24"/>
                <w:szCs w:val="24"/>
              </w:rPr>
              <w:t>元以上</w:t>
            </w:r>
            <w:r>
              <w:rPr>
                <w:rFonts w:hint="eastAsia" w:ascii="仿宋_GB2312" w:hAnsi="仿宋_GB2312" w:eastAsia="仿宋_GB2312" w:cs="仿宋_GB2312"/>
                <w:sz w:val="24"/>
                <w:szCs w:val="24"/>
                <w:lang w:val="en-US" w:eastAsia="zh-CN"/>
              </w:rPr>
              <w:t>三</w:t>
            </w:r>
            <w:r>
              <w:rPr>
                <w:rFonts w:hint="eastAsia" w:ascii="仿宋_GB2312" w:hAnsi="仿宋_GB2312" w:eastAsia="仿宋_GB2312" w:cs="仿宋_GB2312"/>
                <w:sz w:val="24"/>
                <w:szCs w:val="24"/>
              </w:rPr>
              <w:t>万元以下罚款。</w:t>
            </w:r>
          </w:p>
        </w:tc>
        <w:tc>
          <w:tcPr>
            <w:tcW w:w="24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《食用农产品市场销售质量安全监督管理办法》第五十一条</w:t>
            </w:r>
            <w:r>
              <w:rPr>
                <w:rFonts w:hint="eastAsia" w:ascii="仿宋_GB2312" w:hAnsi="仿宋_GB2312" w:eastAsia="仿宋_GB2312" w:cs="仿宋_GB2312"/>
                <w:sz w:val="24"/>
                <w:szCs w:val="24"/>
                <w:lang w:eastAsia="zh-CN"/>
              </w:rPr>
              <w:t>。</w:t>
            </w:r>
          </w:p>
        </w:tc>
      </w:tr>
      <w:tr>
        <w:tblPrEx>
          <w:tblLayout w:type="fixed"/>
          <w:tblCellMar>
            <w:top w:w="0" w:type="dxa"/>
            <w:left w:w="108" w:type="dxa"/>
            <w:bottom w:w="0" w:type="dxa"/>
            <w:right w:w="108" w:type="dxa"/>
          </w:tblCellMar>
        </w:tblPrEx>
        <w:trPr>
          <w:trHeight w:val="90" w:hRule="atLeast"/>
        </w:trPr>
        <w:tc>
          <w:tcPr>
            <w:tcW w:w="1490" w:type="dxa"/>
            <w:gridSpan w:val="2"/>
            <w:vMerge w:val="continue"/>
            <w:tcBorders>
              <w:left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color w:val="000000"/>
                <w:sz w:val="24"/>
                <w:szCs w:val="24"/>
              </w:rPr>
            </w:pPr>
          </w:p>
        </w:tc>
        <w:tc>
          <w:tcPr>
            <w:tcW w:w="4616" w:type="dxa"/>
            <w:tcBorders>
              <w:top w:val="nil"/>
              <w:left w:val="nil"/>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27</w:t>
            </w:r>
            <w:r>
              <w:rPr>
                <w:rFonts w:hint="eastAsia" w:ascii="仿宋_GB2312" w:hAnsi="仿宋_GB2312" w:eastAsia="仿宋_GB2312" w:cs="仿宋_GB2312"/>
                <w:sz w:val="24"/>
                <w:szCs w:val="24"/>
              </w:rPr>
              <w:t>.贮存进口食用农产品，应当查验并记录出入境检验检疫部门出具的入境货物检验检疫证明等证明文件;</w:t>
            </w:r>
          </w:p>
        </w:tc>
        <w:tc>
          <w:tcPr>
            <w:tcW w:w="2508" w:type="dxa"/>
            <w:vMerge w:val="restart"/>
            <w:tcBorders>
              <w:top w:val="single" w:color="auto" w:sz="4" w:space="0"/>
              <w:left w:val="single" w:color="auto" w:sz="4" w:space="0"/>
              <w:right w:val="single" w:color="auto" w:sz="4" w:space="0"/>
            </w:tcBorders>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《食用农产品市场销售质量安全监督管理办法》第二十八条第二款</w:t>
            </w:r>
            <w:r>
              <w:rPr>
                <w:rFonts w:hint="eastAsia" w:ascii="仿宋_GB2312" w:hAnsi="仿宋_GB2312" w:eastAsia="仿宋_GB2312" w:cs="仿宋_GB2312"/>
                <w:sz w:val="24"/>
                <w:szCs w:val="24"/>
                <w:lang w:eastAsia="zh-CN"/>
              </w:rPr>
              <w:t>。</w:t>
            </w:r>
          </w:p>
        </w:tc>
        <w:tc>
          <w:tcPr>
            <w:tcW w:w="3020" w:type="dxa"/>
            <w:vMerge w:val="restart"/>
            <w:tcBorders>
              <w:top w:val="single" w:color="auto" w:sz="4" w:space="0"/>
              <w:left w:val="single" w:color="auto" w:sz="4" w:space="0"/>
              <w:right w:val="single" w:color="auto" w:sz="4" w:space="0"/>
            </w:tcBorders>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责令改正，给予警告;拒不改正的，处</w:t>
            </w:r>
            <w:r>
              <w:rPr>
                <w:rFonts w:hint="eastAsia" w:ascii="仿宋_GB2312" w:hAnsi="仿宋_GB2312" w:eastAsia="仿宋_GB2312" w:cs="仿宋_GB2312"/>
                <w:sz w:val="24"/>
                <w:szCs w:val="24"/>
                <w:lang w:val="en-US" w:eastAsia="zh-CN"/>
              </w:rPr>
              <w:t>五千</w:t>
            </w:r>
            <w:r>
              <w:rPr>
                <w:rFonts w:hint="eastAsia" w:ascii="仿宋_GB2312" w:hAnsi="仿宋_GB2312" w:eastAsia="仿宋_GB2312" w:cs="仿宋_GB2312"/>
                <w:sz w:val="24"/>
                <w:szCs w:val="24"/>
              </w:rPr>
              <w:t>元以上</w:t>
            </w:r>
            <w:r>
              <w:rPr>
                <w:rFonts w:hint="eastAsia" w:ascii="仿宋_GB2312" w:hAnsi="仿宋_GB2312" w:eastAsia="仿宋_GB2312" w:cs="仿宋_GB2312"/>
                <w:sz w:val="24"/>
                <w:szCs w:val="24"/>
                <w:lang w:val="en-US" w:eastAsia="zh-CN"/>
              </w:rPr>
              <w:t>三</w:t>
            </w:r>
            <w:r>
              <w:rPr>
                <w:rFonts w:hint="eastAsia" w:ascii="仿宋_GB2312" w:hAnsi="仿宋_GB2312" w:eastAsia="仿宋_GB2312" w:cs="仿宋_GB2312"/>
                <w:sz w:val="24"/>
                <w:szCs w:val="24"/>
              </w:rPr>
              <w:t>万元以下罚款。</w:t>
            </w:r>
          </w:p>
        </w:tc>
        <w:tc>
          <w:tcPr>
            <w:tcW w:w="2416" w:type="dxa"/>
            <w:vMerge w:val="restart"/>
            <w:tcBorders>
              <w:top w:val="single" w:color="auto" w:sz="4" w:space="0"/>
              <w:left w:val="single" w:color="auto" w:sz="4" w:space="0"/>
              <w:right w:val="single" w:color="auto" w:sz="4" w:space="0"/>
            </w:tcBorders>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《食用农产品市场销售质量安全监督管理办法》第五十一条</w:t>
            </w:r>
            <w:r>
              <w:rPr>
                <w:rFonts w:hint="eastAsia" w:ascii="仿宋_GB2312" w:hAnsi="仿宋_GB2312" w:eastAsia="仿宋_GB2312" w:cs="仿宋_GB2312"/>
                <w:sz w:val="24"/>
                <w:szCs w:val="24"/>
                <w:lang w:eastAsia="zh-CN"/>
              </w:rPr>
              <w:t>。</w:t>
            </w:r>
          </w:p>
        </w:tc>
      </w:tr>
      <w:tr>
        <w:tblPrEx>
          <w:tblLayout w:type="fixed"/>
          <w:tblCellMar>
            <w:top w:w="0" w:type="dxa"/>
            <w:left w:w="108" w:type="dxa"/>
            <w:bottom w:w="0" w:type="dxa"/>
            <w:right w:w="108" w:type="dxa"/>
          </w:tblCellMar>
        </w:tblPrEx>
        <w:trPr>
          <w:trHeight w:val="1930" w:hRule="atLeast"/>
        </w:trPr>
        <w:tc>
          <w:tcPr>
            <w:tcW w:w="1490" w:type="dxa"/>
            <w:gridSpan w:val="2"/>
            <w:vMerge w:val="continue"/>
            <w:tcBorders>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color w:val="000000"/>
                <w:sz w:val="24"/>
                <w:szCs w:val="24"/>
              </w:rPr>
            </w:pPr>
          </w:p>
        </w:tc>
        <w:tc>
          <w:tcPr>
            <w:tcW w:w="4616" w:type="dxa"/>
            <w:tcBorders>
              <w:top w:val="nil"/>
              <w:left w:val="nil"/>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28</w:t>
            </w:r>
            <w:r>
              <w:rPr>
                <w:rFonts w:hint="eastAsia" w:ascii="仿宋_GB2312" w:hAnsi="仿宋_GB2312" w:eastAsia="仿宋_GB2312" w:cs="仿宋_GB2312"/>
                <w:sz w:val="24"/>
                <w:szCs w:val="24"/>
              </w:rPr>
              <w:t>.定期检查库存食用农产品，发现销售者有违法行为的，应当及时制止并立即报告所在地县级食品监督管理部门。</w:t>
            </w:r>
          </w:p>
        </w:tc>
        <w:tc>
          <w:tcPr>
            <w:tcW w:w="2508"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仿宋_GB2312" w:eastAsia="仿宋_GB2312" w:cs="仿宋_GB2312"/>
                <w:sz w:val="24"/>
                <w:szCs w:val="24"/>
              </w:rPr>
            </w:pPr>
          </w:p>
        </w:tc>
        <w:tc>
          <w:tcPr>
            <w:tcW w:w="3020"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仿宋_GB2312" w:eastAsia="仿宋_GB2312" w:cs="仿宋_GB2312"/>
                <w:sz w:val="24"/>
                <w:szCs w:val="24"/>
              </w:rPr>
            </w:pPr>
          </w:p>
        </w:tc>
        <w:tc>
          <w:tcPr>
            <w:tcW w:w="2416"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仿宋_GB2312" w:eastAsia="仿宋_GB2312" w:cs="仿宋_GB2312"/>
                <w:sz w:val="24"/>
                <w:szCs w:val="24"/>
              </w:rPr>
            </w:pPr>
          </w:p>
        </w:tc>
      </w:tr>
    </w:tbl>
    <w:tbl>
      <w:tblPr>
        <w:tblStyle w:val="6"/>
        <w:tblpPr w:leftFromText="180" w:rightFromText="180" w:vertAnchor="text" w:tblpX="-2562" w:tblpY="2907"/>
        <w:tblOverlap w:val="never"/>
        <w:tblW w:w="1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231" w:type="dxa"/>
          </w:tcPr>
          <w:p>
            <w:pPr>
              <w:rPr>
                <w:rFonts w:hint="eastAsia" w:ascii="仿宋_GB2312" w:hAnsi="仿宋_GB2312" w:eastAsia="仿宋_GB2312" w:cs="仿宋_GB2312"/>
                <w:bCs/>
                <w:color w:val="auto"/>
                <w:sz w:val="24"/>
                <w:szCs w:val="24"/>
                <w:vertAlign w:val="baseline"/>
                <w:lang w:val="en-US" w:eastAsia="zh-CN"/>
              </w:rPr>
            </w:pPr>
          </w:p>
        </w:tc>
      </w:tr>
    </w:tbl>
    <w:p>
      <w:pPr>
        <w:ind w:left="708" w:hanging="705" w:hangingChars="294"/>
        <w:rPr>
          <w:rFonts w:hint="eastAsia" w:ascii="仿宋_GB2312" w:hAnsi="仿宋_GB2312" w:eastAsia="仿宋_GB2312" w:cs="仿宋_GB2312"/>
          <w:bCs/>
          <w:color w:val="auto"/>
          <w:sz w:val="24"/>
          <w:szCs w:val="24"/>
          <w:lang w:val="en-US" w:eastAsia="zh-CN"/>
        </w:rPr>
      </w:pPr>
    </w:p>
    <w:p>
      <w:pPr>
        <w:ind w:left="708" w:hanging="705" w:hangingChars="294"/>
      </w:pPr>
      <w:r>
        <w:rPr>
          <w:rFonts w:hint="eastAsia" w:ascii="仿宋_GB2312" w:hAnsi="仿宋_GB2312" w:eastAsia="仿宋_GB2312" w:cs="仿宋_GB2312"/>
          <w:bCs/>
          <w:color w:val="auto"/>
          <w:sz w:val="24"/>
          <w:szCs w:val="24"/>
          <w:lang w:val="en-US" w:eastAsia="zh-CN"/>
        </w:rPr>
        <w:t>备注：销售者</w:t>
      </w:r>
      <w:r>
        <w:rPr>
          <w:rFonts w:hint="eastAsia" w:ascii="仿宋_GB2312" w:hAnsi="仿宋_GB2312" w:eastAsia="仿宋_GB2312" w:cs="仿宋_GB2312"/>
          <w:bCs/>
          <w:color w:val="auto"/>
          <w:sz w:val="24"/>
          <w:szCs w:val="24"/>
        </w:rPr>
        <w:t>责任清单共</w:t>
      </w:r>
      <w:r>
        <w:rPr>
          <w:rFonts w:hint="eastAsia" w:ascii="仿宋_GB2312" w:hAnsi="仿宋_GB2312" w:eastAsia="仿宋_GB2312" w:cs="仿宋_GB2312"/>
          <w:bCs/>
          <w:color w:val="auto"/>
          <w:sz w:val="24"/>
          <w:szCs w:val="24"/>
          <w:lang w:val="en-US" w:eastAsia="zh-CN"/>
        </w:rPr>
        <w:t>22</w:t>
      </w:r>
      <w:r>
        <w:rPr>
          <w:rFonts w:hint="eastAsia" w:ascii="仿宋_GB2312" w:hAnsi="仿宋_GB2312" w:eastAsia="仿宋_GB2312" w:cs="仿宋_GB2312"/>
          <w:bCs/>
          <w:color w:val="auto"/>
          <w:sz w:val="24"/>
          <w:szCs w:val="24"/>
        </w:rPr>
        <w:t>项</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 w:val="0"/>
          <w:bCs/>
          <w:color w:val="000000"/>
          <w:sz w:val="24"/>
          <w:szCs w:val="24"/>
        </w:rPr>
        <w:t>贮存服务提供者责任</w:t>
      </w:r>
      <w:r>
        <w:rPr>
          <w:rFonts w:hint="eastAsia" w:ascii="仿宋_GB2312" w:hAnsi="仿宋_GB2312" w:eastAsia="仿宋_GB2312" w:cs="仿宋_GB2312"/>
          <w:bCs/>
          <w:color w:val="auto"/>
          <w:sz w:val="24"/>
          <w:szCs w:val="24"/>
        </w:rPr>
        <w:t>清单共</w:t>
      </w:r>
      <w:r>
        <w:rPr>
          <w:rFonts w:hint="eastAsia" w:ascii="仿宋_GB2312" w:hAnsi="仿宋_GB2312" w:eastAsia="仿宋_GB2312" w:cs="仿宋_GB2312"/>
          <w:bCs/>
          <w:color w:val="auto"/>
          <w:sz w:val="24"/>
          <w:szCs w:val="24"/>
          <w:lang w:val="en-US" w:eastAsia="zh-CN"/>
        </w:rPr>
        <w:t>6</w:t>
      </w:r>
      <w:r>
        <w:rPr>
          <w:rFonts w:hint="eastAsia" w:ascii="仿宋_GB2312" w:hAnsi="仿宋_GB2312" w:eastAsia="仿宋_GB2312" w:cs="仿宋_GB2312"/>
          <w:bCs/>
          <w:color w:val="auto"/>
          <w:sz w:val="24"/>
          <w:szCs w:val="24"/>
        </w:rPr>
        <w:t>项</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本清单未涵盖的，依照</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中华人民共和国食品安全法</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i w:val="0"/>
          <w:caps w:val="0"/>
          <w:color w:val="auto"/>
          <w:spacing w:val="0"/>
          <w:sz w:val="24"/>
          <w:szCs w:val="24"/>
          <w:shd w:val="clear" w:fill="FFFFFF"/>
        </w:rPr>
        <w:t>《中华人民共和国食品安全法实施条例》</w:t>
      </w:r>
      <w:r>
        <w:rPr>
          <w:rFonts w:hint="eastAsia" w:ascii="仿宋_GB2312" w:hAnsi="仿宋_GB2312" w:eastAsia="仿宋_GB2312" w:cs="仿宋_GB2312"/>
          <w:bCs/>
          <w:color w:val="auto"/>
          <w:sz w:val="24"/>
          <w:szCs w:val="24"/>
        </w:rPr>
        <w:t>《食用农产品市场销售质量安全监督管理办法》《</w:t>
      </w:r>
      <w:r>
        <w:rPr>
          <w:rFonts w:hint="eastAsia" w:ascii="仿宋_GB2312" w:hAnsi="仿宋_GB2312" w:eastAsia="仿宋_GB2312" w:cs="仿宋_GB2312"/>
          <w:bCs/>
          <w:color w:val="auto"/>
          <w:sz w:val="24"/>
          <w:szCs w:val="24"/>
          <w:lang w:val="en-US" w:eastAsia="zh-CN"/>
        </w:rPr>
        <w:t>广西壮族自治区食品安全条例</w:t>
      </w:r>
      <w:r>
        <w:rPr>
          <w:rFonts w:hint="eastAsia" w:ascii="仿宋_GB2312" w:hAnsi="仿宋_GB2312" w:eastAsia="仿宋_GB2312" w:cs="仿宋_GB2312"/>
          <w:bCs/>
          <w:color w:val="auto"/>
          <w:sz w:val="24"/>
          <w:szCs w:val="24"/>
        </w:rPr>
        <w:t>条例》</w:t>
      </w:r>
      <w:r>
        <w:rPr>
          <w:rFonts w:hint="eastAsia" w:ascii="仿宋_GB2312" w:hAnsi="仿宋_GB2312" w:eastAsia="仿宋_GB2312" w:cs="仿宋_GB2312"/>
          <w:color w:val="auto"/>
          <w:kern w:val="0"/>
          <w:sz w:val="24"/>
        </w:rPr>
        <w:t>等相关法律、法规、规章、标准和技术规范</w:t>
      </w:r>
      <w:r>
        <w:rPr>
          <w:rFonts w:hint="eastAsia" w:ascii="仿宋_GB2312" w:hAnsi="仿宋_GB2312" w:eastAsia="仿宋_GB2312" w:cs="仿宋_GB2312"/>
          <w:b w:val="0"/>
          <w:bCs/>
          <w:color w:val="auto"/>
          <w:sz w:val="24"/>
          <w:szCs w:val="24"/>
        </w:rPr>
        <w:t>的规定执行</w:t>
      </w: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color w:val="auto"/>
          <w:kern w:val="0"/>
          <w:sz w:val="24"/>
        </w:rPr>
        <w:t>全面履行食品安全主体责任。</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altName w:val="Arial Unicode MS"/>
    <w:panose1 w:val="03000509000000000000"/>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F3074"/>
    <w:rsid w:val="00CF259F"/>
    <w:rsid w:val="04656295"/>
    <w:rsid w:val="073154C4"/>
    <w:rsid w:val="080D7B90"/>
    <w:rsid w:val="08D020F2"/>
    <w:rsid w:val="099A2A00"/>
    <w:rsid w:val="0A495DF4"/>
    <w:rsid w:val="0B4F7A5F"/>
    <w:rsid w:val="0BF67B42"/>
    <w:rsid w:val="0CEA0FF7"/>
    <w:rsid w:val="19FD5B65"/>
    <w:rsid w:val="1BA232D9"/>
    <w:rsid w:val="1E1D1FD0"/>
    <w:rsid w:val="21C438AD"/>
    <w:rsid w:val="26A82D77"/>
    <w:rsid w:val="28DD5532"/>
    <w:rsid w:val="2A185B06"/>
    <w:rsid w:val="2A907D26"/>
    <w:rsid w:val="2ABE07E1"/>
    <w:rsid w:val="2DD14D3D"/>
    <w:rsid w:val="2E184015"/>
    <w:rsid w:val="2E202B97"/>
    <w:rsid w:val="2E52555E"/>
    <w:rsid w:val="2F3F3074"/>
    <w:rsid w:val="2FDD2747"/>
    <w:rsid w:val="32FA7F30"/>
    <w:rsid w:val="35BE5C6C"/>
    <w:rsid w:val="362D5642"/>
    <w:rsid w:val="36374087"/>
    <w:rsid w:val="36DC728B"/>
    <w:rsid w:val="389D6FAF"/>
    <w:rsid w:val="38BF6928"/>
    <w:rsid w:val="3A285DA9"/>
    <w:rsid w:val="3D134812"/>
    <w:rsid w:val="3D332E2D"/>
    <w:rsid w:val="3DBD4BD4"/>
    <w:rsid w:val="3E181626"/>
    <w:rsid w:val="3EE2769C"/>
    <w:rsid w:val="3FB445B6"/>
    <w:rsid w:val="4126448D"/>
    <w:rsid w:val="42682BB5"/>
    <w:rsid w:val="488958A1"/>
    <w:rsid w:val="49765754"/>
    <w:rsid w:val="4BEB3826"/>
    <w:rsid w:val="50EE2076"/>
    <w:rsid w:val="537677E8"/>
    <w:rsid w:val="54042F08"/>
    <w:rsid w:val="583831AF"/>
    <w:rsid w:val="58BC3808"/>
    <w:rsid w:val="5A7E35E8"/>
    <w:rsid w:val="5C83629F"/>
    <w:rsid w:val="5DBC634E"/>
    <w:rsid w:val="61606FAE"/>
    <w:rsid w:val="637E0886"/>
    <w:rsid w:val="64440FF4"/>
    <w:rsid w:val="69BE36A3"/>
    <w:rsid w:val="6CEE2759"/>
    <w:rsid w:val="6E9F32EA"/>
    <w:rsid w:val="6F5E03A8"/>
    <w:rsid w:val="737945D7"/>
    <w:rsid w:val="74E10EB3"/>
    <w:rsid w:val="759B055C"/>
    <w:rsid w:val="763668F6"/>
    <w:rsid w:val="788F5A8B"/>
    <w:rsid w:val="7BB71699"/>
    <w:rsid w:val="7BEB73F2"/>
    <w:rsid w:val="7C0D3E5C"/>
    <w:rsid w:val="7E6E1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3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4">
    <w:name w:val="Strong"/>
    <w:basedOn w:val="3"/>
    <w:qFormat/>
    <w:uiPriority w:val="0"/>
    <w:rPr>
      <w:b/>
      <w:bCs/>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3648</Words>
  <Characters>3689</Characters>
  <Lines>0</Lines>
  <Paragraphs>0</Paragraphs>
  <TotalTime>7</TotalTime>
  <ScaleCrop>false</ScaleCrop>
  <LinksUpToDate>false</LinksUpToDate>
  <CharactersWithSpaces>3689</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2019-11-12T03:25:00Z</dcterms:created>
  <dc:creator>黎璧光</dc:creator>
  <cp:lastModifiedBy>马建旺</cp:lastModifiedBy>
  <cp:lastPrinted>2019-12-18T02:38:00Z</cp:lastPrinted>
  <dcterms:modified xsi:type="dcterms:W3CDTF">2019-12-25T08:00:32Z</dcterms:modified>
  <dc:title>广西壮族自治区食用农产品销售者责任清单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