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before="100" w:beforeAutospacing="1" w:after="100" w:afterAutospacing="1"/>
        <w:jc w:val="center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>        </w:t>
      </w:r>
      <w:r>
        <w:rPr>
          <w:rFonts w:ascii="方正小标宋_GBK" w:eastAsia="方正小标宋_GBK" w:cs="宋体" w:hint="eastAsia"/>
          <w:color w:val="292929"/>
          <w:kern w:val="0"/>
          <w:sz w:val="44"/>
          <w:szCs w:val="44"/>
        </w:rPr>
        <w:t>海关动植物检疫风险预警表</w:t>
      </w:r>
    </w:p>
    <w:p>
      <w:pPr>
        <w:widowControl/>
        <w:spacing w:before="100" w:beforeAutospacing="1" w:after="100" w:afterAutospacing="1"/>
        <w:jc w:val="center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 xml:space="preserve">           </w:t>
      </w:r>
      <w:r>
        <w:rPr>
          <w:rFonts w:ascii="方正楷体_GBK" w:eastAsia="方正楷体_GBK" w:cs="宋体" w:hint="eastAsia"/>
          <w:color w:val="292929"/>
          <w:kern w:val="0"/>
          <w:sz w:val="28"/>
          <w:szCs w:val="28"/>
        </w:rPr>
        <w:t>动植检警[2019]第</w:t>
      </w:r>
      <w:r>
        <w:rPr>
          <w:rFonts w:ascii="方正楷体_GBK" w:eastAsia="方正楷体_GBK" w:cs="宋体"/>
          <w:color w:val="292929"/>
          <w:kern w:val="0"/>
          <w:sz w:val="28"/>
          <w:szCs w:val="28"/>
        </w:rPr>
        <w:t>16</w:t>
      </w:r>
      <w:r>
        <w:rPr>
          <w:rFonts w:ascii="方正楷体_GBK" w:eastAsia="方正楷体_GBK" w:cs="宋体" w:hint="eastAsia"/>
          <w:color w:val="292929"/>
          <w:kern w:val="0"/>
          <w:sz w:val="28"/>
          <w:szCs w:val="28"/>
        </w:rPr>
        <w:t>号　 2019年</w:t>
      </w:r>
      <w:r>
        <w:rPr>
          <w:rFonts w:ascii="方正楷体_GBK" w:eastAsia="方正楷体_GBK" w:cs="宋体"/>
          <w:color w:val="292929"/>
          <w:kern w:val="0"/>
          <w:sz w:val="28"/>
          <w:szCs w:val="28"/>
        </w:rPr>
        <w:t>9</w:t>
      </w:r>
      <w:r>
        <w:rPr>
          <w:rFonts w:ascii="方正楷体_GBK" w:eastAsia="方正楷体_GBK" w:cs="宋体" w:hint="eastAsia"/>
          <w:color w:val="292929"/>
          <w:kern w:val="0"/>
          <w:sz w:val="28"/>
          <w:szCs w:val="28"/>
        </w:rPr>
        <w:t>月</w:t>
      </w:r>
      <w:r>
        <w:rPr>
          <w:rFonts w:ascii="方正楷体_GBK" w:eastAsia="方正楷体_GBK" w:cs="宋体"/>
          <w:color w:val="292929"/>
          <w:kern w:val="0"/>
          <w:sz w:val="28"/>
          <w:szCs w:val="28"/>
        </w:rPr>
        <w:t>11</w:t>
      </w:r>
      <w:bookmarkStart w:id="0" w:name="_GoBack"/>
      <w:bookmarkEnd w:id="0"/>
      <w:r>
        <w:rPr>
          <w:rFonts w:ascii="方正楷体_GBK" w:eastAsia="方正楷体_GBK" w:cs="宋体" w:hint="eastAsia"/>
          <w:color w:val="292929"/>
          <w:kern w:val="0"/>
          <w:sz w:val="28"/>
          <w:szCs w:val="28"/>
        </w:rPr>
        <w:t>日</w:t>
      </w:r>
    </w:p>
    <w:tbl>
      <w:tblPr>
        <w:jc w:val="left"/>
        <w:tblW w:w="8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7305"/>
      </w:tblGrid>
      <w:t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ascii="Calibri" w:eastAsia="方正小标宋简体" w:cs="Calibri" w:hAnsi="Calibri"/>
                <w:color w:val="292929"/>
                <w:kern w:val="0"/>
                <w:sz w:val="28"/>
                <w:szCs w:val="28"/>
              </w:rPr>
              <w:t>标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方正小标宋简体" w:eastAsia="方正小标宋简体" w:cs="Calibri" w:hint="eastAsia"/>
                <w:color w:val="292929"/>
                <w:kern w:val="0"/>
                <w:sz w:val="28"/>
                <w:szCs w:val="28"/>
              </w:rPr>
              <w:t>题</w:t>
            </w:r>
          </w:p>
        </w:tc>
        <w:tc>
          <w:tcPr>
            <w:tcW w:w="7305" w:type="dxa"/>
            <w:tcBorders>
              <w:top w:val="single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  <w:bdr w:val="none" w:sz="0" w:space="0" w:color="auto"/>
              </w:rPr>
              <w:t>关于防止菲律宾非洲猪瘟传入的警示通报</w:t>
            </w:r>
          </w:p>
        </w:tc>
      </w:tr>
      <w:tr>
        <w:tc>
          <w:tcPr>
            <w:tcW w:w="1410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cs="Calibri" w:hint="eastAsia"/>
                <w:color w:val="292929"/>
                <w:kern w:val="0"/>
                <w:sz w:val="28"/>
                <w:szCs w:val="28"/>
              </w:rPr>
              <w:t> 预警事由</w:t>
            </w:r>
          </w:p>
        </w:tc>
        <w:tc>
          <w:tcPr>
            <w:tcW w:w="7305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17"/>
              <w:spacing w:line="560" w:lineRule="exact"/>
              <w:ind w:firstLineChars="200" w:firstLine="640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lang w:bidi="ar-SA"/>
              </w:rPr>
              <w:t>2019年9月9日</w:t>
            </w:r>
            <w:r>
              <w:rPr>
                <w:rFonts w:ascii="方正仿宋_GBK" w:eastAsia="方正仿宋_GBK" w:hint="eastAsia"/>
                <w:sz w:val="32"/>
                <w:szCs w:val="32"/>
                <w:lang w:bidi="ar-SA"/>
              </w:rPr>
              <w:t>，</w:t>
            </w:r>
            <w:r>
              <w:rPr>
                <w:rFonts w:ascii="方正仿宋_GBK" w:eastAsia="方正仿宋_GBK"/>
                <w:sz w:val="32"/>
                <w:szCs w:val="32"/>
                <w:lang w:bidi="ar-SA"/>
              </w:rPr>
              <w:t>菲律宾</w:t>
            </w:r>
            <w:r>
              <w:rPr>
                <w:rFonts w:ascii="方正仿宋_GBK" w:eastAsia="方正仿宋_GBK" w:hint="eastAsia"/>
                <w:sz w:val="32"/>
                <w:szCs w:val="32"/>
                <w:lang w:bidi="ar-SA"/>
              </w:rPr>
              <w:t>官方向世界动物卫生组织（</w:t>
            </w:r>
            <w:r>
              <w:rPr>
                <w:rFonts w:eastAsia="方正仿宋_GBK"/>
                <w:sz w:val="32"/>
                <w:szCs w:val="32"/>
                <w:lang w:bidi="ar-SA"/>
              </w:rPr>
              <w:t>OIE</w:t>
            </w:r>
            <w:r>
              <w:rPr>
                <w:rFonts w:ascii="方正仿宋_GBK" w:eastAsia="方正仿宋_GBK" w:hint="eastAsia"/>
                <w:sz w:val="32"/>
                <w:szCs w:val="32"/>
                <w:lang w:bidi="ar-SA"/>
              </w:rPr>
              <w:t>）紧急通报，该国境内近日发生</w:t>
            </w:r>
            <w:r>
              <w:rPr>
                <w:rFonts w:eastAsia="方正仿宋_GBK"/>
                <w:sz w:val="32"/>
                <w:szCs w:val="32"/>
                <w:lang w:bidi="ar-SA"/>
              </w:rPr>
              <w:t>7起</w:t>
            </w:r>
            <w:r>
              <w:rPr>
                <w:rFonts w:ascii="方正仿宋_GBK" w:eastAsia="方正仿宋_GBK" w:cs="方正仿宋简体" w:hint="eastAsia"/>
                <w:sz w:val="32"/>
                <w:szCs w:val="32"/>
                <w:lang w:bidi="ar-SA"/>
              </w:rPr>
              <w:t>非洲</w:t>
            </w:r>
            <w:r>
              <w:rPr>
                <w:rFonts w:ascii="方正仿宋_GBK" w:eastAsia="方正仿宋_GBK" w:cs="方正仿宋简体"/>
                <w:sz w:val="32"/>
                <w:szCs w:val="32"/>
                <w:lang w:bidi="ar-SA"/>
              </w:rPr>
              <w:t>猪瘟</w:t>
            </w:r>
            <w:r>
              <w:rPr>
                <w:rFonts w:ascii="方正仿宋_GBK" w:eastAsia="方正仿宋_GBK" w:cs="方正仿宋简体" w:hint="eastAsia"/>
                <w:sz w:val="32"/>
                <w:szCs w:val="32"/>
                <w:lang w:bidi="ar-SA"/>
              </w:rPr>
              <w:t>。为保护我国畜牧业安全，防止疫情传入，根据《中华人民共和国海关法》《中华人民共和国进出境动植物检疫法》等有关法律法规的规定，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  <w:bdr w:val="none" w:sz="0" w:space="0" w:color="auto"/>
              </w:rPr>
              <w:t>发布本警示通报。</w:t>
            </w:r>
          </w:p>
        </w:tc>
      </w:tr>
      <w:tr>
        <w:tc>
          <w:tcPr>
            <w:tcW w:w="1410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cs="Calibri" w:hint="eastAsia"/>
                <w:color w:val="292929"/>
                <w:kern w:val="0"/>
                <w:sz w:val="28"/>
                <w:szCs w:val="28"/>
              </w:rPr>
              <w:t> 涉及产品</w:t>
            </w:r>
          </w:p>
        </w:tc>
        <w:tc>
          <w:tcPr>
            <w:tcW w:w="7305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猪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、野猪及其相关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产品</w:t>
            </w:r>
          </w:p>
        </w:tc>
      </w:tr>
      <w:tr>
        <w:tc>
          <w:tcPr>
            <w:tcW w:w="1410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cs="Calibri" w:hint="eastAsia"/>
                <w:color w:val="292929"/>
                <w:kern w:val="0"/>
                <w:sz w:val="28"/>
                <w:szCs w:val="28"/>
              </w:rPr>
              <w:t> 预警措施</w:t>
            </w:r>
          </w:p>
        </w:tc>
        <w:tc>
          <w:tcPr>
            <w:tcW w:w="7305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31"/>
              <w:spacing w:line="560" w:lineRule="exact"/>
              <w:ind w:firstLineChars="200" w:firstLine="640"/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一、禁止直接或间接从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菲律宾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输入猪、野猪及其产品。</w:t>
            </w:r>
          </w:p>
          <w:p>
            <w:pPr>
              <w:pStyle w:val="31"/>
              <w:spacing w:line="560" w:lineRule="exact"/>
              <w:ind w:firstLineChars="200" w:firstLine="640"/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二、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加大对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来自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菲律宾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的寄递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物和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旅客携带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物检疫查验力度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。一经发现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一律作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退回或销毁处理。</w:t>
            </w:r>
          </w:p>
          <w:p>
            <w:pPr>
              <w:pStyle w:val="32"/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三、进境船舶、航空器、公路车辆和铁路列车等运输工具上，如发现有来自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菲律宾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的猪、野猪及其产品，一律作封存处理，且在我国境内停留或者运行期间，未经海关许可，不得启封动用。其废弃物、泔水等，一律在海关的监督下做无害化处理，不得擅自抛弃。</w:t>
            </w:r>
          </w:p>
          <w:p>
            <w:pPr>
              <w:pStyle w:val="32"/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四、对边防等部门截获的非法入境的来自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菲律宾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的猪、野猪及其产品，一律在海关的监督下作销毁处理。</w:t>
            </w:r>
          </w:p>
          <w:p>
            <w:pPr>
              <w:pStyle w:val="32"/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五、凡违反上述规定者，由海关依照《中华人民共和国海关法》《中华人民共和国进出境动植物检疫法》及其实施条例有关规定处理。</w:t>
            </w:r>
          </w:p>
          <w:p>
            <w:pPr>
              <w:pStyle w:val="26"/>
              <w:spacing w:line="560" w:lineRule="exact"/>
              <w:ind w:firstLineChars="200" w:firstLine="640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六、各海关单位要按照《中华人民共和国海关法》《中华人民共和国进出境动植物检疫法》等有关规定，密切配合，做好检疫、防疫和监督工作。</w:t>
            </w:r>
          </w:p>
        </w:tc>
      </w:tr>
      <w:tr>
        <w:tc>
          <w:tcPr>
            <w:tcW w:w="1410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ascii="方正小标宋简体" w:eastAsia="方正小标宋简体" w:cs="Calibri" w:hint="eastAsia"/>
                <w:color w:val="292929"/>
                <w:kern w:val="0"/>
                <w:sz w:val="28"/>
                <w:szCs w:val="28"/>
              </w:rPr>
              <w:t>备注</w:t>
            </w:r>
          </w:p>
        </w:tc>
        <w:tc>
          <w:tcPr>
            <w:tcW w:w="7305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本警示通报在作出调整前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一直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有效。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宋体"/>
    <w:panose1 w:val="00000000000000000000"/>
    <w:charset w:val="86"/>
    <w:family w:val="roman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简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8">
    <w:name w:val="样式 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9">
    <w:name w:val="样式 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20">
    <w:name w:val="index 5"/>
    <w:autoRedefine/>
    <w:next w:val="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168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snapToGrid/>
      <w:color w:val="auto"/>
      <w:spacing w:val="-4"/>
      <w:w w:val="100"/>
      <w:kern w:val="2"/>
      <w:position w:val="0"/>
      <w:sz w:val="32"/>
      <w:szCs w:val="28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1">
    <w:name w:val="样式 4 10 磅"/>
    <w:next w:val="22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2">
    <w:name w:val="样式 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3">
    <w:name w:val="样式 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4">
    <w:name w:val="样式 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5">
    <w:name w:val="样式 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6">
    <w:name w:val="样式 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7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8">
    <w:name w:val="样式 1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9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0">
    <w:name w:val="样式 1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1">
    <w:name w:val="样式 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2">
    <w:name w:val="样式 1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94</TotalTime>
  <Application>Yozo_Office</Application>
  <Pages>2</Pages>
  <Words>549</Words>
  <Characters>564</Characters>
  <Lines>26</Lines>
  <Paragraphs>17</Paragraphs>
  <CharactersWithSpaces>596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王永刚</cp:lastModifiedBy>
  <cp:revision>8</cp:revision>
  <dcterms:created xsi:type="dcterms:W3CDTF">2019-01-21T00:42:00Z</dcterms:created>
  <dcterms:modified xsi:type="dcterms:W3CDTF">2019-09-11T08:22:48Z</dcterms:modified>
</cp:coreProperties>
</file>