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40" w:firstLineChars="3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《食品安全地方标准  蓝莓果酒》（</w:t>
      </w:r>
      <w:r>
        <w:rPr>
          <w:rFonts w:hint="eastAsia" w:ascii="黑体"/>
          <w:sz w:val="28"/>
          <w:szCs w:val="28"/>
        </w:rPr>
        <w:t>DBS23</w:t>
      </w:r>
      <w:r>
        <w:rPr>
          <w:rFonts w:ascii="黑体"/>
          <w:sz w:val="28"/>
          <w:szCs w:val="28"/>
        </w:rPr>
        <w:t>/ 00</w:t>
      </w:r>
      <w:r>
        <w:rPr>
          <w:rFonts w:hint="eastAsia" w:ascii="黑体"/>
          <w:sz w:val="28"/>
          <w:szCs w:val="28"/>
        </w:rPr>
        <w:t>1</w:t>
      </w:r>
      <w:r>
        <w:rPr>
          <w:rFonts w:ascii="黑体"/>
          <w:sz w:val="28"/>
          <w:szCs w:val="28"/>
        </w:rPr>
        <w:t>-20</w:t>
      </w:r>
      <w:r>
        <w:rPr>
          <w:rFonts w:hint="eastAsia" w:ascii="黑体"/>
          <w:sz w:val="28"/>
          <w:szCs w:val="28"/>
        </w:rPr>
        <w:t>14</w:t>
      </w:r>
      <w:r>
        <w:rPr>
          <w:rFonts w:hint="eastAsia" w:ascii="黑体" w:hAnsi="黑体" w:eastAsia="黑体"/>
          <w:sz w:val="28"/>
          <w:szCs w:val="28"/>
        </w:rPr>
        <w:t>）</w:t>
      </w:r>
    </w:p>
    <w:tbl>
      <w:tblPr>
        <w:tblStyle w:val="5"/>
        <w:tblW w:w="9860" w:type="dxa"/>
        <w:tblInd w:w="-7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"/>
        <w:gridCol w:w="9727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21" w:type="dxa"/>
          <w:trHeight w:val="567" w:hRule="atLeast"/>
        </w:trPr>
        <w:tc>
          <w:tcPr>
            <w:tcW w:w="9739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ind w:firstLine="3220" w:firstLineChars="1150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第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号修改单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12" w:type="dxa"/>
          <w:trHeight w:val="7761" w:hRule="atLeast"/>
        </w:trPr>
        <w:tc>
          <w:tcPr>
            <w:tcW w:w="9848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8"/>
              <w:numPr>
                <w:ilvl w:val="0"/>
                <w:numId w:val="0"/>
              </w:numPr>
              <w:ind w:leftChars="0" w:right="560" w:rightChars="0"/>
              <w:jc w:val="both"/>
              <w:rPr>
                <w:rFonts w:ascii="黑体"/>
                <w:sz w:val="21"/>
                <w:szCs w:val="21"/>
              </w:rPr>
            </w:pPr>
            <w:r>
              <w:rPr>
                <w:rFonts w:hint="eastAsia" w:ascii="黑体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黑体"/>
                <w:sz w:val="21"/>
                <w:szCs w:val="21"/>
              </w:rPr>
              <w:t>标准名称改为《食品安全地方标准 蓝莓酒》</w:t>
            </w:r>
            <w:r>
              <w:rPr>
                <w:rFonts w:hint="eastAsia" w:ascii="黑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黑体"/>
                <w:sz w:val="21"/>
                <w:szCs w:val="21"/>
              </w:rPr>
              <w:t>标准号改为《食品安全地方标准  蓝莓酒》（DBS23</w:t>
            </w:r>
            <w:r>
              <w:rPr>
                <w:rFonts w:ascii="黑体"/>
                <w:sz w:val="21"/>
                <w:szCs w:val="21"/>
              </w:rPr>
              <w:t>/ 00</w:t>
            </w:r>
            <w:r>
              <w:rPr>
                <w:rFonts w:hint="eastAsia" w:ascii="黑体"/>
                <w:sz w:val="21"/>
                <w:szCs w:val="21"/>
              </w:rPr>
              <w:t>1</w:t>
            </w:r>
            <w:r>
              <w:rPr>
                <w:rFonts w:ascii="黑体"/>
                <w:sz w:val="21"/>
                <w:szCs w:val="21"/>
              </w:rPr>
              <w:t>-20</w:t>
            </w:r>
            <w:r>
              <w:rPr>
                <w:rFonts w:hint="eastAsia" w:ascii="黑体"/>
                <w:sz w:val="21"/>
                <w:szCs w:val="21"/>
              </w:rPr>
              <w:t>19）。</w:t>
            </w:r>
          </w:p>
          <w:p>
            <w:pPr>
              <w:pStyle w:val="8"/>
              <w:numPr>
                <w:ilvl w:val="0"/>
                <w:numId w:val="0"/>
              </w:numPr>
              <w:ind w:leftChars="0" w:right="560" w:rightChars="0"/>
              <w:jc w:val="both"/>
              <w:rPr>
                <w:rFonts w:ascii="黑体"/>
                <w:sz w:val="21"/>
                <w:szCs w:val="21"/>
              </w:rPr>
            </w:pPr>
            <w:r>
              <w:rPr>
                <w:rFonts w:hint="eastAsia" w:ascii="黑体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黑体"/>
                <w:sz w:val="21"/>
                <w:szCs w:val="21"/>
              </w:rPr>
              <w:t>指标改为：</w:t>
            </w:r>
          </w:p>
          <w:p>
            <w:pPr>
              <w:pStyle w:val="8"/>
              <w:ind w:left="720" w:right="560"/>
              <w:jc w:val="both"/>
              <w:rPr>
                <w:rFonts w:ascii="黑体"/>
                <w:sz w:val="21"/>
                <w:szCs w:val="21"/>
              </w:rPr>
            </w:pPr>
            <w:r>
              <w:rPr>
                <w:rFonts w:hint="eastAsia" w:ascii="黑体"/>
                <w:sz w:val="21"/>
                <w:szCs w:val="21"/>
              </w:rPr>
              <w:t>1）感官指标改为：</w:t>
            </w:r>
          </w:p>
          <w:p>
            <w:pPr>
              <w:pStyle w:val="10"/>
              <w:numPr>
                <w:ilvl w:val="0"/>
                <w:numId w:val="1"/>
              </w:numPr>
              <w:spacing w:afterLines="50" w:line="360" w:lineRule="exact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感官要求</w:t>
            </w:r>
          </w:p>
          <w:tbl>
            <w:tblPr>
              <w:tblStyle w:val="5"/>
              <w:tblpPr w:leftFromText="180" w:rightFromText="180" w:vertAnchor="text" w:horzAnchor="margin" w:tblpY="151"/>
              <w:tblOverlap w:val="never"/>
              <w:tblW w:w="960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50"/>
              <w:gridCol w:w="1420"/>
              <w:gridCol w:w="723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5" w:hRule="atLeast"/>
              </w:trPr>
              <w:tc>
                <w:tcPr>
                  <w:tcW w:w="2370" w:type="dxa"/>
                  <w:gridSpan w:val="2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项        目</w:t>
                  </w:r>
                </w:p>
              </w:tc>
              <w:tc>
                <w:tcPr>
                  <w:tcW w:w="7232" w:type="dxa"/>
                  <w:tcBorders>
                    <w:top w:val="single" w:color="auto" w:sz="12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指        标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</w:trPr>
              <w:tc>
                <w:tcPr>
                  <w:tcW w:w="2370" w:type="dxa"/>
                  <w:gridSpan w:val="2"/>
                  <w:tcBorders>
                    <w:top w:val="single" w:color="auto" w:sz="12" w:space="0"/>
                    <w:left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色泽</w:t>
                  </w:r>
                </w:p>
              </w:tc>
              <w:tc>
                <w:tcPr>
                  <w:tcW w:w="7232" w:type="dxa"/>
                  <w:tcBorders>
                    <w:top w:val="single" w:color="auto" w:sz="12" w:space="0"/>
                    <w:left w:val="single" w:color="auto" w:sz="4" w:space="0"/>
                    <w:right w:val="single" w:color="auto" w:sz="12" w:space="0"/>
                  </w:tcBorders>
                  <w:vAlign w:val="center"/>
                </w:tcPr>
                <w:p>
                  <w:pPr>
                    <w:spacing w:line="300" w:lineRule="exac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紫红色、宝石红色、砖红色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</w:trPr>
              <w:tc>
                <w:tcPr>
                  <w:tcW w:w="2370" w:type="dxa"/>
                  <w:gridSpan w:val="2"/>
                  <w:tcBorders>
                    <w:left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澄清程度</w:t>
                  </w:r>
                </w:p>
              </w:tc>
              <w:tc>
                <w:tcPr>
                  <w:tcW w:w="7232" w:type="dxa"/>
                  <w:tcBorders>
                    <w:left w:val="single" w:color="auto" w:sz="4" w:space="0"/>
                    <w:right w:val="single" w:color="auto" w:sz="12" w:space="0"/>
                  </w:tcBorders>
                  <w:vAlign w:val="center"/>
                </w:tcPr>
                <w:p>
                  <w:pPr>
                    <w:spacing w:line="280" w:lineRule="exac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澄清，有光泽，无明显悬浮物（使用软木塞封口的酒允许有少许软木塞渣，装瓶超过六个月的蓝莓酒允许有少量沉淀）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</w:trPr>
              <w:tc>
                <w:tcPr>
                  <w:tcW w:w="2370" w:type="dxa"/>
                  <w:gridSpan w:val="2"/>
                  <w:tcBorders>
                    <w:left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香气</w:t>
                  </w:r>
                </w:p>
              </w:tc>
              <w:tc>
                <w:tcPr>
                  <w:tcW w:w="7232" w:type="dxa"/>
                  <w:tcBorders>
                    <w:left w:val="single" w:color="auto" w:sz="4" w:space="0"/>
                    <w:right w:val="single" w:color="auto" w:sz="12" w:space="0"/>
                  </w:tcBorders>
                  <w:vAlign w:val="center"/>
                </w:tcPr>
                <w:p>
                  <w:pPr>
                    <w:spacing w:line="36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具有蓝莓品种的香气和酒香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</w:trPr>
              <w:tc>
                <w:tcPr>
                  <w:tcW w:w="950" w:type="dxa"/>
                  <w:vMerge w:val="restart"/>
                  <w:tcBorders>
                    <w:left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滋味</w:t>
                  </w:r>
                </w:p>
              </w:tc>
              <w:tc>
                <w:tcPr>
                  <w:tcW w:w="1420" w:type="dxa"/>
                  <w:tcBorders>
                    <w:left w:val="single" w:color="auto" w:sz="4" w:space="0"/>
                  </w:tcBorders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干型、半干</w:t>
                  </w: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型</w:t>
                  </w:r>
                </w:p>
              </w:tc>
              <w:tc>
                <w:tcPr>
                  <w:tcW w:w="7232" w:type="dxa"/>
                  <w:tcBorders>
                    <w:left w:val="single" w:color="auto" w:sz="4" w:space="0"/>
                    <w:right w:val="single" w:color="auto" w:sz="12" w:space="0"/>
                  </w:tcBorders>
                  <w:vAlign w:val="center"/>
                </w:tcPr>
                <w:p>
                  <w:pPr>
                    <w:spacing w:line="36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纯正，优雅，爽净，果香、酒香谐调，酒体完整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</w:trPr>
              <w:tc>
                <w:tcPr>
                  <w:tcW w:w="950" w:type="dxa"/>
                  <w:vMerge w:val="continue"/>
                  <w:tcBorders>
                    <w:left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20" w:type="dxa"/>
                  <w:tcBorders>
                    <w:left w:val="single" w:color="auto" w:sz="4" w:space="0"/>
                  </w:tcBorders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半甜型、甜</w:t>
                  </w: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型</w:t>
                  </w:r>
                </w:p>
              </w:tc>
              <w:tc>
                <w:tcPr>
                  <w:tcW w:w="7232" w:type="dxa"/>
                  <w:tcBorders>
                    <w:left w:val="single" w:color="auto" w:sz="4" w:space="0"/>
                    <w:right w:val="single" w:color="auto" w:sz="12" w:space="0"/>
                  </w:tcBorders>
                  <w:vAlign w:val="center"/>
                </w:tcPr>
                <w:p>
                  <w:pPr>
                    <w:spacing w:line="36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纯正，圆润，</w:t>
                  </w: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酸甜适口，果香突出，酒体完整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</w:trPr>
              <w:tc>
                <w:tcPr>
                  <w:tcW w:w="2370" w:type="dxa"/>
                  <w:gridSpan w:val="2"/>
                  <w:tcBorders>
                    <w:left w:val="single" w:color="auto" w:sz="12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典型性</w:t>
                  </w:r>
                </w:p>
              </w:tc>
              <w:tc>
                <w:tcPr>
                  <w:tcW w:w="7232" w:type="dxa"/>
                  <w:tcBorders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spacing w:line="36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具有蓝莓品种和产品类型应有的特征和风格</w:t>
                  </w:r>
                </w:p>
              </w:tc>
            </w:tr>
          </w:tbl>
          <w:p>
            <w:pPr>
              <w:pStyle w:val="8"/>
              <w:ind w:right="560" w:firstLine="525" w:firstLineChars="250"/>
              <w:jc w:val="both"/>
              <w:rPr>
                <w:rFonts w:ascii="黑体"/>
                <w:sz w:val="21"/>
                <w:szCs w:val="21"/>
              </w:rPr>
            </w:pPr>
            <w:r>
              <w:rPr>
                <w:rFonts w:hint="eastAsia" w:ascii="黑体"/>
                <w:sz w:val="21"/>
                <w:szCs w:val="21"/>
              </w:rPr>
              <w:t>2）原花青素指标设为特征性指标：</w:t>
            </w:r>
          </w:p>
          <w:p>
            <w:pPr>
              <w:pStyle w:val="10"/>
              <w:spacing w:afterLines="50" w:line="360" w:lineRule="exact"/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表2  特征性指标</w:t>
            </w:r>
          </w:p>
          <w:tbl>
            <w:tblPr>
              <w:tblStyle w:val="5"/>
              <w:tblpPr w:leftFromText="180" w:rightFromText="180" w:vertAnchor="text" w:horzAnchor="margin" w:tblpY="153"/>
              <w:tblW w:w="9453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686"/>
              <w:gridCol w:w="476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</w:trPr>
              <w:tc>
                <w:tcPr>
                  <w:tcW w:w="4686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20" w:lineRule="exac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项    目</w:t>
                  </w:r>
                </w:p>
              </w:tc>
              <w:tc>
                <w:tcPr>
                  <w:tcW w:w="4767" w:type="dxa"/>
                  <w:tcBorders>
                    <w:top w:val="single" w:color="auto" w:sz="12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spacing w:line="320" w:lineRule="exac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指    标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</w:trPr>
              <w:tc>
                <w:tcPr>
                  <w:tcW w:w="4686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</w:tcBorders>
                  <w:vAlign w:val="center"/>
                </w:tcPr>
                <w:p>
                  <w:pPr>
                    <w:tabs>
                      <w:tab w:val="right" w:pos="4319"/>
                    </w:tabs>
                    <w:spacing w:line="300" w:lineRule="exact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原花青素（OPC），mg/L                         ≥</w:t>
                  </w:r>
                </w:p>
              </w:tc>
              <w:tc>
                <w:tcPr>
                  <w:tcW w:w="4767" w:type="dxa"/>
                  <w:tcBorders>
                    <w:top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</w:tr>
          </w:tbl>
          <w:p>
            <w:pPr>
              <w:pStyle w:val="8"/>
              <w:ind w:right="560"/>
              <w:jc w:val="both"/>
              <w:rPr>
                <w:rFonts w:ascii="黑体"/>
                <w:sz w:val="21"/>
                <w:szCs w:val="21"/>
              </w:rPr>
            </w:pPr>
            <w:r>
              <w:rPr>
                <w:rFonts w:hint="eastAsia" w:ascii="黑体"/>
                <w:sz w:val="21"/>
                <w:szCs w:val="21"/>
              </w:rPr>
              <w:t xml:space="preserve">    3）理化指标改为：</w:t>
            </w:r>
          </w:p>
          <w:p>
            <w:pPr>
              <w:pStyle w:val="10"/>
              <w:spacing w:afterLines="50" w:line="360" w:lineRule="exact"/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表3  理化指标</w:t>
            </w:r>
          </w:p>
          <w:tbl>
            <w:tblPr>
              <w:tblStyle w:val="5"/>
              <w:tblpPr w:leftFromText="180" w:rightFromText="180" w:vertAnchor="text" w:horzAnchor="margin" w:tblpY="153"/>
              <w:tblW w:w="9453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88"/>
              <w:gridCol w:w="2598"/>
              <w:gridCol w:w="476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</w:trPr>
              <w:tc>
                <w:tcPr>
                  <w:tcW w:w="4686" w:type="dxa"/>
                  <w:gridSpan w:val="2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20" w:lineRule="exac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项    目</w:t>
                  </w:r>
                </w:p>
              </w:tc>
              <w:tc>
                <w:tcPr>
                  <w:tcW w:w="4767" w:type="dxa"/>
                  <w:tcBorders>
                    <w:top w:val="single" w:color="auto" w:sz="12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spacing w:line="320" w:lineRule="exac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指    标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</w:trPr>
              <w:tc>
                <w:tcPr>
                  <w:tcW w:w="4686" w:type="dxa"/>
                  <w:gridSpan w:val="2"/>
                  <w:tcBorders>
                    <w:top w:val="single" w:color="auto" w:sz="12" w:space="0"/>
                    <w:left w:val="single" w:color="auto" w:sz="12" w:space="0"/>
                  </w:tcBorders>
                  <w:vAlign w:val="center"/>
                </w:tcPr>
                <w:p>
                  <w:pPr>
                    <w:spacing w:line="300" w:lineRule="exact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酒精度</w:t>
                  </w: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  <w:vertAlign w:val="superscript"/>
                    </w:rPr>
                    <w:t>a</w:t>
                  </w: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（20℃）（体积分数）， %                 ≥</w:t>
                  </w:r>
                </w:p>
              </w:tc>
              <w:tc>
                <w:tcPr>
                  <w:tcW w:w="4767" w:type="dxa"/>
                  <w:tcBorders>
                    <w:top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 xml:space="preserve">5.0 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</w:trPr>
              <w:tc>
                <w:tcPr>
                  <w:tcW w:w="2088" w:type="dxa"/>
                  <w:vMerge w:val="restart"/>
                  <w:tcBorders>
                    <w:left w:val="single" w:color="auto" w:sz="12" w:space="0"/>
                  </w:tcBorders>
                  <w:vAlign w:val="center"/>
                </w:tcPr>
                <w:p>
                  <w:pPr>
                    <w:spacing w:line="300" w:lineRule="exact"/>
                    <w:ind w:left="630" w:hanging="630"/>
                    <w:textAlignment w:val="baseline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总糖（以葡萄糖计），g/L</w:t>
                  </w:r>
                </w:p>
              </w:tc>
              <w:tc>
                <w:tcPr>
                  <w:tcW w:w="2598" w:type="dxa"/>
                  <w:vAlign w:val="center"/>
                </w:tcPr>
                <w:p>
                  <w:pPr>
                    <w:tabs>
                      <w:tab w:val="right" w:pos="4319"/>
                    </w:tabs>
                    <w:spacing w:line="300" w:lineRule="exact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干型</w:t>
                  </w: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  <w:vertAlign w:val="superscript"/>
                    </w:rPr>
                    <w:t xml:space="preserve">                               </w:t>
                  </w: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≤</w:t>
                  </w: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  <w:vertAlign w:val="superscript"/>
                    </w:rPr>
                    <w:t xml:space="preserve">    </w:t>
                  </w:r>
                </w:p>
              </w:tc>
              <w:tc>
                <w:tcPr>
                  <w:tcW w:w="4767" w:type="dxa"/>
                  <w:tcBorders>
                    <w:right w:val="single" w:color="auto" w:sz="12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12.0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</w:trPr>
              <w:tc>
                <w:tcPr>
                  <w:tcW w:w="2088" w:type="dxa"/>
                  <w:vMerge w:val="continue"/>
                  <w:tcBorders>
                    <w:left w:val="single" w:color="auto" w:sz="12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textAlignment w:val="baseline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598" w:type="dxa"/>
                  <w:vAlign w:val="center"/>
                </w:tcPr>
                <w:p>
                  <w:pPr>
                    <w:tabs>
                      <w:tab w:val="right" w:pos="4319"/>
                    </w:tabs>
                    <w:spacing w:line="300" w:lineRule="exact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半干型</w:t>
                  </w:r>
                </w:p>
              </w:tc>
              <w:tc>
                <w:tcPr>
                  <w:tcW w:w="4767" w:type="dxa"/>
                  <w:tcBorders>
                    <w:right w:val="single" w:color="auto" w:sz="12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12.1～18.0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</w:trPr>
              <w:tc>
                <w:tcPr>
                  <w:tcW w:w="2088" w:type="dxa"/>
                  <w:vMerge w:val="continue"/>
                  <w:tcBorders>
                    <w:left w:val="single" w:color="auto" w:sz="12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textAlignment w:val="baseline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598" w:type="dxa"/>
                  <w:vAlign w:val="center"/>
                </w:tcPr>
                <w:p>
                  <w:pPr>
                    <w:tabs>
                      <w:tab w:val="right" w:pos="4319"/>
                    </w:tabs>
                    <w:spacing w:line="300" w:lineRule="exact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半甜型</w:t>
                  </w:r>
                </w:p>
              </w:tc>
              <w:tc>
                <w:tcPr>
                  <w:tcW w:w="4767" w:type="dxa"/>
                  <w:tcBorders>
                    <w:right w:val="single" w:color="auto" w:sz="12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18.1～45.0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</w:trPr>
              <w:tc>
                <w:tcPr>
                  <w:tcW w:w="2088" w:type="dxa"/>
                  <w:vMerge w:val="continue"/>
                  <w:tcBorders>
                    <w:left w:val="single" w:color="auto" w:sz="12" w:space="0"/>
                    <w:bottom w:val="single" w:color="auto" w:sz="12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textAlignment w:val="baseline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bottom w:val="single" w:color="auto" w:sz="12" w:space="0"/>
                  </w:tcBorders>
                  <w:vAlign w:val="center"/>
                </w:tcPr>
                <w:p>
                  <w:pPr>
                    <w:tabs>
                      <w:tab w:val="right" w:pos="4319"/>
                    </w:tabs>
                    <w:spacing w:line="300" w:lineRule="exact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甜型                  ≥</w:t>
                  </w:r>
                </w:p>
              </w:tc>
              <w:tc>
                <w:tcPr>
                  <w:tcW w:w="4767" w:type="dxa"/>
                  <w:tcBorders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45.1</w:t>
                  </w:r>
                </w:p>
              </w:tc>
            </w:tr>
          </w:tbl>
          <w:p>
            <w:pPr>
              <w:pStyle w:val="8"/>
              <w:ind w:right="560"/>
              <w:jc w:val="both"/>
              <w:rPr>
                <w:rFonts w:ascii="黑体"/>
                <w:sz w:val="21"/>
                <w:szCs w:val="21"/>
              </w:rPr>
            </w:pPr>
          </w:p>
          <w:p>
            <w:pPr>
              <w:pStyle w:val="10"/>
              <w:spacing w:afterLines="50" w:line="360" w:lineRule="exact"/>
              <w:ind w:left="0" w:firstLine="0"/>
              <w:rPr>
                <w:szCs w:val="21"/>
              </w:rPr>
            </w:pPr>
          </w:p>
          <w:p>
            <w:pPr>
              <w:pStyle w:val="10"/>
              <w:spacing w:afterLines="50" w:line="360" w:lineRule="exact"/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表3  理化指标（续）</w:t>
            </w:r>
          </w:p>
          <w:tbl>
            <w:tblPr>
              <w:tblStyle w:val="5"/>
              <w:tblpPr w:leftFromText="180" w:rightFromText="180" w:vertAnchor="text" w:horzAnchor="margin" w:tblpY="9"/>
              <w:tblOverlap w:val="never"/>
              <w:tblW w:w="9453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663"/>
              <w:gridCol w:w="479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</w:trPr>
              <w:tc>
                <w:tcPr>
                  <w:tcW w:w="4663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20" w:lineRule="exac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项    目</w:t>
                  </w:r>
                </w:p>
              </w:tc>
              <w:tc>
                <w:tcPr>
                  <w:tcW w:w="4790" w:type="dxa"/>
                  <w:tcBorders>
                    <w:top w:val="single" w:color="auto" w:sz="12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spacing w:line="320" w:lineRule="exac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指    标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</w:trPr>
              <w:tc>
                <w:tcPr>
                  <w:tcW w:w="4663" w:type="dxa"/>
                  <w:tcBorders>
                    <w:left w:val="single" w:color="auto" w:sz="12" w:space="0"/>
                  </w:tcBorders>
                  <w:vAlign w:val="center"/>
                </w:tcPr>
                <w:p>
                  <w:pPr>
                    <w:spacing w:line="300" w:lineRule="exact"/>
                    <w:textAlignment w:val="baseline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挥发酸（以乙酸计），g/L                       ≤</w:t>
                  </w:r>
                </w:p>
              </w:tc>
              <w:tc>
                <w:tcPr>
                  <w:tcW w:w="4790" w:type="dxa"/>
                  <w:tcBorders>
                    <w:right w:val="single" w:color="auto" w:sz="12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1.2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</w:trPr>
              <w:tc>
                <w:tcPr>
                  <w:tcW w:w="4663" w:type="dxa"/>
                  <w:tcBorders>
                    <w:left w:val="single" w:color="auto" w:sz="12" w:space="0"/>
                  </w:tcBorders>
                  <w:vAlign w:val="center"/>
                </w:tcPr>
                <w:p>
                  <w:pPr>
                    <w:spacing w:line="300" w:lineRule="exact"/>
                    <w:textAlignment w:val="baseline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干浸出物， g/L                               ≥</w:t>
                  </w:r>
                </w:p>
              </w:tc>
              <w:tc>
                <w:tcPr>
                  <w:tcW w:w="4790" w:type="dxa"/>
                  <w:tcBorders>
                    <w:right w:val="single" w:color="auto" w:sz="12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16.0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</w:trPr>
              <w:tc>
                <w:tcPr>
                  <w:tcW w:w="4663" w:type="dxa"/>
                  <w:tcBorders>
                    <w:left w:val="single" w:color="auto" w:sz="12" w:space="0"/>
                  </w:tcBorders>
                  <w:vAlign w:val="center"/>
                </w:tcPr>
                <w:p>
                  <w:pPr>
                    <w:spacing w:line="300" w:lineRule="exact"/>
                    <w:textAlignment w:val="baseline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总酸（以柠檬酸计），g/L                       ≥</w:t>
                  </w:r>
                </w:p>
              </w:tc>
              <w:tc>
                <w:tcPr>
                  <w:tcW w:w="4790" w:type="dxa"/>
                  <w:tcBorders>
                    <w:right w:val="single" w:color="auto" w:sz="12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4.0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</w:trPr>
              <w:tc>
                <w:tcPr>
                  <w:tcW w:w="4663" w:type="dxa"/>
                  <w:tcBorders>
                    <w:left w:val="single" w:color="auto" w:sz="12" w:space="0"/>
                  </w:tcBorders>
                  <w:vAlign w:val="center"/>
                </w:tcPr>
                <w:p>
                  <w:pPr>
                    <w:spacing w:line="280" w:lineRule="exact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铅（以Pb计），mg</w:t>
                  </w:r>
                  <w:r>
                    <w:rPr>
                      <w:rFonts w:ascii="宋体" w:hAnsi="宋体"/>
                      <w:color w:val="000000"/>
                      <w:sz w:val="18"/>
                      <w:szCs w:val="18"/>
                    </w:rPr>
                    <w:t>/</w:t>
                  </w: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kg                         ≤</w:t>
                  </w:r>
                </w:p>
              </w:tc>
              <w:tc>
                <w:tcPr>
                  <w:tcW w:w="4790" w:type="dxa"/>
                  <w:tcBorders>
                    <w:right w:val="single" w:color="auto" w:sz="12" w:space="0"/>
                  </w:tcBorders>
                  <w:vAlign w:val="center"/>
                </w:tcPr>
                <w:p>
                  <w:pPr>
                    <w:spacing w:line="280" w:lineRule="exact"/>
                    <w:jc w:val="center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0.2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</w:trPr>
              <w:tc>
                <w:tcPr>
                  <w:tcW w:w="9453" w:type="dxa"/>
                  <w:gridSpan w:val="2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spacing w:line="300" w:lineRule="exact"/>
                    <w:ind w:firstLine="360" w:firstLineChars="200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  <w:vertAlign w:val="superscript"/>
                    </w:rPr>
                    <w:t xml:space="preserve">a  </w:t>
                  </w: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酒精度标签标示值与实测值不得超过±1.0%（体积分数）。</w:t>
                  </w:r>
                </w:p>
              </w:tc>
            </w:tr>
          </w:tbl>
          <w:p>
            <w:pPr>
              <w:pStyle w:val="8"/>
              <w:ind w:right="560"/>
              <w:jc w:val="both"/>
              <w:rPr>
                <w:rFonts w:ascii="黑体"/>
                <w:sz w:val="21"/>
                <w:szCs w:val="21"/>
              </w:rPr>
            </w:pPr>
            <w:r>
              <w:rPr>
                <w:rFonts w:hint="eastAsia" w:ascii="黑体"/>
                <w:sz w:val="21"/>
                <w:szCs w:val="21"/>
              </w:rPr>
              <w:t>3</w:t>
            </w:r>
            <w:r>
              <w:rPr>
                <w:rFonts w:hint="eastAsia" w:ascii="黑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黑体"/>
                <w:sz w:val="21"/>
                <w:szCs w:val="21"/>
              </w:rPr>
              <w:t>检验方法改为：</w:t>
            </w:r>
          </w:p>
          <w:p>
            <w:pPr>
              <w:pStyle w:val="8"/>
              <w:ind w:right="560" w:firstLine="525" w:firstLineChars="250"/>
              <w:jc w:val="both"/>
              <w:rPr>
                <w:rFonts w:hint="eastAsia" w:ascii="黑体"/>
                <w:sz w:val="21"/>
                <w:szCs w:val="21"/>
              </w:rPr>
            </w:pPr>
            <w:r>
              <w:rPr>
                <w:rFonts w:hint="eastAsia" w:ascii="黑体"/>
                <w:sz w:val="21"/>
                <w:szCs w:val="21"/>
              </w:rPr>
              <w:t>1）酒精度检验改为：按GB 5009.225规定执行。</w:t>
            </w:r>
          </w:p>
          <w:p>
            <w:pPr>
              <w:pStyle w:val="8"/>
              <w:ind w:right="560" w:firstLine="525" w:firstLineChars="250"/>
              <w:jc w:val="both"/>
              <w:rPr>
                <w:rFonts w:hint="eastAsia" w:ascii="黑体"/>
                <w:sz w:val="21"/>
                <w:szCs w:val="21"/>
              </w:rPr>
            </w:pPr>
            <w:r>
              <w:rPr>
                <w:rFonts w:hint="eastAsia" w:ascii="黑体"/>
                <w:sz w:val="21"/>
                <w:szCs w:val="21"/>
              </w:rPr>
              <w:t>2）总酸：按GB/T 32783-2016中附录A规定执行。</w:t>
            </w:r>
          </w:p>
          <w:p>
            <w:pPr>
              <w:pStyle w:val="8"/>
              <w:ind w:right="560" w:firstLine="525" w:firstLineChars="250"/>
              <w:jc w:val="both"/>
              <w:rPr>
                <w:rFonts w:hint="eastAsia" w:ascii="黑体"/>
                <w:sz w:val="21"/>
                <w:szCs w:val="21"/>
              </w:rPr>
            </w:pPr>
            <w:r>
              <w:rPr>
                <w:rFonts w:hint="eastAsia" w:ascii="黑体"/>
                <w:sz w:val="21"/>
                <w:szCs w:val="21"/>
              </w:rPr>
              <w:t>3）原花青素：按附录A规定执行。</w:t>
            </w:r>
          </w:p>
          <w:p>
            <w:pPr>
              <w:pStyle w:val="8"/>
              <w:ind w:right="560"/>
              <w:jc w:val="both"/>
              <w:rPr>
                <w:rFonts w:hint="eastAsia" w:ascii="黑体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生产加工过程的卫生要求：改为</w:t>
            </w:r>
            <w:r>
              <w:rPr>
                <w:rFonts w:hint="eastAsia" w:ascii="黑体"/>
                <w:sz w:val="21"/>
                <w:szCs w:val="21"/>
              </w:rPr>
              <w:t>应符合 GB 12</w:t>
            </w:r>
            <w:bookmarkStart w:id="0" w:name="_GoBack"/>
            <w:bookmarkEnd w:id="0"/>
            <w:r>
              <w:rPr>
                <w:rFonts w:hint="eastAsia" w:ascii="黑体"/>
                <w:sz w:val="21"/>
                <w:szCs w:val="21"/>
              </w:rPr>
              <w:t>696 的规定。</w:t>
            </w:r>
          </w:p>
          <w:p>
            <w:pPr>
              <w:pStyle w:val="8"/>
              <w:ind w:right="560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出厂检验：增加总酸。</w:t>
            </w:r>
          </w:p>
          <w:p>
            <w:pPr>
              <w:pStyle w:val="8"/>
              <w:ind w:right="560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pStyle w:val="8"/>
              <w:ind w:left="720" w:right="560"/>
              <w:jc w:val="both"/>
              <w:rPr>
                <w:rFonts w:ascii="黑体"/>
                <w:sz w:val="21"/>
                <w:szCs w:val="21"/>
              </w:rPr>
            </w:pPr>
          </w:p>
        </w:tc>
      </w:tr>
    </w:tbl>
    <w:p>
      <w:pPr>
        <w:pStyle w:val="7"/>
        <w:spacing w:line="360" w:lineRule="exact"/>
        <w:jc w:val="left"/>
        <w:rPr>
          <w:sz w:val="21"/>
          <w:szCs w:val="21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260FA"/>
    <w:multiLevelType w:val="multilevel"/>
    <w:tmpl w:val="646260FA"/>
    <w:lvl w:ilvl="0" w:tentative="0">
      <w:start w:val="1"/>
      <w:numFmt w:val="decimal"/>
      <w:suff w:val="nothing"/>
      <w:lvlText w:val="表%1　"/>
      <w:lvlJc w:val="left"/>
      <w:pPr>
        <w:ind w:left="3990" w:firstLine="0"/>
      </w:pPr>
      <w:rPr>
        <w:rFonts w:hint="eastAsia" w:ascii="黑体" w:hAnsi="Times New Roman" w:eastAsia="黑体"/>
        <w:b w:val="0"/>
        <w:i w:val="0"/>
        <w:sz w:val="21"/>
        <w:lang w:val="en-US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A4659"/>
    <w:rsid w:val="00306C2B"/>
    <w:rsid w:val="00323B43"/>
    <w:rsid w:val="003A3352"/>
    <w:rsid w:val="003D37D8"/>
    <w:rsid w:val="004358AB"/>
    <w:rsid w:val="0050702D"/>
    <w:rsid w:val="005208E7"/>
    <w:rsid w:val="005E0905"/>
    <w:rsid w:val="00674565"/>
    <w:rsid w:val="007451A2"/>
    <w:rsid w:val="007F1B58"/>
    <w:rsid w:val="00820957"/>
    <w:rsid w:val="008460B0"/>
    <w:rsid w:val="008B7726"/>
    <w:rsid w:val="008C0EDD"/>
    <w:rsid w:val="00A23D56"/>
    <w:rsid w:val="00B54245"/>
    <w:rsid w:val="00BA4659"/>
    <w:rsid w:val="00C63718"/>
    <w:rsid w:val="00CA7B2B"/>
    <w:rsid w:val="00CC1011"/>
    <w:rsid w:val="00DE6403"/>
    <w:rsid w:val="00F43DBA"/>
    <w:rsid w:val="00FA3F16"/>
    <w:rsid w:val="05CF2084"/>
    <w:rsid w:val="26AC4BD6"/>
    <w:rsid w:val="3D010F79"/>
    <w:rsid w:val="3F717A79"/>
    <w:rsid w:val="4A9138B9"/>
    <w:rsid w:val="53D44CF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 w:line="240" w:lineRule="auto"/>
      <w:jc w:val="right"/>
    </w:pPr>
    <w:rPr>
      <w:rFonts w:ascii="Times New Roman" w:hAnsi="Times New Roman" w:eastAsia="宋体" w:cs="Times New Roman"/>
      <w:sz w:val="21"/>
      <w:szCs w:val="20"/>
      <w:lang w:val="en-US" w:eastAsia="zh-CN" w:bidi="ar-SA"/>
    </w:rPr>
  </w:style>
  <w:style w:type="paragraph" w:customStyle="1" w:styleId="7">
    <w:name w:val="封面标准名称"/>
    <w:qFormat/>
    <w:uiPriority w:val="0"/>
    <w:pPr>
      <w:widowControl w:val="0"/>
      <w:spacing w:after="0" w:line="680" w:lineRule="exact"/>
      <w:jc w:val="center"/>
      <w:textAlignment w:val="center"/>
    </w:pPr>
    <w:rPr>
      <w:rFonts w:ascii="黑体" w:hAnsi="Times New Roman" w:eastAsia="黑体" w:cs="Times New Roman"/>
      <w:sz w:val="52"/>
      <w:szCs w:val="20"/>
      <w:lang w:val="en-US" w:eastAsia="zh-CN" w:bidi="ar-SA"/>
    </w:rPr>
  </w:style>
  <w:style w:type="paragraph" w:customStyle="1" w:styleId="8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 w:after="0" w:line="240" w:lineRule="auto"/>
      <w:jc w:val="right"/>
      <w:textAlignment w:val="center"/>
    </w:pPr>
    <w:rPr>
      <w:rFonts w:ascii="Times New Roman" w:hAnsi="Times New Roman" w:eastAsia="宋体" w:cs="Times New Roman"/>
      <w:sz w:val="28"/>
      <w:szCs w:val="20"/>
      <w:lang w:val="en-US" w:eastAsia="zh-CN" w:bidi="ar-SA"/>
    </w:rPr>
  </w:style>
  <w:style w:type="character" w:customStyle="1" w:styleId="9">
    <w:name w:val="正文表标题 Char"/>
    <w:link w:val="10"/>
    <w:qFormat/>
    <w:uiPriority w:val="0"/>
    <w:rPr>
      <w:rFonts w:ascii="黑体" w:eastAsia="黑体"/>
      <w:sz w:val="21"/>
    </w:rPr>
  </w:style>
  <w:style w:type="paragraph" w:customStyle="1" w:styleId="10">
    <w:name w:val="正文表标题"/>
    <w:next w:val="1"/>
    <w:link w:val="9"/>
    <w:qFormat/>
    <w:uiPriority w:val="0"/>
    <w:pPr>
      <w:spacing w:after="0" w:line="240" w:lineRule="auto"/>
      <w:ind w:left="720" w:hanging="720"/>
      <w:jc w:val="center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character" w:customStyle="1" w:styleId="11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148</Words>
  <Characters>849</Characters>
  <Lines>7</Lines>
  <Paragraphs>1</Paragraphs>
  <ScaleCrop>false</ScaleCrop>
  <LinksUpToDate>false</LinksUpToDate>
  <CharactersWithSpaces>996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2019-06-03T02:01:00Z</dcterms:created>
  <dc:creator>xzjd</dc:creator>
  <cp:lastModifiedBy>王磊</cp:lastModifiedBy>
  <cp:lastPrinted>2019-08-15T01:30:56Z</cp:lastPrinted>
  <dcterms:modified xsi:type="dcterms:W3CDTF">2019-08-15T01:31:04Z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