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一、磺胺类（总量）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磺胺类药物是一种人工合成的抗菌谱较广、性质稳定、使用简便的抗菌药，对大多数革兰氏阳性菌和阴性菌都有较强抑制作用。《动物性食品中兽药最高残留限量》（农业部公告 第235号）中规定，磺胺类在所有食品动物的肌肉中的最高残留限量为100 μg/kg。长期摄入磺胺类超标的动物性食品，可能导致泌尿系统和肝脏损伤等健康危害。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二、4-氯苯氧乙酸钠（以4-氯苯氧乙酸计）</w:t>
      </w:r>
    </w:p>
    <w:p>
      <w:pPr>
        <w:ind w:left="0" w:leftChars="0" w:firstLine="633" w:firstLineChars="198"/>
        <w:jc w:val="left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4-氯苯氧乙酸钠俗称防落素、保果灵，原用于植物生长调节，在豆芽生产中，可以促进豆芽下胚抽粗大，减少根部萌发，加速细胞分裂。《国家食品药品监督管理总局、农业部、国家卫生和计划生育委员会关于豆芽生产过程中禁止使用6-苄基腺嘌呤等物质的公告》（2015年第11号）中规定，4-氯苯氧乙酸钠作为低毒农药登记管理并限定了使用范围，豆芽生产不在可使用范围之列。4-氯苯氧乙酸钠残留会在人体内累积，长期食用会对人体产生蓄积危害。</w:t>
      </w:r>
    </w:p>
    <w:p>
      <w:pPr>
        <w:ind w:left="0" w:leftChars="0" w:firstLine="633" w:firstLineChars="198"/>
        <w:jc w:val="center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三、呋喃唑酮代谢物</w:t>
      </w:r>
    </w:p>
    <w:p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呋喃唑酮是硝基呋喃类广谱抗生素，曾广泛应用于畜禽及水产养殖业。硝基呋喃类原型药在生物体内代谢迅速，其代谢物因与蛋白质结合而相当稳定，故常利用对其代谢物的检测来反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映</w:t>
      </w:r>
      <w:r>
        <w:rPr>
          <w:rFonts w:ascii="Times New Roman" w:hAnsi="Times New Roman" w:eastAsia="仿宋_GB2312" w:cs="Times New Roman"/>
          <w:sz w:val="32"/>
          <w:szCs w:val="32"/>
        </w:rPr>
        <w:t>硝基呋喃类药物的残留状况。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《动物性食品中兽药最高残留限量》（农业部公告第235号）中规定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呋喃唑酮为禁止使用的药物，在动物性食品中不得检出。</w:t>
      </w:r>
      <w:r>
        <w:rPr>
          <w:rFonts w:ascii="Times New Roman" w:hAnsi="Times New Roman" w:eastAsia="仿宋_GB2312" w:cs="Times New Roman"/>
          <w:sz w:val="32"/>
          <w:szCs w:val="32"/>
        </w:rPr>
        <w:t>硝基呋喃类药物及其代谢物可引起溶血性贫血、多发性神经炎、眼部损害等疾病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长期食用检出呋喃唑酮代谢物的食品，可能会对人体健康有一定影响。</w:t>
      </w:r>
    </w:p>
    <w:p>
      <w:pPr>
        <w:spacing w:line="540" w:lineRule="exact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2E1457A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2019-12-26T05:02:48Z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