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1058" w:rsidRPr="00D51058" w:rsidRDefault="00D51058" w:rsidP="00D51058">
      <w:pPr>
        <w:spacing w:line="560" w:lineRule="exact"/>
        <w:jc w:val="left"/>
        <w:rPr>
          <w:rFonts w:ascii="Times New Roman" w:eastAsia="黑体" w:hAnsi="Times New Roman"/>
          <w:sz w:val="32"/>
          <w:szCs w:val="32"/>
        </w:rPr>
      </w:pPr>
      <w:r w:rsidRPr="00D51058">
        <w:rPr>
          <w:rFonts w:ascii="Times New Roman" w:eastAsia="黑体" w:hAnsi="Times New Roman"/>
          <w:sz w:val="32"/>
          <w:szCs w:val="32"/>
        </w:rPr>
        <w:t>附件</w:t>
      </w:r>
      <w:r w:rsidRPr="00D51058">
        <w:rPr>
          <w:rFonts w:ascii="Times New Roman" w:eastAsia="黑体" w:hAnsi="Times New Roman"/>
          <w:sz w:val="32"/>
          <w:szCs w:val="32"/>
        </w:rPr>
        <w:t>4</w:t>
      </w:r>
    </w:p>
    <w:p w:rsidR="00D51058" w:rsidRPr="00D51058" w:rsidRDefault="00D51058" w:rsidP="00D51058">
      <w:pPr>
        <w:spacing w:line="560" w:lineRule="exact"/>
        <w:jc w:val="center"/>
        <w:rPr>
          <w:rFonts w:ascii="Times New Roman" w:eastAsia="方正小标宋简体" w:hAnsi="Times New Roman"/>
          <w:sz w:val="44"/>
          <w:szCs w:val="44"/>
        </w:rPr>
      </w:pPr>
    </w:p>
    <w:p w:rsidR="00D51058" w:rsidRPr="00D51058" w:rsidRDefault="00D51058" w:rsidP="00D51058">
      <w:pPr>
        <w:spacing w:line="560" w:lineRule="exact"/>
        <w:jc w:val="center"/>
        <w:rPr>
          <w:rFonts w:ascii="Times New Roman" w:eastAsia="方正小标宋简体" w:hAnsi="Times New Roman"/>
          <w:sz w:val="44"/>
          <w:szCs w:val="44"/>
        </w:rPr>
      </w:pPr>
    </w:p>
    <w:p w:rsidR="00D51058" w:rsidRPr="00D51058" w:rsidRDefault="00D51058" w:rsidP="00D51058">
      <w:pPr>
        <w:spacing w:line="560" w:lineRule="exact"/>
        <w:jc w:val="center"/>
        <w:rPr>
          <w:rFonts w:ascii="Times New Roman" w:eastAsia="方正小标宋简体" w:hAnsi="Times New Roman"/>
          <w:sz w:val="44"/>
          <w:szCs w:val="44"/>
        </w:rPr>
      </w:pPr>
    </w:p>
    <w:p w:rsidR="00D51058" w:rsidRPr="00D51058" w:rsidRDefault="00D51058" w:rsidP="00D51058">
      <w:pPr>
        <w:spacing w:line="560" w:lineRule="exact"/>
        <w:jc w:val="center"/>
        <w:rPr>
          <w:rFonts w:ascii="Times New Roman" w:eastAsia="方正小标宋简体" w:hAnsi="Times New Roman"/>
          <w:sz w:val="44"/>
          <w:szCs w:val="44"/>
        </w:rPr>
      </w:pPr>
      <w:r w:rsidRPr="00D51058">
        <w:rPr>
          <w:rFonts w:ascii="Times New Roman" w:eastAsia="方正小标宋简体" w:hAnsi="Times New Roman"/>
          <w:sz w:val="44"/>
          <w:szCs w:val="44"/>
        </w:rPr>
        <w:t>部分不合格项目解读</w:t>
      </w:r>
    </w:p>
    <w:p w:rsidR="00D51058" w:rsidRPr="00D51058" w:rsidRDefault="00D51058" w:rsidP="00D51058">
      <w:pPr>
        <w:spacing w:line="560" w:lineRule="exact"/>
        <w:ind w:firstLineChars="200" w:firstLine="640"/>
        <w:jc w:val="left"/>
        <w:rPr>
          <w:rFonts w:ascii="Times New Roman" w:eastAsia="仿宋_GB2312" w:hAnsi="Times New Roman"/>
          <w:sz w:val="32"/>
          <w:szCs w:val="32"/>
        </w:rPr>
      </w:pPr>
    </w:p>
    <w:p w:rsidR="001F5817" w:rsidRPr="00D51058" w:rsidRDefault="00D51058" w:rsidP="00D51058">
      <w:pPr>
        <w:spacing w:line="560" w:lineRule="exact"/>
        <w:ind w:firstLineChars="200" w:firstLine="640"/>
        <w:jc w:val="left"/>
        <w:rPr>
          <w:rFonts w:ascii="Times New Roman" w:eastAsia="黑体" w:hAnsi="Times New Roman"/>
          <w:sz w:val="32"/>
          <w:szCs w:val="32"/>
        </w:rPr>
      </w:pPr>
      <w:r w:rsidRPr="00D51058">
        <w:rPr>
          <w:rFonts w:ascii="Times New Roman" w:eastAsia="黑体" w:hAnsi="Times New Roman"/>
          <w:sz w:val="32"/>
          <w:szCs w:val="32"/>
        </w:rPr>
        <w:t>一、</w:t>
      </w:r>
      <w:r w:rsidR="0031362F" w:rsidRPr="00D51058">
        <w:rPr>
          <w:rFonts w:ascii="Times New Roman" w:eastAsia="黑体" w:hAnsi="Times New Roman"/>
          <w:sz w:val="32"/>
          <w:szCs w:val="32"/>
        </w:rPr>
        <w:t>糕点不合格项目过氧化值解读</w:t>
      </w:r>
    </w:p>
    <w:p w:rsidR="001F5817" w:rsidRPr="00D51058" w:rsidRDefault="0031362F" w:rsidP="00D51058">
      <w:pPr>
        <w:spacing w:line="560" w:lineRule="exact"/>
        <w:ind w:firstLineChars="200" w:firstLine="640"/>
        <w:rPr>
          <w:rFonts w:ascii="Times New Roman" w:eastAsia="仿宋_GB2312" w:hAnsi="Times New Roman"/>
          <w:kern w:val="0"/>
          <w:sz w:val="32"/>
          <w:szCs w:val="32"/>
        </w:rPr>
      </w:pPr>
      <w:r w:rsidRPr="00D51058">
        <w:rPr>
          <w:rFonts w:ascii="Times New Roman" w:eastAsia="仿宋_GB2312" w:hAnsi="Times New Roman"/>
          <w:kern w:val="0"/>
          <w:sz w:val="32"/>
          <w:szCs w:val="32"/>
        </w:rPr>
        <w:t>过氧化值是反映油脂被氧化程度的指标。油脂被氧化程度高时会产生哈喇味，影响食品感官，严重时可能会导致食用者出现肠胃不适、腹泻等症状。</w:t>
      </w:r>
      <w:r w:rsidR="004A2EB9" w:rsidRPr="00D51058">
        <w:rPr>
          <w:rFonts w:ascii="Times New Roman" w:eastAsia="仿宋_GB2312" w:hAnsi="Times New Roman"/>
          <w:color w:val="191919"/>
          <w:sz w:val="32"/>
          <w:szCs w:val="32"/>
          <w:shd w:val="clear" w:color="auto" w:fill="FFFFFF"/>
        </w:rPr>
        <w:t>GB 7099-2015</w:t>
      </w:r>
      <w:r w:rsidR="004A2EB9" w:rsidRPr="00D51058">
        <w:rPr>
          <w:rFonts w:ascii="Times New Roman" w:eastAsia="仿宋_GB2312" w:hAnsi="Times New Roman"/>
          <w:color w:val="191919"/>
          <w:sz w:val="32"/>
          <w:szCs w:val="32"/>
          <w:shd w:val="clear" w:color="auto" w:fill="FFFFFF"/>
        </w:rPr>
        <w:t>《食品安全国家标准</w:t>
      </w:r>
      <w:r w:rsidR="004A2EB9" w:rsidRPr="00D51058">
        <w:rPr>
          <w:rFonts w:ascii="Times New Roman" w:eastAsia="仿宋_GB2312" w:hAnsi="Times New Roman"/>
          <w:color w:val="191919"/>
          <w:sz w:val="32"/>
          <w:szCs w:val="32"/>
          <w:shd w:val="clear" w:color="auto" w:fill="FFFFFF"/>
        </w:rPr>
        <w:t xml:space="preserve"> </w:t>
      </w:r>
      <w:r w:rsidR="004A2EB9" w:rsidRPr="00D51058">
        <w:rPr>
          <w:rFonts w:ascii="Times New Roman" w:eastAsia="仿宋_GB2312" w:hAnsi="Times New Roman"/>
          <w:color w:val="191919"/>
          <w:sz w:val="32"/>
          <w:szCs w:val="32"/>
          <w:shd w:val="clear" w:color="auto" w:fill="FFFFFF"/>
        </w:rPr>
        <w:t>糕点、面包》中规定配料中添加油脂的产品过氧化值（以脂肪计）应不超过</w:t>
      </w:r>
      <w:r w:rsidR="004A2EB9" w:rsidRPr="00D51058">
        <w:rPr>
          <w:rFonts w:ascii="Times New Roman" w:eastAsia="仿宋_GB2312" w:hAnsi="Times New Roman"/>
          <w:color w:val="191919"/>
          <w:sz w:val="32"/>
          <w:szCs w:val="32"/>
          <w:shd w:val="clear" w:color="auto" w:fill="FFFFFF"/>
        </w:rPr>
        <w:t>0.25g/100g</w:t>
      </w:r>
      <w:r w:rsidR="004A2EB9" w:rsidRPr="00D51058">
        <w:rPr>
          <w:rFonts w:ascii="Times New Roman" w:eastAsia="仿宋_GB2312" w:hAnsi="Times New Roman"/>
          <w:color w:val="191919"/>
          <w:sz w:val="32"/>
          <w:szCs w:val="32"/>
          <w:shd w:val="clear" w:color="auto" w:fill="FFFFFF"/>
        </w:rPr>
        <w:t>。</w:t>
      </w:r>
      <w:r w:rsidRPr="00D51058">
        <w:rPr>
          <w:rFonts w:ascii="Times New Roman" w:eastAsia="仿宋_GB2312" w:hAnsi="Times New Roman"/>
          <w:kern w:val="0"/>
          <w:sz w:val="32"/>
          <w:szCs w:val="32"/>
        </w:rPr>
        <w:t>过氧化值超标的原因可能是原料中的</w:t>
      </w:r>
      <w:proofErr w:type="gramStart"/>
      <w:r w:rsidRPr="00D51058">
        <w:rPr>
          <w:rFonts w:ascii="Times New Roman" w:eastAsia="仿宋_GB2312" w:hAnsi="Times New Roman"/>
          <w:kern w:val="0"/>
          <w:sz w:val="32"/>
          <w:szCs w:val="32"/>
        </w:rPr>
        <w:t>脂肪已氧化</w:t>
      </w:r>
      <w:proofErr w:type="gramEnd"/>
      <w:r w:rsidRPr="00D51058">
        <w:rPr>
          <w:rFonts w:ascii="Times New Roman" w:eastAsia="仿宋_GB2312" w:hAnsi="Times New Roman"/>
          <w:kern w:val="0"/>
          <w:sz w:val="32"/>
          <w:szCs w:val="32"/>
        </w:rPr>
        <w:t>或原料储存不当，使得</w:t>
      </w:r>
      <w:proofErr w:type="gramStart"/>
      <w:r w:rsidRPr="00D51058">
        <w:rPr>
          <w:rFonts w:ascii="Times New Roman" w:eastAsia="仿宋_GB2312" w:hAnsi="Times New Roman"/>
          <w:kern w:val="0"/>
          <w:sz w:val="32"/>
          <w:szCs w:val="32"/>
        </w:rPr>
        <w:t>终产品</w:t>
      </w:r>
      <w:proofErr w:type="gramEnd"/>
      <w:r w:rsidRPr="00D51058">
        <w:rPr>
          <w:rFonts w:ascii="Times New Roman" w:eastAsia="仿宋_GB2312" w:hAnsi="Times New Roman"/>
          <w:kern w:val="0"/>
          <w:sz w:val="32"/>
          <w:szCs w:val="32"/>
        </w:rPr>
        <w:t>油脂氧化。高油脂含量的食品如果存放条件不当，在高温或阳光照射下也容易造成过氧化值超标。</w:t>
      </w:r>
    </w:p>
    <w:p w:rsidR="001F5817" w:rsidRPr="00D51058" w:rsidRDefault="00D51058" w:rsidP="00D51058">
      <w:pPr>
        <w:spacing w:line="560" w:lineRule="exact"/>
        <w:ind w:firstLineChars="200" w:firstLine="640"/>
        <w:jc w:val="left"/>
        <w:rPr>
          <w:rFonts w:ascii="Times New Roman" w:eastAsia="黑体" w:hAnsi="Times New Roman"/>
          <w:sz w:val="32"/>
          <w:szCs w:val="32"/>
        </w:rPr>
      </w:pPr>
      <w:r w:rsidRPr="00D51058">
        <w:rPr>
          <w:rFonts w:ascii="Times New Roman" w:eastAsia="黑体" w:hAnsi="Times New Roman"/>
          <w:sz w:val="32"/>
          <w:szCs w:val="32"/>
        </w:rPr>
        <w:t>二、</w:t>
      </w:r>
      <w:r w:rsidR="0031362F" w:rsidRPr="00D51058">
        <w:rPr>
          <w:rFonts w:ascii="Times New Roman" w:eastAsia="黑体" w:hAnsi="Times New Roman"/>
          <w:sz w:val="32"/>
          <w:szCs w:val="32"/>
        </w:rPr>
        <w:t>糕点防腐剂比例之和不合格解读</w:t>
      </w:r>
    </w:p>
    <w:p w:rsidR="001F5817" w:rsidRPr="00D51058" w:rsidRDefault="0031362F" w:rsidP="00D51058">
      <w:pPr>
        <w:spacing w:line="560" w:lineRule="exact"/>
        <w:ind w:firstLineChars="200" w:firstLine="640"/>
        <w:rPr>
          <w:rFonts w:ascii="Times New Roman" w:eastAsia="仿宋_GB2312" w:hAnsi="Times New Roman"/>
          <w:kern w:val="0"/>
          <w:sz w:val="32"/>
          <w:szCs w:val="32"/>
        </w:rPr>
      </w:pPr>
      <w:r w:rsidRPr="00D51058">
        <w:rPr>
          <w:rFonts w:ascii="Times New Roman" w:eastAsia="仿宋_GB2312" w:hAnsi="Times New Roman"/>
          <w:kern w:val="0"/>
          <w:sz w:val="32"/>
          <w:szCs w:val="32"/>
        </w:rPr>
        <w:t>GB 2760-2014</w:t>
      </w:r>
      <w:r w:rsidRPr="00D51058">
        <w:rPr>
          <w:rFonts w:ascii="Times New Roman" w:eastAsia="仿宋_GB2312" w:hAnsi="Times New Roman"/>
          <w:kern w:val="0"/>
          <w:sz w:val="32"/>
          <w:szCs w:val="32"/>
        </w:rPr>
        <w:t>《食品安全国家标准</w:t>
      </w:r>
      <w:r w:rsidRPr="00D51058">
        <w:rPr>
          <w:rFonts w:ascii="Times New Roman" w:eastAsia="仿宋_GB2312" w:hAnsi="Times New Roman"/>
          <w:kern w:val="0"/>
          <w:sz w:val="32"/>
          <w:szCs w:val="32"/>
        </w:rPr>
        <w:t xml:space="preserve"> </w:t>
      </w:r>
      <w:r w:rsidRPr="00D51058">
        <w:rPr>
          <w:rFonts w:ascii="Times New Roman" w:eastAsia="仿宋_GB2312" w:hAnsi="Times New Roman"/>
          <w:kern w:val="0"/>
          <w:sz w:val="32"/>
          <w:szCs w:val="32"/>
        </w:rPr>
        <w:t>食品添加剂使用标准》规定，</w:t>
      </w:r>
      <w:r w:rsidR="004A2EB9" w:rsidRPr="00D51058">
        <w:rPr>
          <w:rFonts w:ascii="Times New Roman" w:eastAsia="仿宋_GB2312" w:hAnsi="Times New Roman"/>
          <w:kern w:val="0"/>
          <w:sz w:val="32"/>
          <w:szCs w:val="32"/>
        </w:rPr>
        <w:t>同一</w:t>
      </w:r>
      <w:r w:rsidR="00C7395C" w:rsidRPr="00D51058">
        <w:rPr>
          <w:rFonts w:ascii="Times New Roman" w:eastAsia="仿宋_GB2312" w:hAnsi="Times New Roman"/>
          <w:kern w:val="0"/>
          <w:sz w:val="32"/>
          <w:szCs w:val="32"/>
        </w:rPr>
        <w:t>功能的食品添加剂（</w:t>
      </w:r>
      <w:r w:rsidRPr="00D51058">
        <w:rPr>
          <w:rFonts w:ascii="Times New Roman" w:eastAsia="仿宋_GB2312" w:hAnsi="Times New Roman"/>
          <w:kern w:val="0"/>
          <w:sz w:val="32"/>
          <w:szCs w:val="32"/>
        </w:rPr>
        <w:t>防</w:t>
      </w:r>
      <w:bookmarkStart w:id="0" w:name="_GoBack"/>
      <w:bookmarkEnd w:id="0"/>
      <w:r w:rsidRPr="00D51058">
        <w:rPr>
          <w:rFonts w:ascii="Times New Roman" w:eastAsia="仿宋_GB2312" w:hAnsi="Times New Roman"/>
          <w:kern w:val="0"/>
          <w:sz w:val="32"/>
          <w:szCs w:val="32"/>
        </w:rPr>
        <w:t>腐剂</w:t>
      </w:r>
      <w:r w:rsidR="00C7395C" w:rsidRPr="00D51058">
        <w:rPr>
          <w:rFonts w:ascii="Times New Roman" w:eastAsia="仿宋_GB2312" w:hAnsi="Times New Roman"/>
          <w:kern w:val="0"/>
          <w:sz w:val="32"/>
          <w:szCs w:val="32"/>
        </w:rPr>
        <w:t>）在</w:t>
      </w:r>
      <w:r w:rsidRPr="00D51058">
        <w:rPr>
          <w:rFonts w:ascii="Times New Roman" w:eastAsia="仿宋_GB2312" w:hAnsi="Times New Roman"/>
          <w:kern w:val="0"/>
          <w:sz w:val="32"/>
          <w:szCs w:val="32"/>
        </w:rPr>
        <w:t>混合使用时各自用量占其最大使用量的比例之和不</w:t>
      </w:r>
      <w:r w:rsidR="00C7395C" w:rsidRPr="00D51058">
        <w:rPr>
          <w:rFonts w:ascii="Times New Roman" w:eastAsia="仿宋_GB2312" w:hAnsi="Times New Roman"/>
          <w:kern w:val="0"/>
          <w:sz w:val="32"/>
          <w:szCs w:val="32"/>
        </w:rPr>
        <w:t>应</w:t>
      </w:r>
      <w:r w:rsidRPr="00D51058">
        <w:rPr>
          <w:rFonts w:ascii="Times New Roman" w:eastAsia="仿宋_GB2312" w:hAnsi="Times New Roman"/>
          <w:kern w:val="0"/>
          <w:sz w:val="32"/>
          <w:szCs w:val="32"/>
        </w:rPr>
        <w:t>超过</w:t>
      </w:r>
      <w:r w:rsidRPr="00D51058">
        <w:rPr>
          <w:rFonts w:ascii="Times New Roman" w:eastAsia="仿宋_GB2312" w:hAnsi="Times New Roman"/>
          <w:kern w:val="0"/>
          <w:sz w:val="32"/>
          <w:szCs w:val="32"/>
        </w:rPr>
        <w:t>1</w:t>
      </w:r>
      <w:r w:rsidRPr="00D51058">
        <w:rPr>
          <w:rFonts w:ascii="Times New Roman" w:eastAsia="仿宋_GB2312" w:hAnsi="Times New Roman"/>
          <w:kern w:val="0"/>
          <w:sz w:val="32"/>
          <w:szCs w:val="32"/>
        </w:rPr>
        <w:t>。糕点产品</w:t>
      </w:r>
      <w:r w:rsidR="00C7395C" w:rsidRPr="00D51058">
        <w:rPr>
          <w:rFonts w:ascii="Times New Roman" w:eastAsia="仿宋_GB2312" w:hAnsi="Times New Roman"/>
          <w:kern w:val="0"/>
          <w:sz w:val="32"/>
          <w:szCs w:val="32"/>
        </w:rPr>
        <w:t>中</w:t>
      </w:r>
      <w:r w:rsidRPr="00D51058">
        <w:rPr>
          <w:rFonts w:ascii="Times New Roman" w:eastAsia="仿宋_GB2312" w:hAnsi="Times New Roman"/>
          <w:kern w:val="0"/>
          <w:sz w:val="32"/>
          <w:szCs w:val="32"/>
        </w:rPr>
        <w:t>使用</w:t>
      </w:r>
      <w:r w:rsidR="00C7395C" w:rsidRPr="00D51058">
        <w:rPr>
          <w:rFonts w:ascii="Times New Roman" w:eastAsia="仿宋_GB2312" w:hAnsi="Times New Roman"/>
          <w:kern w:val="0"/>
          <w:sz w:val="32"/>
          <w:szCs w:val="32"/>
        </w:rPr>
        <w:t>的</w:t>
      </w:r>
      <w:r w:rsidRPr="00D51058">
        <w:rPr>
          <w:rFonts w:ascii="Times New Roman" w:eastAsia="仿宋_GB2312" w:hAnsi="Times New Roman"/>
          <w:kern w:val="0"/>
          <w:sz w:val="32"/>
          <w:szCs w:val="32"/>
        </w:rPr>
        <w:t>防腐剂</w:t>
      </w:r>
      <w:r w:rsidR="00C7395C" w:rsidRPr="00D51058">
        <w:rPr>
          <w:rFonts w:ascii="Times New Roman" w:eastAsia="仿宋_GB2312" w:hAnsi="Times New Roman"/>
          <w:kern w:val="0"/>
          <w:sz w:val="32"/>
          <w:szCs w:val="32"/>
        </w:rPr>
        <w:t>（主要是苯甲酸、山梨酸、脱氢乙酸、丙酸等）比例之和超标，其</w:t>
      </w:r>
      <w:r w:rsidRPr="00D51058">
        <w:rPr>
          <w:rFonts w:ascii="Times New Roman" w:eastAsia="仿宋_GB2312" w:hAnsi="Times New Roman"/>
          <w:kern w:val="0"/>
          <w:sz w:val="32"/>
          <w:szCs w:val="32"/>
        </w:rPr>
        <w:t>原因可能是企业为延长产品保质期，或者弥补产品生产过程卫生条件不佳而超限量使用防腐剂，或者因添加防腐剂时计量不准确造成防腐剂超标。</w:t>
      </w:r>
    </w:p>
    <w:p w:rsidR="001F5817" w:rsidRPr="00D51058" w:rsidRDefault="00D51058" w:rsidP="00D51058">
      <w:pPr>
        <w:spacing w:line="560" w:lineRule="exact"/>
        <w:ind w:firstLineChars="200" w:firstLine="640"/>
        <w:jc w:val="left"/>
        <w:rPr>
          <w:rFonts w:ascii="Times New Roman" w:eastAsia="黑体" w:hAnsi="Times New Roman"/>
          <w:sz w:val="32"/>
          <w:szCs w:val="32"/>
        </w:rPr>
      </w:pPr>
      <w:r w:rsidRPr="00D51058">
        <w:rPr>
          <w:rFonts w:ascii="Times New Roman" w:eastAsia="黑体" w:hAnsi="Times New Roman"/>
          <w:sz w:val="32"/>
          <w:szCs w:val="32"/>
        </w:rPr>
        <w:t>三、</w:t>
      </w:r>
      <w:r w:rsidR="0031362F" w:rsidRPr="00D51058">
        <w:rPr>
          <w:rFonts w:ascii="Times New Roman" w:eastAsia="黑体" w:hAnsi="Times New Roman"/>
          <w:sz w:val="32"/>
          <w:szCs w:val="32"/>
        </w:rPr>
        <w:t>桶装水不合格项目铜绿假单胞菌解读</w:t>
      </w:r>
    </w:p>
    <w:p w:rsidR="001F5817" w:rsidRPr="00D51058" w:rsidRDefault="0031362F" w:rsidP="00D51058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D51058">
        <w:rPr>
          <w:rFonts w:ascii="Times New Roman" w:eastAsia="仿宋_GB2312" w:hAnsi="Times New Roman"/>
          <w:sz w:val="32"/>
          <w:szCs w:val="32"/>
        </w:rPr>
        <w:lastRenderedPageBreak/>
        <w:t>铜绿假单胞菌是一种水源性和食源性致病菌，它在水、土壤、食品以及医院等环境中广泛存在，尤其喜欢在潮湿的环境中生长繁殖。铜绿假单胞菌生长代谢过程中可能产生多种内毒素、外毒素等致病因子，人感染后可引起局部化脓性炎症等各种疾病。</w:t>
      </w:r>
    </w:p>
    <w:p w:rsidR="001F5817" w:rsidRPr="00D51058" w:rsidRDefault="0031362F" w:rsidP="00D51058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D51058">
        <w:rPr>
          <w:rFonts w:ascii="Times New Roman" w:eastAsia="仿宋_GB2312" w:hAnsi="Times New Roman"/>
          <w:sz w:val="32"/>
          <w:szCs w:val="32"/>
        </w:rPr>
        <w:t>目前国内市场销售的包装饮用水包装形式主要包括桶装、瓶装以及袋装。有研究显示水处理过程中微生物的主要来源为原水、离子交换等过程的污染，而经过滤、臭氧消毒等工艺后水的质量（灌装前）比较稳定，铜绿假单胞菌的检出率很低。瓶装及袋装饮用水的包装容器一般采用的一次性高温吹塑成型，且其生产及灌装过程都是在全封闭高温环境下进行，故在此过程受到微生物污染风险较小。大部分桶装饮用水生产企业采用的是回收桶消毒再利用，而回收桶消毒工序过程较为复杂。桶装水铜绿假单胞菌不合格的原因主要是回收桶清洗消毒不彻底，对产品造成二次污染。</w:t>
      </w:r>
    </w:p>
    <w:sectPr w:rsidR="001F5817" w:rsidRPr="00D51058" w:rsidSect="001F5817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261E" w:rsidRDefault="00F4261E" w:rsidP="00A3298C">
      <w:r>
        <w:separator/>
      </w:r>
    </w:p>
  </w:endnote>
  <w:endnote w:type="continuationSeparator" w:id="0">
    <w:p w:rsidR="00F4261E" w:rsidRDefault="00F4261E" w:rsidP="00A329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261E" w:rsidRDefault="00F4261E" w:rsidP="00A3298C">
      <w:r>
        <w:separator/>
      </w:r>
    </w:p>
  </w:footnote>
  <w:footnote w:type="continuationSeparator" w:id="0">
    <w:p w:rsidR="00F4261E" w:rsidRDefault="00F4261E" w:rsidP="00A329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5DAD"/>
    <w:rsid w:val="00106139"/>
    <w:rsid w:val="001F5817"/>
    <w:rsid w:val="0031362F"/>
    <w:rsid w:val="0045734A"/>
    <w:rsid w:val="004A2EB9"/>
    <w:rsid w:val="006C279A"/>
    <w:rsid w:val="007A10E1"/>
    <w:rsid w:val="008145AC"/>
    <w:rsid w:val="00857D71"/>
    <w:rsid w:val="009C4C01"/>
    <w:rsid w:val="009D6FE2"/>
    <w:rsid w:val="00A3286E"/>
    <w:rsid w:val="00A3298C"/>
    <w:rsid w:val="00BA11BA"/>
    <w:rsid w:val="00BF5DAD"/>
    <w:rsid w:val="00C7395C"/>
    <w:rsid w:val="00D51058"/>
    <w:rsid w:val="00D64F5E"/>
    <w:rsid w:val="00E8605D"/>
    <w:rsid w:val="00E87F54"/>
    <w:rsid w:val="00E90ED9"/>
    <w:rsid w:val="00EF3AED"/>
    <w:rsid w:val="00F4261E"/>
    <w:rsid w:val="00F84D28"/>
    <w:rsid w:val="00FB5885"/>
    <w:rsid w:val="00FF5D1D"/>
    <w:rsid w:val="01496CCC"/>
    <w:rsid w:val="02EF152C"/>
    <w:rsid w:val="035E470C"/>
    <w:rsid w:val="08981D11"/>
    <w:rsid w:val="0A0829D2"/>
    <w:rsid w:val="0A594E7B"/>
    <w:rsid w:val="0BE51AFB"/>
    <w:rsid w:val="0C1E05F3"/>
    <w:rsid w:val="0C98604E"/>
    <w:rsid w:val="0CBE1D59"/>
    <w:rsid w:val="0E883B8B"/>
    <w:rsid w:val="0ED6775D"/>
    <w:rsid w:val="11EA3BB7"/>
    <w:rsid w:val="121A3CD2"/>
    <w:rsid w:val="162956DE"/>
    <w:rsid w:val="17B71DAC"/>
    <w:rsid w:val="182B5747"/>
    <w:rsid w:val="191E15E4"/>
    <w:rsid w:val="1A3D0F6E"/>
    <w:rsid w:val="1B456C04"/>
    <w:rsid w:val="1F903048"/>
    <w:rsid w:val="2031581B"/>
    <w:rsid w:val="23DF7B9E"/>
    <w:rsid w:val="24012E3A"/>
    <w:rsid w:val="26437824"/>
    <w:rsid w:val="27D32947"/>
    <w:rsid w:val="287F4BC7"/>
    <w:rsid w:val="295314A7"/>
    <w:rsid w:val="2A6E5BEB"/>
    <w:rsid w:val="2ACD0986"/>
    <w:rsid w:val="2C3A1EA6"/>
    <w:rsid w:val="2CE45B9A"/>
    <w:rsid w:val="30100896"/>
    <w:rsid w:val="306C15E1"/>
    <w:rsid w:val="32E651FC"/>
    <w:rsid w:val="34AC2FEB"/>
    <w:rsid w:val="36FE767F"/>
    <w:rsid w:val="37281F18"/>
    <w:rsid w:val="374036E6"/>
    <w:rsid w:val="37C32D90"/>
    <w:rsid w:val="38545113"/>
    <w:rsid w:val="38CA6AA6"/>
    <w:rsid w:val="398E0845"/>
    <w:rsid w:val="3D292E8F"/>
    <w:rsid w:val="3E10395C"/>
    <w:rsid w:val="3FAD2AA2"/>
    <w:rsid w:val="4782112D"/>
    <w:rsid w:val="47880A1C"/>
    <w:rsid w:val="4948547E"/>
    <w:rsid w:val="494A6FD0"/>
    <w:rsid w:val="49CD1D67"/>
    <w:rsid w:val="4BBC5894"/>
    <w:rsid w:val="4C71039D"/>
    <w:rsid w:val="4E3470B4"/>
    <w:rsid w:val="54562204"/>
    <w:rsid w:val="546619C8"/>
    <w:rsid w:val="54957675"/>
    <w:rsid w:val="59496C3A"/>
    <w:rsid w:val="5A2419F5"/>
    <w:rsid w:val="5BD831FF"/>
    <w:rsid w:val="5DB73194"/>
    <w:rsid w:val="5F7D6800"/>
    <w:rsid w:val="60513B9A"/>
    <w:rsid w:val="612F3591"/>
    <w:rsid w:val="615C7CE3"/>
    <w:rsid w:val="62345CB8"/>
    <w:rsid w:val="63CC62C1"/>
    <w:rsid w:val="64251559"/>
    <w:rsid w:val="645568BE"/>
    <w:rsid w:val="66CF031B"/>
    <w:rsid w:val="67096646"/>
    <w:rsid w:val="6761093A"/>
    <w:rsid w:val="680244FF"/>
    <w:rsid w:val="69862D55"/>
    <w:rsid w:val="6B0A06E0"/>
    <w:rsid w:val="6CB05D3E"/>
    <w:rsid w:val="6D154AF9"/>
    <w:rsid w:val="6EE178A2"/>
    <w:rsid w:val="6F0E69B3"/>
    <w:rsid w:val="6FBA2424"/>
    <w:rsid w:val="70A029FF"/>
    <w:rsid w:val="70A91E42"/>
    <w:rsid w:val="712D1F46"/>
    <w:rsid w:val="72F46715"/>
    <w:rsid w:val="73F925F1"/>
    <w:rsid w:val="74504B4A"/>
    <w:rsid w:val="76901592"/>
    <w:rsid w:val="7C137640"/>
    <w:rsid w:val="7E3D68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9E6340"/>
  <w15:docId w15:val="{81071174-1819-4047-95BE-4DBE70857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5817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1F58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F58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1F5817"/>
    <w:rPr>
      <w:color w:val="0000FF"/>
      <w:u w:val="single"/>
    </w:rPr>
  </w:style>
  <w:style w:type="character" w:customStyle="1" w:styleId="a6">
    <w:name w:val="页眉 字符"/>
    <w:basedOn w:val="a0"/>
    <w:link w:val="a5"/>
    <w:uiPriority w:val="99"/>
    <w:qFormat/>
    <w:rsid w:val="001F5817"/>
    <w:rPr>
      <w:rFonts w:ascii="Calibri" w:hAnsi="Calibri"/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1F5817"/>
    <w:rPr>
      <w:rFonts w:ascii="Calibri" w:hAnsi="Calibri"/>
      <w:kern w:val="2"/>
      <w:sz w:val="18"/>
      <w:szCs w:val="18"/>
    </w:rPr>
  </w:style>
  <w:style w:type="paragraph" w:styleId="a8">
    <w:name w:val="List Paragraph"/>
    <w:basedOn w:val="a"/>
    <w:uiPriority w:val="34"/>
    <w:qFormat/>
    <w:rsid w:val="001F581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123</Words>
  <Characters>704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董丽</dc:creator>
  <cp:lastModifiedBy>fijoy lee</cp:lastModifiedBy>
  <cp:revision>14</cp:revision>
  <dcterms:created xsi:type="dcterms:W3CDTF">2019-11-22T04:58:00Z</dcterms:created>
  <dcterms:modified xsi:type="dcterms:W3CDTF">2019-12-11T08:46:00Z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