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</w:p>
    <w:p w:rsidR="00747027" w:rsidRPr="000A32C1" w:rsidRDefault="00747027" w:rsidP="000A32C1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 w:rsidRPr="000A32C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阿斯巴甜</w:t>
      </w:r>
      <w:bookmarkStart w:id="0" w:name="_GoBack"/>
      <w:bookmarkEnd w:id="0"/>
    </w:p>
    <w:p w:rsidR="000A0F8A" w:rsidRPr="00747027" w:rsidRDefault="000A32C1" w:rsidP="000A32C1">
      <w:pPr>
        <w:spacing w:line="560" w:lineRule="exact"/>
        <w:ind w:firstLineChars="200" w:firstLine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阿斯巴甜</w:t>
      </w:r>
      <w:r w:rsidR="00747027" w:rsidRPr="0074702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属于国际上常用的非碳水化合物类的人造甜味剂，具有甜味高、热量低的特点，被用于酱腌菜中起到调味作用。《食品安全国家标准 食品添加剂使用标准》（GB 2760-2014）中规定，阿斯巴甜在酱腌菜中最大限量值限值为0.3g/kg。长期食用阿斯巴甜超标的食品，可能会影响人体的糖代谢，对身体健康有一定影响。</w:t>
      </w:r>
    </w:p>
    <w:p w:rsidR="00DB2A1C" w:rsidRPr="00DB2A1C" w:rsidRDefault="00DB2A1C" w:rsidP="00DB2A1C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 w:rsidRPr="00DB2A1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4-氯苯氧乙酸钠</w:t>
      </w:r>
    </w:p>
    <w:p w:rsidR="00234FD3" w:rsidRDefault="00DB2A1C" w:rsidP="00DB2A1C">
      <w:pPr>
        <w:spacing w:line="560" w:lineRule="exact"/>
        <w:ind w:firstLineChars="200" w:firstLine="700"/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</w:pPr>
      <w:r w:rsidRPr="00DB2A1C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4-氯苯氧乙酸钠</w:t>
      </w:r>
      <w:r w:rsidRPr="00DB2A1C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为苯氧乙酸类化合物,是一种植物生长调节剂</w:t>
      </w:r>
      <w:r w:rsidRPr="00DB2A1C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，</w:t>
      </w:r>
      <w:r w:rsidRPr="00DB2A1C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可以促进植物体内的生物合成和生物转移，不仅可防止落花落果、提高做果率、增进果实生长速度、促进提前成熟，还能达到改善植物品质之目的</w:t>
      </w:r>
      <w:r w:rsidRPr="00DB2A1C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。农业部 国家卫生和计划生育委员会关于豆芽生产过程中禁止使用6-苄基腺嘌呤等物质的公告（2015年第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11</w:t>
      </w:r>
      <w:r w:rsidRPr="00DB2A1C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号）中规定豆芽中不得使用4-氯苯氧乙酸钠。</w:t>
      </w:r>
      <w:r w:rsidRPr="00DB2A1C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由于其对人体有一定积累毒性，国标已取消其作为食品添加剂的生产许可申请。</w:t>
      </w:r>
    </w:p>
    <w:p w:rsidR="00DB2A1C" w:rsidRDefault="00DB2A1C" w:rsidP="00DB2A1C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DB2A1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酒精度</w:t>
      </w:r>
    </w:p>
    <w:p w:rsidR="00676EF4" w:rsidRPr="00676EF4" w:rsidRDefault="00676EF4" w:rsidP="00676EF4">
      <w:pPr>
        <w:spacing w:line="560" w:lineRule="exact"/>
        <w:ind w:firstLineChars="200" w:firstLine="700"/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</w:pPr>
      <w:r w:rsidRPr="00676EF4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葡萄酒是通过发酵得来的酒类饮品，其酒精主要是由葡萄中的糖分通过酵母发酵转化而来的，酒精含量是</w:t>
      </w:r>
      <w:r w:rsidRPr="00676EF4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lastRenderedPageBreak/>
        <w:t>影响葡萄酒稳定性的很重要的一个因素。《山葡萄酒》（GB/T 27586-2011）中规定酒精度标签标示值与实测值不得超过</w:t>
      </w:r>
      <w:r w:rsidRPr="00676EF4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±</w:t>
      </w:r>
      <w:r w:rsidRPr="00676EF4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1%vol，否则为不合格。</w:t>
      </w:r>
    </w:p>
    <w:p w:rsidR="00DB2A1C" w:rsidRDefault="00DB2A1C" w:rsidP="00DB2A1C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DB2A1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亚硫酸盐</w:t>
      </w:r>
    </w:p>
    <w:p w:rsidR="00676EF4" w:rsidRPr="001D3E37" w:rsidRDefault="001D3E37" w:rsidP="001D3E37">
      <w:pPr>
        <w:spacing w:line="560" w:lineRule="exact"/>
        <w:ind w:firstLineChars="200" w:firstLine="700"/>
        <w:rPr>
          <w:rFonts w:ascii="黑体" w:eastAsia="黑体" w:hAnsi="黑体" w:cs="Arial" w:hint="eastAsia"/>
          <w:sz w:val="32"/>
          <w:szCs w:val="32"/>
          <w:shd w:val="clear" w:color="auto" w:fill="FFFFFF"/>
        </w:rPr>
      </w:pP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亚硫酸盐对食品有漂白和防腐作用，是食品加工中常用的漂白剂和防腐剂，使用后产生二氧化硫的残留。《豆芽卫生标注》</w:t>
      </w:r>
      <w:r w:rsidRPr="001D3E37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（GB 22556-2008）中规定，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亚硫酸盐（以</w:t>
      </w:r>
      <w:r w:rsidRPr="001D3E37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二氧化硫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计）≤</w:t>
      </w:r>
      <w:r w:rsidRPr="001D3E37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0.02g/kg。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一些不法商贩法律意识淡薄,采用不正当手段向豆芽菜中添加低亚硫酸钠(又名保鲜粉)，亚硫酸钠是</w:t>
      </w:r>
      <w:r w:rsidRPr="001D3E37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亚硫酸盐的一种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,其目的是使菜质色泽鲜、嫩白、无褐变,保质期长。长期食用违规生产的豆芽，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对</w:t>
      </w:r>
      <w:r w:rsidR="00081891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健康会</w:t>
      </w:r>
      <w:r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产生一定影响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。</w:t>
      </w:r>
    </w:p>
    <w:p w:rsidR="00DB2A1C" w:rsidRDefault="00DB2A1C" w:rsidP="00DB2A1C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Arial"/>
          <w:sz w:val="32"/>
          <w:szCs w:val="32"/>
          <w:shd w:val="clear" w:color="auto" w:fill="FFFFFF"/>
        </w:rPr>
      </w:pPr>
      <w:r w:rsidRPr="00DB2A1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二氧化硫</w:t>
      </w:r>
    </w:p>
    <w:p w:rsidR="00081891" w:rsidRDefault="00081891" w:rsidP="00081891">
      <w:pPr>
        <w:spacing w:line="560" w:lineRule="exact"/>
        <w:ind w:firstLineChars="200" w:firstLine="700"/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</w:pPr>
      <w:r w:rsidRPr="00081891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原料虾，尤其是海捕虾，普遍采用亚</w:t>
      </w:r>
      <w:r w:rsidRPr="00081891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硫</w:t>
      </w:r>
      <w:r w:rsidRPr="00081891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酸盐等作为保鲜剂，以防止虾黑变。二氧化硫超标与在捕捞和运输中未严格控制保鲜剂用量有关。《食品安全国家标准 食品添加剂使用标准》GB</w:t>
      </w:r>
      <w:r w:rsidRPr="00081891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 xml:space="preserve"> 2</w:t>
      </w:r>
      <w:r w:rsidRPr="00081891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760-2014中规定，二氧化硫</w:t>
      </w:r>
      <w:r w:rsidRPr="00081891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残留量≤</w:t>
      </w:r>
      <w:r w:rsidRPr="00081891"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0.1g/kg。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长期食用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二氧化硫残留</w:t>
      </w:r>
      <w:r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超标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食品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健康会</w:t>
      </w:r>
      <w:r>
        <w:rPr>
          <w:rFonts w:ascii="仿宋_GB2312" w:eastAsia="仿宋_GB2312" w:hAnsi="微软雅黑"/>
          <w:color w:val="333333"/>
          <w:spacing w:val="15"/>
          <w:sz w:val="32"/>
          <w:szCs w:val="32"/>
          <w:shd w:val="clear" w:color="auto" w:fill="FFFFFF"/>
        </w:rPr>
        <w:t>产生一定影响</w:t>
      </w:r>
      <w:r w:rsidRPr="001D3E37"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。</w:t>
      </w:r>
    </w:p>
    <w:sectPr w:rsidR="0008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6A" w:rsidRDefault="00FC1D6A" w:rsidP="00E561B3">
      <w:r>
        <w:separator/>
      </w:r>
    </w:p>
  </w:endnote>
  <w:endnote w:type="continuationSeparator" w:id="0">
    <w:p w:rsidR="00FC1D6A" w:rsidRDefault="00FC1D6A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6A" w:rsidRDefault="00FC1D6A" w:rsidP="00E561B3">
      <w:r>
        <w:separator/>
      </w:r>
    </w:p>
  </w:footnote>
  <w:footnote w:type="continuationSeparator" w:id="0">
    <w:p w:rsidR="00FC1D6A" w:rsidRDefault="00FC1D6A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20"/>
    <w:multiLevelType w:val="hybridMultilevel"/>
    <w:tmpl w:val="38160C6A"/>
    <w:lvl w:ilvl="0" w:tplc="861E8FB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1891"/>
    <w:rsid w:val="00085FF8"/>
    <w:rsid w:val="000925E7"/>
    <w:rsid w:val="000A0F8A"/>
    <w:rsid w:val="000A32C1"/>
    <w:rsid w:val="000A3378"/>
    <w:rsid w:val="000A7222"/>
    <w:rsid w:val="000D70E3"/>
    <w:rsid w:val="000E5AE6"/>
    <w:rsid w:val="001012E8"/>
    <w:rsid w:val="0011743F"/>
    <w:rsid w:val="00126F63"/>
    <w:rsid w:val="0018348D"/>
    <w:rsid w:val="00185AC2"/>
    <w:rsid w:val="001B2AD4"/>
    <w:rsid w:val="001D3E37"/>
    <w:rsid w:val="002136DD"/>
    <w:rsid w:val="002155BA"/>
    <w:rsid w:val="00216D51"/>
    <w:rsid w:val="00221B73"/>
    <w:rsid w:val="00234FD3"/>
    <w:rsid w:val="00260B10"/>
    <w:rsid w:val="00266F4A"/>
    <w:rsid w:val="00283412"/>
    <w:rsid w:val="002A7481"/>
    <w:rsid w:val="002E1E12"/>
    <w:rsid w:val="002F208D"/>
    <w:rsid w:val="002F5FF9"/>
    <w:rsid w:val="00307AA1"/>
    <w:rsid w:val="00335FE0"/>
    <w:rsid w:val="00336393"/>
    <w:rsid w:val="00375CC1"/>
    <w:rsid w:val="0039082E"/>
    <w:rsid w:val="003A2585"/>
    <w:rsid w:val="003D4FC9"/>
    <w:rsid w:val="003E74F0"/>
    <w:rsid w:val="00425109"/>
    <w:rsid w:val="00494309"/>
    <w:rsid w:val="004B1176"/>
    <w:rsid w:val="004B383D"/>
    <w:rsid w:val="004C1B51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D1441"/>
    <w:rsid w:val="005E59D1"/>
    <w:rsid w:val="00601AEF"/>
    <w:rsid w:val="00617906"/>
    <w:rsid w:val="006241BB"/>
    <w:rsid w:val="0063142F"/>
    <w:rsid w:val="00676EF4"/>
    <w:rsid w:val="00686C72"/>
    <w:rsid w:val="006D5FEB"/>
    <w:rsid w:val="006E16CF"/>
    <w:rsid w:val="006F0BB0"/>
    <w:rsid w:val="006F2573"/>
    <w:rsid w:val="006F773A"/>
    <w:rsid w:val="00731865"/>
    <w:rsid w:val="007447A7"/>
    <w:rsid w:val="00747027"/>
    <w:rsid w:val="007547CA"/>
    <w:rsid w:val="00762A7B"/>
    <w:rsid w:val="007A48C6"/>
    <w:rsid w:val="007D01EC"/>
    <w:rsid w:val="007D2E66"/>
    <w:rsid w:val="00807427"/>
    <w:rsid w:val="00813C6C"/>
    <w:rsid w:val="0081476A"/>
    <w:rsid w:val="0082041D"/>
    <w:rsid w:val="008207B3"/>
    <w:rsid w:val="00873D99"/>
    <w:rsid w:val="008A254D"/>
    <w:rsid w:val="008C3AE2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E7B1A"/>
    <w:rsid w:val="00A40F8D"/>
    <w:rsid w:val="00A55B08"/>
    <w:rsid w:val="00A70F62"/>
    <w:rsid w:val="00A84216"/>
    <w:rsid w:val="00A91592"/>
    <w:rsid w:val="00A92F96"/>
    <w:rsid w:val="00AC0654"/>
    <w:rsid w:val="00B01346"/>
    <w:rsid w:val="00B64801"/>
    <w:rsid w:val="00B938DE"/>
    <w:rsid w:val="00BA493C"/>
    <w:rsid w:val="00BA4E56"/>
    <w:rsid w:val="00BB02DD"/>
    <w:rsid w:val="00BB3ABF"/>
    <w:rsid w:val="00BB4BFA"/>
    <w:rsid w:val="00BC1707"/>
    <w:rsid w:val="00BF25EC"/>
    <w:rsid w:val="00BF424D"/>
    <w:rsid w:val="00C01FA8"/>
    <w:rsid w:val="00C104D9"/>
    <w:rsid w:val="00C32611"/>
    <w:rsid w:val="00C50508"/>
    <w:rsid w:val="00C71708"/>
    <w:rsid w:val="00C77C9A"/>
    <w:rsid w:val="00C848E7"/>
    <w:rsid w:val="00C84BA1"/>
    <w:rsid w:val="00C86A4F"/>
    <w:rsid w:val="00CA0BED"/>
    <w:rsid w:val="00CA7A22"/>
    <w:rsid w:val="00CE4BC0"/>
    <w:rsid w:val="00D04A9D"/>
    <w:rsid w:val="00D10569"/>
    <w:rsid w:val="00D37B4A"/>
    <w:rsid w:val="00D83822"/>
    <w:rsid w:val="00D93CAA"/>
    <w:rsid w:val="00DB2A1C"/>
    <w:rsid w:val="00DC0404"/>
    <w:rsid w:val="00DC2FFB"/>
    <w:rsid w:val="00DE1DBE"/>
    <w:rsid w:val="00DE2E57"/>
    <w:rsid w:val="00E2400A"/>
    <w:rsid w:val="00E32A48"/>
    <w:rsid w:val="00E561B3"/>
    <w:rsid w:val="00EA5876"/>
    <w:rsid w:val="00EA72B4"/>
    <w:rsid w:val="00EB3AD9"/>
    <w:rsid w:val="00EB544B"/>
    <w:rsid w:val="00EC3F48"/>
    <w:rsid w:val="00EE624C"/>
    <w:rsid w:val="00F358F9"/>
    <w:rsid w:val="00F527AA"/>
    <w:rsid w:val="00F544B4"/>
    <w:rsid w:val="00F9156D"/>
    <w:rsid w:val="00FA3CB8"/>
    <w:rsid w:val="00FC1D6A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E2FF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111</cp:revision>
  <cp:lastPrinted>2019-06-04T03:57:00Z</cp:lastPrinted>
  <dcterms:created xsi:type="dcterms:W3CDTF">2019-05-09T02:58:00Z</dcterms:created>
  <dcterms:modified xsi:type="dcterms:W3CDTF">2019-11-25T07:47:00Z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