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36" w:rsidRDefault="00664062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附件31</w:t>
      </w:r>
    </w:p>
    <w:p w:rsidR="00B22236" w:rsidRDefault="00664062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不合格项目说明</w:t>
      </w:r>
    </w:p>
    <w:p w:rsidR="00A8442B" w:rsidRPr="00A8442B" w:rsidRDefault="00A8442B">
      <w:pPr>
        <w:jc w:val="center"/>
        <w:rPr>
          <w:rFonts w:ascii="方正小标宋简体" w:eastAsia="方正小标宋简体"/>
          <w:bCs/>
          <w:sz w:val="18"/>
          <w:szCs w:val="18"/>
        </w:rPr>
      </w:pPr>
    </w:p>
    <w:p w:rsidR="00B22236" w:rsidRDefault="00B11B95">
      <w:pPr>
        <w:pStyle w:val="a6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</w:t>
      </w:r>
      <w:r w:rsidR="00664062">
        <w:rPr>
          <w:rFonts w:ascii="黑体" w:eastAsia="黑体" w:hAnsi="黑体" w:hint="eastAsia"/>
          <w:color w:val="000000"/>
          <w:sz w:val="32"/>
          <w:szCs w:val="32"/>
        </w:rPr>
        <w:t>防腐剂混合使用时各自用量占其最大使用量的比例之</w:t>
      </w:r>
      <w:proofErr w:type="gramStart"/>
      <w:r w:rsidR="00664062">
        <w:rPr>
          <w:rFonts w:ascii="黑体" w:eastAsia="黑体" w:hAnsi="黑体" w:hint="eastAsia"/>
          <w:color w:val="000000"/>
          <w:sz w:val="32"/>
          <w:szCs w:val="32"/>
        </w:rPr>
        <w:t>和</w:t>
      </w:r>
      <w:proofErr w:type="gramEnd"/>
    </w:p>
    <w:p w:rsidR="00B22236" w:rsidRDefault="00664062">
      <w:pPr>
        <w:pStyle w:val="a6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shd w:val="clear" w:color="auto" w:fill="FFFFFF"/>
        </w:rPr>
        <w:t>防腐剂是以保持食品原有品质和营养价值为目的的食品添加剂，它能抑制微生物的生长繁殖，防止食品腐败变质，从而延长保质期。按照标准规定的范围和使用量使用是安全可靠的。《食品安全国家标准 食品添加剂使用标准》（GB 2760-2014）中不仅规定了我国在食品中允许添加的某一添加剂的种类、使用量或残留量，而且规定了同一功能的食品添加剂（相同色泽着色剂、防腐剂、抗氧化剂）在混合使用时，各自用量占其最大使用量的比例之和不应超过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" w:hint="eastAsia"/>
          <w:sz w:val="32"/>
          <w:szCs w:val="32"/>
        </w:rPr>
        <w:t>。</w:t>
      </w:r>
    </w:p>
    <w:p w:rsidR="00B22236" w:rsidRDefault="00B11B95">
      <w:pPr>
        <w:pStyle w:val="a6"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</w:t>
      </w:r>
      <w:r w:rsidR="00664062">
        <w:rPr>
          <w:rFonts w:eastAsia="黑体" w:hint="eastAsia"/>
          <w:sz w:val="32"/>
          <w:szCs w:val="32"/>
        </w:rPr>
        <w:t>镉</w:t>
      </w:r>
    </w:p>
    <w:p w:rsidR="00B22236" w:rsidRDefault="00664062">
      <w:pPr>
        <w:pStyle w:val="a6"/>
        <w:spacing w:line="580" w:lineRule="exact"/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镉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属于重金属污染物指标，联合国环境规划署（DNFP）和国际职业卫生重金属委员会将镉列入重点研究的环境污染物，世界卫生组织（WHO）则将其作为优先研究的食品污染物。《食品安全国家标准 食品中污染物限量》（GB 2762-2017）中规定头足类水产品（去除内脏）镉的限量值为2.0 mg/kg；规定甲壳类水产品镉的限量值为0.5 mg/kg。</w:t>
      </w:r>
    </w:p>
    <w:p w:rsidR="00B22236" w:rsidRDefault="00B11B95">
      <w:pPr>
        <w:pStyle w:val="a6"/>
        <w:spacing w:line="58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三、</w:t>
      </w:r>
      <w:r w:rsidR="00664062">
        <w:rPr>
          <w:rFonts w:eastAsia="黑体" w:hint="eastAsia"/>
          <w:color w:val="000000"/>
          <w:sz w:val="32"/>
          <w:szCs w:val="32"/>
        </w:rPr>
        <w:t>氟</w:t>
      </w:r>
      <w:proofErr w:type="gramStart"/>
      <w:r w:rsidR="00664062">
        <w:rPr>
          <w:rFonts w:eastAsia="黑体" w:hint="eastAsia"/>
          <w:color w:val="000000"/>
          <w:sz w:val="32"/>
          <w:szCs w:val="32"/>
        </w:rPr>
        <w:t>苯尼考</w:t>
      </w:r>
      <w:proofErr w:type="gramEnd"/>
    </w:p>
    <w:p w:rsidR="00B22236" w:rsidRDefault="00664062">
      <w:pPr>
        <w:pStyle w:val="a6"/>
        <w:spacing w:line="580" w:lineRule="exact"/>
        <w:ind w:firstLineChars="200" w:firstLine="640"/>
        <w:rPr>
          <w:rFonts w:ascii="仿宋_GB2312" w:eastAsia="仿宋_GB2312" w:hAnsi="??" w:cs="Arial"/>
          <w:spacing w:val="-2"/>
          <w:kern w:val="0"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氟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是一种农业部批准使用的动物专用抗菌药，主要用于敏感细菌所致的猪、鸡、鱼的细菌性疾病，但产蛋家</w:t>
      </w:r>
      <w:r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禽禁止使用氟</w:t>
      </w:r>
      <w:proofErr w:type="gramStart"/>
      <w:r>
        <w:rPr>
          <w:rFonts w:ascii="仿宋_GB2312" w:eastAsia="仿宋_GB2312" w:hAnsiTheme="minorHAnsi" w:cstheme="minorBidi" w:hint="eastAsia"/>
          <w:sz w:val="32"/>
          <w:szCs w:val="32"/>
        </w:rPr>
        <w:t>苯尼考</w:t>
      </w:r>
      <w:proofErr w:type="gramEnd"/>
      <w:r>
        <w:rPr>
          <w:rFonts w:ascii="仿宋_GB2312" w:eastAsia="仿宋_GB2312" w:hAnsiTheme="minorHAnsi" w:cstheme="minorBidi" w:hint="eastAsia"/>
          <w:sz w:val="32"/>
          <w:szCs w:val="32"/>
        </w:rPr>
        <w:t>。《动物性食品中兽药最高残留限量》（农业部235公告）规定“家禽（产蛋禁用）”，即禽蛋中不得检出。</w:t>
      </w:r>
    </w:p>
    <w:p w:rsidR="00B22236" w:rsidRDefault="00B11B95">
      <w:pPr>
        <w:pStyle w:val="p0"/>
        <w:widowControl w:val="0"/>
        <w:spacing w:beforeLines="20" w:before="62"/>
        <w:ind w:firstLineChars="196" w:firstLine="62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</w:t>
      </w:r>
      <w:r w:rsidR="00664062">
        <w:rPr>
          <w:rFonts w:ascii="黑体" w:eastAsia="黑体" w:hAnsi="黑体" w:hint="eastAsia"/>
          <w:sz w:val="32"/>
          <w:szCs w:val="32"/>
        </w:rPr>
        <w:t>菌落总数</w:t>
      </w:r>
    </w:p>
    <w:p w:rsidR="00B22236" w:rsidRDefault="00664062">
      <w:pPr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sz w:val="32"/>
          <w:szCs w:val="32"/>
        </w:rPr>
        <w:t>菌落总数是指示性微生物指标，并非致病菌指标。主要用来评价食品清洁度，反映食品在生产过程中是否符合卫生要求。《食品安全国家标准 熟肉制品》（GB 2726-2016）</w:t>
      </w:r>
      <w:r>
        <w:rPr>
          <w:rFonts w:ascii="仿宋_GB2312" w:eastAsia="仿宋_GB2312" w:hint="eastAsia"/>
          <w:bCs/>
          <w:sz w:val="32"/>
          <w:szCs w:val="32"/>
        </w:rPr>
        <w:t>对熟肉制品（发酵肉制品类除外）中的菌落总数规定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同批次5个独立包装产品中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菌落总数检测结果不允许有超过10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5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CFU/g的，且至少3个包装产品检测结果不超过10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  <w:vertAlign w:val="superscript"/>
        </w:rPr>
        <w:t>4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CFU/g。</w:t>
      </w:r>
    </w:p>
    <w:p w:rsidR="00B22236" w:rsidRDefault="00B11B95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五、</w:t>
      </w:r>
      <w:proofErr w:type="gramStart"/>
      <w:r w:rsidR="00664062">
        <w:rPr>
          <w:rFonts w:ascii="黑体" w:eastAsia="黑体" w:hAnsi="黑体" w:cs="黑体" w:hint="eastAsia"/>
          <w:bCs/>
          <w:sz w:val="32"/>
          <w:szCs w:val="32"/>
        </w:rPr>
        <w:t>恩诺沙</w:t>
      </w:r>
      <w:proofErr w:type="gramEnd"/>
      <w:r w:rsidR="00664062">
        <w:rPr>
          <w:rFonts w:ascii="黑体" w:eastAsia="黑体" w:hAnsi="黑体" w:cs="黑体" w:hint="eastAsia"/>
          <w:bCs/>
          <w:sz w:val="32"/>
          <w:szCs w:val="32"/>
        </w:rPr>
        <w:t>星</w:t>
      </w:r>
    </w:p>
    <w:p w:rsidR="00B22236" w:rsidRDefault="00664062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Times New Roman" w:cs="Times New Roman"/>
          <w:bCs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恩诺沙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星，又名恩氟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奎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林羧酸，属于氟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诺酮类药物，是一种化学合成的广谱抑菌剂，主要用于预防和治疗畜禽的细菌性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感染及支原体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病。《动物性食品中兽药最高残留限量》（农业部第235号公告）规定</w:t>
      </w:r>
      <w:r>
        <w:rPr>
          <w:rFonts w:ascii="仿宋_GB2312" w:eastAsia="仿宋_GB2312" w:hint="eastAsia"/>
          <w:sz w:val="32"/>
          <w:szCs w:val="32"/>
        </w:rPr>
        <w:t>所有食品动物的肌肉</w:t>
      </w:r>
      <w:proofErr w:type="gramStart"/>
      <w:r>
        <w:rPr>
          <w:rFonts w:ascii="仿宋_GB2312" w:eastAsia="仿宋_GB2312" w:hint="eastAsia"/>
          <w:sz w:val="32"/>
          <w:szCs w:val="32"/>
        </w:rPr>
        <w:t>中恩诺沙</w:t>
      </w:r>
      <w:proofErr w:type="gramEnd"/>
      <w:r>
        <w:rPr>
          <w:rFonts w:ascii="仿宋_GB2312" w:eastAsia="仿宋_GB2312" w:hint="eastAsia"/>
          <w:sz w:val="32"/>
          <w:szCs w:val="32"/>
        </w:rPr>
        <w:t>星（以</w:t>
      </w:r>
      <w:proofErr w:type="gramStart"/>
      <w:r>
        <w:rPr>
          <w:rFonts w:ascii="仿宋_GB2312" w:eastAsia="仿宋_GB2312" w:hint="eastAsia"/>
          <w:sz w:val="32"/>
          <w:szCs w:val="32"/>
        </w:rPr>
        <w:t>恩诺沙</w:t>
      </w:r>
      <w:proofErr w:type="gramEnd"/>
      <w:r>
        <w:rPr>
          <w:rFonts w:ascii="仿宋_GB2312" w:eastAsia="仿宋_GB2312" w:hint="eastAsia"/>
          <w:sz w:val="32"/>
          <w:szCs w:val="32"/>
        </w:rPr>
        <w:t>星与环丙沙星之和计）的限量值为100 μg/kg。</w:t>
      </w:r>
    </w:p>
    <w:p w:rsidR="00B22236" w:rsidRDefault="00B11B95">
      <w:pPr>
        <w:pStyle w:val="a6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六、</w:t>
      </w:r>
      <w:r w:rsidR="00664062">
        <w:rPr>
          <w:rFonts w:ascii="黑体" w:eastAsia="黑体" w:hAnsi="黑体" w:hint="eastAsia"/>
          <w:color w:val="000000"/>
          <w:sz w:val="32"/>
          <w:szCs w:val="32"/>
        </w:rPr>
        <w:t>多菌灵</w:t>
      </w:r>
    </w:p>
    <w:p w:rsidR="00B22236" w:rsidRDefault="00664062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多菌灵是一种人工合成的苯并咪唑类高效低毒内吸性杀菌剂。主要用于防治麦类赤霉病、瓜果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枯萎病等。</w:t>
      </w:r>
      <w:r>
        <w:rPr>
          <w:rFonts w:ascii="仿宋" w:eastAsia="仿宋" w:hAnsi="仿宋" w:cs="仿宋" w:hint="eastAsia"/>
          <w:bCs/>
          <w:sz w:val="32"/>
          <w:szCs w:val="32"/>
          <w:shd w:val="clear" w:color="auto" w:fill="FFFFFF"/>
        </w:rPr>
        <w:t>《食品安全国家标准 食品中农药最大残留限量》（</w:t>
      </w:r>
      <w:r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  <w:t>GB 2763-2016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）规定韭菜中多菌灵的最大残留限量为2 mg/kg。</w:t>
      </w:r>
    </w:p>
    <w:p w:rsidR="00B22236" w:rsidRDefault="00B11B95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</w:t>
      </w:r>
      <w:r w:rsidR="00664062">
        <w:rPr>
          <w:rFonts w:ascii="黑体" w:eastAsia="黑体" w:hAnsi="黑体" w:cs="黑体" w:hint="eastAsia"/>
          <w:bCs/>
          <w:sz w:val="32"/>
          <w:szCs w:val="32"/>
        </w:rPr>
        <w:t>磺胺类(总量)</w:t>
      </w:r>
    </w:p>
    <w:p w:rsidR="00B22236" w:rsidRDefault="00664062">
      <w:pPr>
        <w:pStyle w:val="a6"/>
        <w:spacing w:line="58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仿宋_GB2312" w:eastAsia="仿宋_GB2312" w:hAnsiTheme="minorHAnsi" w:cstheme="minorBidi" w:hint="eastAsia"/>
          <w:sz w:val="32"/>
          <w:szCs w:val="32"/>
        </w:rPr>
        <w:t>磺胺类药物是合成的抑菌类兽药，除了治疗敏感菌所致</w:t>
      </w:r>
      <w:r>
        <w:rPr>
          <w:rFonts w:ascii="仿宋_GB2312" w:eastAsia="仿宋_GB2312" w:hAnsiTheme="minorHAnsi" w:cstheme="minorBidi" w:hint="eastAsia"/>
          <w:sz w:val="32"/>
          <w:szCs w:val="32"/>
        </w:rPr>
        <w:lastRenderedPageBreak/>
        <w:t>传染病外，通常情况下还用于治疗传染性脑膜炎、痢疾、弓形体病。《动物性食品中兽药最高残留限量》（农业部公告第235号）规定所有食品动物的肌肉中磺胺类（总量）的限量值为100 μg/kg。</w:t>
      </w:r>
    </w:p>
    <w:p w:rsidR="00B22236" w:rsidRDefault="00B11B95">
      <w:pPr>
        <w:pStyle w:val="a6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八、</w:t>
      </w:r>
      <w:r w:rsidR="00664062">
        <w:rPr>
          <w:rFonts w:ascii="黑体" w:eastAsia="黑体" w:hAnsi="黑体" w:cs="黑体" w:hint="eastAsia"/>
          <w:bCs/>
          <w:sz w:val="32"/>
          <w:szCs w:val="32"/>
        </w:rPr>
        <w:t>氟虫</w:t>
      </w:r>
      <w:proofErr w:type="gramStart"/>
      <w:r w:rsidR="00664062">
        <w:rPr>
          <w:rFonts w:ascii="黑体" w:eastAsia="黑体" w:hAnsi="黑体" w:cs="黑体" w:hint="eastAsia"/>
          <w:bCs/>
          <w:sz w:val="32"/>
          <w:szCs w:val="32"/>
        </w:rPr>
        <w:t>腈</w:t>
      </w:r>
      <w:proofErr w:type="gramEnd"/>
    </w:p>
    <w:p w:rsidR="00B22236" w:rsidRDefault="00664062">
      <w:pPr>
        <w:pStyle w:val="a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eastAsia="仿宋_GB2312"/>
          <w:bCs/>
          <w:sz w:val="32"/>
          <w:szCs w:val="32"/>
        </w:rPr>
        <w:t>氟虫</w:t>
      </w:r>
      <w:proofErr w:type="gramStart"/>
      <w:r>
        <w:rPr>
          <w:rFonts w:eastAsia="仿宋_GB2312"/>
          <w:bCs/>
          <w:sz w:val="32"/>
          <w:szCs w:val="32"/>
        </w:rPr>
        <w:t>腈</w:t>
      </w:r>
      <w:proofErr w:type="gramEnd"/>
      <w:r>
        <w:rPr>
          <w:rFonts w:eastAsia="仿宋_GB2312"/>
          <w:bCs/>
          <w:sz w:val="32"/>
          <w:szCs w:val="32"/>
        </w:rPr>
        <w:t>是一种苯基吡唑类杀虫剂。</w:t>
      </w:r>
      <w:r>
        <w:rPr>
          <w:rFonts w:ascii="仿宋" w:eastAsia="仿宋" w:hAnsi="仿宋"/>
          <w:sz w:val="32"/>
          <w:szCs w:val="32"/>
        </w:rPr>
        <w:t>农业部规定，自2009年10月1日起，除卫生用杀虫剂、玉米等部分旱田种子包衣剂外，在我国境内停止销售和使用用于其他方面的含氟虫</w:t>
      </w:r>
      <w:proofErr w:type="gramStart"/>
      <w:r>
        <w:rPr>
          <w:rFonts w:ascii="仿宋" w:eastAsia="仿宋" w:hAnsi="仿宋"/>
          <w:sz w:val="32"/>
          <w:szCs w:val="32"/>
        </w:rPr>
        <w:t>腈</w:t>
      </w:r>
      <w:proofErr w:type="gramEnd"/>
      <w:r>
        <w:rPr>
          <w:rFonts w:ascii="仿宋" w:eastAsia="仿宋" w:hAnsi="仿宋"/>
          <w:sz w:val="32"/>
          <w:szCs w:val="32"/>
        </w:rPr>
        <w:t>成分的农药制剂。《</w:t>
      </w:r>
      <w:r>
        <w:rPr>
          <w:rFonts w:ascii="仿宋" w:eastAsia="仿宋" w:hAnsi="仿宋" w:hint="eastAsia"/>
          <w:sz w:val="32"/>
          <w:szCs w:val="32"/>
        </w:rPr>
        <w:t>食品安全国家标准 食品中农药最大残留限量</w:t>
      </w:r>
      <w:r>
        <w:rPr>
          <w:rFonts w:ascii="仿宋" w:eastAsia="仿宋" w:hAnsi="仿宋"/>
          <w:sz w:val="32"/>
          <w:szCs w:val="32"/>
        </w:rPr>
        <w:t>》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（GB 2763-2016）</w:t>
      </w:r>
      <w:r>
        <w:rPr>
          <w:rFonts w:ascii="仿宋" w:eastAsia="仿宋" w:hAnsi="仿宋"/>
          <w:sz w:val="32"/>
          <w:szCs w:val="32"/>
        </w:rPr>
        <w:t>规定，</w:t>
      </w:r>
      <w:r>
        <w:rPr>
          <w:rFonts w:ascii="仿宋" w:eastAsia="仿宋" w:hAnsi="仿宋" w:hint="eastAsia"/>
          <w:sz w:val="32"/>
          <w:szCs w:val="32"/>
        </w:rPr>
        <w:t>豆类蔬菜</w:t>
      </w:r>
      <w:r>
        <w:rPr>
          <w:rFonts w:ascii="仿宋" w:eastAsia="仿宋" w:hAnsi="仿宋"/>
          <w:sz w:val="32"/>
          <w:szCs w:val="32"/>
        </w:rPr>
        <w:t>中氟虫</w:t>
      </w:r>
      <w:proofErr w:type="gramStart"/>
      <w:r>
        <w:rPr>
          <w:rFonts w:ascii="仿宋" w:eastAsia="仿宋" w:hAnsi="仿宋"/>
          <w:sz w:val="32"/>
          <w:szCs w:val="32"/>
        </w:rPr>
        <w:t>腈</w:t>
      </w:r>
      <w:proofErr w:type="gramEnd"/>
      <w:r>
        <w:rPr>
          <w:rFonts w:ascii="仿宋" w:eastAsia="仿宋" w:hAnsi="仿宋"/>
          <w:sz w:val="32"/>
          <w:szCs w:val="32"/>
        </w:rPr>
        <w:t>的最大残留限量为0.02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mg/kg。</w:t>
      </w:r>
    </w:p>
    <w:p w:rsidR="00B22236" w:rsidRDefault="00B11B95" w:rsidP="00A8442B">
      <w:pPr>
        <w:ind w:firstLineChars="196" w:firstLine="706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九、</w:t>
      </w:r>
      <w:bookmarkStart w:id="0" w:name="_GoBack"/>
      <w:bookmarkEnd w:id="0"/>
      <w:r w:rsidR="00664062">
        <w:rPr>
          <w:rFonts w:ascii="黑体" w:eastAsia="黑体" w:hAnsi="黑体" w:hint="eastAsia"/>
          <w:sz w:val="36"/>
          <w:szCs w:val="36"/>
        </w:rPr>
        <w:t>4-氯苯氧乙酸钠</w:t>
      </w:r>
    </w:p>
    <w:p w:rsidR="00B22236" w:rsidRDefault="00664062">
      <w:pPr>
        <w:pStyle w:val="a6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4-氯苯氧乙酸钠，是一种植物生长调节剂。主要用于防止落花落果、抑制豆类生根，并能调节</w:t>
      </w:r>
      <w:proofErr w:type="gramStart"/>
      <w:r>
        <w:rPr>
          <w:rFonts w:ascii="仿宋_GB2312" w:eastAsia="仿宋_GB2312" w:hint="eastAsia"/>
          <w:bCs/>
          <w:sz w:val="32"/>
          <w:szCs w:val="32"/>
        </w:rPr>
        <w:t>植物株内激素</w:t>
      </w:r>
      <w:proofErr w:type="gramEnd"/>
      <w:r>
        <w:rPr>
          <w:rFonts w:ascii="仿宋_GB2312" w:eastAsia="仿宋_GB2312" w:hint="eastAsia"/>
          <w:bCs/>
          <w:sz w:val="32"/>
          <w:szCs w:val="32"/>
        </w:rPr>
        <w:t>的平衡。但由于其对人体有一定积累毒性，国家食品药品监督管理总局、农业部、国家卫生和计划生育委员会关于豆芽生产过程中禁止使用6-苄基腺嘌呤等物质的公告（2015年第11号）规定豆芽生产经营过程中禁止使用4-氯苯氧乙酸钠。</w:t>
      </w:r>
    </w:p>
    <w:sectPr w:rsidR="00B22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044" w:rsidRDefault="009E3044" w:rsidP="00A8442B">
      <w:r>
        <w:separator/>
      </w:r>
    </w:p>
  </w:endnote>
  <w:endnote w:type="continuationSeparator" w:id="0">
    <w:p w:rsidR="009E3044" w:rsidRDefault="009E3044" w:rsidP="00A84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044" w:rsidRDefault="009E3044" w:rsidP="00A8442B">
      <w:r>
        <w:separator/>
      </w:r>
    </w:p>
  </w:footnote>
  <w:footnote w:type="continuationSeparator" w:id="0">
    <w:p w:rsidR="009E3044" w:rsidRDefault="009E3044" w:rsidP="00A84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45"/>
    <w:rsid w:val="00203CEF"/>
    <w:rsid w:val="00227C98"/>
    <w:rsid w:val="002D4079"/>
    <w:rsid w:val="002F1403"/>
    <w:rsid w:val="00385653"/>
    <w:rsid w:val="004012A2"/>
    <w:rsid w:val="005437A0"/>
    <w:rsid w:val="00660E64"/>
    <w:rsid w:val="00664062"/>
    <w:rsid w:val="0076723A"/>
    <w:rsid w:val="00827383"/>
    <w:rsid w:val="00830ABC"/>
    <w:rsid w:val="008C2B4D"/>
    <w:rsid w:val="00941AB8"/>
    <w:rsid w:val="00984FED"/>
    <w:rsid w:val="009C7045"/>
    <w:rsid w:val="009E3044"/>
    <w:rsid w:val="00A8442B"/>
    <w:rsid w:val="00B11B95"/>
    <w:rsid w:val="00B22236"/>
    <w:rsid w:val="00BA7A5C"/>
    <w:rsid w:val="00D70BCE"/>
    <w:rsid w:val="00DE3228"/>
    <w:rsid w:val="00E224EE"/>
    <w:rsid w:val="00E84511"/>
    <w:rsid w:val="00FA014A"/>
    <w:rsid w:val="1831126E"/>
    <w:rsid w:val="1C2C6E58"/>
    <w:rsid w:val="225C3C81"/>
    <w:rsid w:val="29FC4125"/>
    <w:rsid w:val="39997C19"/>
    <w:rsid w:val="418A341C"/>
    <w:rsid w:val="439A2AC1"/>
    <w:rsid w:val="4D0714C7"/>
    <w:rsid w:val="56D62CEE"/>
    <w:rsid w:val="60C1101C"/>
    <w:rsid w:val="62830167"/>
    <w:rsid w:val="645402A0"/>
    <w:rsid w:val="64B01203"/>
    <w:rsid w:val="74210BA7"/>
    <w:rsid w:val="77504EE4"/>
    <w:rsid w:val="7807013D"/>
    <w:rsid w:val="78997A7C"/>
    <w:rsid w:val="7E82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Pr>
      <w:rFonts w:ascii="Times New Roman" w:eastAsia="宋体" w:hAnsi="Times New Roman" w:cs="Times New Roman"/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213</Words>
  <Characters>1217</Characters>
  <Application>Microsoft Office Word</Application>
  <DocSecurity>0</DocSecurity>
  <Lines>10</Lines>
  <Paragraphs>2</Paragraphs>
  <ScaleCrop>false</ScaleCrop>
  <Company>CFQS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风险监测处</cp:lastModifiedBy>
  <cp:revision>5</cp:revision>
  <dcterms:created xsi:type="dcterms:W3CDTF">2019-10-10T01:51:00Z</dcterms:created>
  <dcterms:modified xsi:type="dcterms:W3CDTF">2019-10-31T03:08:00Z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