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8061B2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8061B2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8061B2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8061B2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8061B2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8061B2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8061B2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C416DC" w:rsidRPr="008061B2" w:rsidRDefault="00FC56DE" w:rsidP="009C1146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（一）</w:t>
      </w:r>
      <w:r w:rsidR="004D1007" w:rsidRPr="008061B2">
        <w:rPr>
          <w:rFonts w:ascii="楷体" w:eastAsia="楷体" w:hAnsi="楷体" w:cs="仿宋_GB2312" w:hint="eastAsia"/>
          <w:b/>
          <w:sz w:val="32"/>
          <w:szCs w:val="32"/>
        </w:rPr>
        <w:t>二氧化硫</w:t>
      </w:r>
      <w:r w:rsidR="009C7C2C" w:rsidRPr="008061B2">
        <w:rPr>
          <w:rFonts w:ascii="楷体" w:eastAsia="楷体" w:hAnsi="楷体" w:cs="仿宋_GB2312" w:hint="eastAsia"/>
          <w:b/>
          <w:sz w:val="32"/>
          <w:szCs w:val="32"/>
        </w:rPr>
        <w:t>残留量</w:t>
      </w:r>
    </w:p>
    <w:p w:rsidR="00C416DC" w:rsidRPr="008061B2" w:rsidRDefault="004D1007" w:rsidP="008E627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食品中的二氧化硫残留通常是指二氧化硫以及焦亚硫酸钠、焦亚硫酸钾、亚硫酸钠</w:t>
      </w:r>
      <w:r w:rsidR="008C13BD" w:rsidRPr="008061B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8061B2">
        <w:rPr>
          <w:rFonts w:ascii="仿宋" w:eastAsia="仿宋" w:hAnsi="仿宋" w:cs="宋体" w:hint="eastAsia"/>
          <w:kern w:val="0"/>
          <w:sz w:val="32"/>
          <w:szCs w:val="32"/>
        </w:rPr>
        <w:t>亚</w:t>
      </w:r>
      <w:r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硫酸氢钠、低亚硫酸钠等无机亚硫酸盐残留的统称。</w:t>
      </w:r>
      <w:r w:rsidRPr="008061B2">
        <w:rPr>
          <w:rFonts w:ascii="仿宋" w:eastAsia="仿宋" w:hAnsi="仿宋"/>
          <w:sz w:val="32"/>
          <w:szCs w:val="32"/>
        </w:rPr>
        <w:t>《食品安全国家标准 食品添加剂使用标准》（GB 2760</w:t>
      </w:r>
      <w:r w:rsidRPr="008061B2">
        <w:rPr>
          <w:rFonts w:ascii="仿宋" w:eastAsia="仿宋" w:hAnsi="仿宋" w:hint="eastAsia"/>
          <w:sz w:val="32"/>
          <w:szCs w:val="32"/>
        </w:rPr>
        <w:t>-</w:t>
      </w:r>
      <w:r w:rsidRPr="008061B2">
        <w:rPr>
          <w:rFonts w:ascii="仿宋" w:eastAsia="仿宋" w:hAnsi="仿宋"/>
          <w:sz w:val="32"/>
          <w:szCs w:val="32"/>
        </w:rPr>
        <w:t>2014）</w:t>
      </w:r>
      <w:r w:rsidRPr="008061B2">
        <w:rPr>
          <w:rFonts w:ascii="仿宋" w:eastAsia="仿宋" w:hAnsi="仿宋" w:hint="eastAsia"/>
          <w:sz w:val="32"/>
          <w:szCs w:val="32"/>
        </w:rPr>
        <w:t>中规定</w:t>
      </w:r>
      <w:r w:rsidRPr="008061B2">
        <w:rPr>
          <w:rFonts w:ascii="仿宋" w:eastAsia="仿宋" w:hAnsi="仿宋"/>
          <w:sz w:val="32"/>
          <w:szCs w:val="32"/>
        </w:rPr>
        <w:t>，</w:t>
      </w:r>
      <w:r w:rsidR="003E7BD4" w:rsidRPr="008061B2">
        <w:rPr>
          <w:rFonts w:ascii="仿宋" w:eastAsia="仿宋" w:hAnsi="仿宋" w:hint="eastAsia"/>
          <w:sz w:val="32"/>
          <w:szCs w:val="32"/>
        </w:rPr>
        <w:t>干制</w:t>
      </w:r>
      <w:r w:rsidRPr="008061B2">
        <w:rPr>
          <w:rFonts w:ascii="仿宋" w:eastAsia="仿宋" w:hAnsi="仿宋"/>
          <w:sz w:val="32"/>
          <w:szCs w:val="32"/>
        </w:rPr>
        <w:t>蔬菜中</w:t>
      </w:r>
      <w:r w:rsidRPr="008061B2">
        <w:rPr>
          <w:rFonts w:ascii="仿宋" w:eastAsia="仿宋" w:hAnsi="仿宋" w:hint="eastAsia"/>
          <w:sz w:val="32"/>
          <w:szCs w:val="32"/>
        </w:rPr>
        <w:t>二氧化硫残留量</w:t>
      </w:r>
      <w:r w:rsidRPr="008061B2">
        <w:rPr>
          <w:rFonts w:ascii="仿宋" w:eastAsia="仿宋" w:hAnsi="仿宋"/>
          <w:sz w:val="32"/>
          <w:szCs w:val="32"/>
        </w:rPr>
        <w:t>应</w:t>
      </w:r>
      <w:r w:rsidRPr="008061B2">
        <w:rPr>
          <w:rFonts w:ascii="仿宋" w:eastAsia="仿宋" w:hAnsi="仿宋" w:hint="eastAsia"/>
          <w:sz w:val="32"/>
          <w:szCs w:val="32"/>
        </w:rPr>
        <w:t>≤</w:t>
      </w:r>
      <w:r w:rsidR="007C05DF" w:rsidRPr="008061B2">
        <w:rPr>
          <w:rFonts w:ascii="仿宋" w:eastAsia="仿宋" w:hAnsi="仿宋" w:hint="eastAsia"/>
          <w:sz w:val="32"/>
          <w:szCs w:val="32"/>
        </w:rPr>
        <w:t>0.</w:t>
      </w:r>
      <w:r w:rsidR="003E7BD4" w:rsidRPr="008061B2">
        <w:rPr>
          <w:rFonts w:ascii="仿宋" w:eastAsia="仿宋" w:hAnsi="仿宋"/>
          <w:sz w:val="32"/>
          <w:szCs w:val="32"/>
        </w:rPr>
        <w:t>2</w:t>
      </w:r>
      <w:r w:rsidRPr="008061B2">
        <w:rPr>
          <w:rFonts w:ascii="仿宋" w:eastAsia="仿宋" w:hAnsi="仿宋" w:hint="eastAsia"/>
          <w:sz w:val="32"/>
          <w:szCs w:val="32"/>
        </w:rPr>
        <w:t xml:space="preserve"> g/kg</w:t>
      </w:r>
      <w:r w:rsidR="003E7BD4" w:rsidRPr="008061B2">
        <w:rPr>
          <w:rFonts w:ascii="仿宋" w:eastAsia="仿宋" w:hAnsi="仿宋" w:hint="eastAsia"/>
          <w:sz w:val="32"/>
          <w:szCs w:val="32"/>
        </w:rPr>
        <w:t>，</w:t>
      </w:r>
      <w:r w:rsidR="009C1146" w:rsidRPr="008061B2">
        <w:rPr>
          <w:rFonts w:ascii="仿宋" w:eastAsia="仿宋" w:hAnsi="仿宋" w:hint="eastAsia"/>
          <w:sz w:val="32"/>
          <w:szCs w:val="32"/>
        </w:rPr>
        <w:t>炒货食品及坚果制品</w:t>
      </w:r>
      <w:r w:rsidR="009C1146" w:rsidRPr="008061B2">
        <w:rPr>
          <w:rFonts w:ascii="仿宋" w:eastAsia="仿宋" w:hAnsi="仿宋"/>
          <w:sz w:val="32"/>
          <w:szCs w:val="32"/>
        </w:rPr>
        <w:t>中不得使用二氧化硫</w:t>
      </w:r>
      <w:r w:rsidR="007C05DF" w:rsidRPr="008061B2">
        <w:rPr>
          <w:rFonts w:ascii="仿宋" w:eastAsia="仿宋" w:hAnsi="仿宋" w:hint="eastAsia"/>
          <w:sz w:val="32"/>
          <w:szCs w:val="32"/>
        </w:rPr>
        <w:t>。</w:t>
      </w:r>
      <w:r w:rsidR="008E6278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人体摄入的少量二氧化硫和亚硫酸盐会迅速以硫酸盐形式排出体外</w:t>
      </w:r>
      <w:r w:rsidR="008E6278" w:rsidRPr="008061B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, </w:t>
      </w:r>
      <w:r w:rsidR="008E6278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因此二氧化硫和亚硫酸盐的系统性毒性低</w:t>
      </w:r>
      <w:r w:rsidR="00664CE9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8E6278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但对二氧化硫有过敏反应的人（如哮喘病患者等），则</w:t>
      </w:r>
      <w:r w:rsidR="00BF75F9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8E6278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出现气喘、头痛或恶心等过敏症状。</w:t>
      </w:r>
      <w:r w:rsidR="00BF75F9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因此过敏体质等人群应</w:t>
      </w:r>
      <w:proofErr w:type="gramStart"/>
      <w:r w:rsidR="00BF75F9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向食物</w:t>
      </w:r>
      <w:proofErr w:type="gramEnd"/>
      <w:r w:rsidR="00BF75F9" w:rsidRPr="00806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供应者清楚说明自己的情况和需要，进食后如感到不适，应立即就医。</w:t>
      </w:r>
    </w:p>
    <w:p w:rsidR="009C1146" w:rsidRPr="00164695" w:rsidRDefault="00FC56DE" w:rsidP="00164695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（二）</w:t>
      </w:r>
      <w:r w:rsidR="009C1146" w:rsidRPr="008061B2">
        <w:rPr>
          <w:rFonts w:ascii="楷体" w:eastAsia="楷体" w:hAnsi="楷体" w:cs="仿宋_GB2312" w:hint="eastAsia"/>
          <w:b/>
          <w:sz w:val="32"/>
          <w:szCs w:val="32"/>
        </w:rPr>
        <w:t>过氧化值</w:t>
      </w:r>
    </w:p>
    <w:p w:rsidR="009C1146" w:rsidRDefault="009C1146" w:rsidP="00575E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1B2">
        <w:rPr>
          <w:rFonts w:ascii="仿宋" w:eastAsia="仿宋" w:hAnsi="仿宋" w:hint="eastAsia"/>
          <w:sz w:val="32"/>
          <w:szCs w:val="32"/>
        </w:rPr>
        <w:t>过氧化值是表示油脂和脂肪酸等被氧化程度的一种指标</w:t>
      </w:r>
      <w:r w:rsidR="00382EB8" w:rsidRPr="008061B2">
        <w:rPr>
          <w:rFonts w:ascii="仿宋" w:eastAsia="仿宋" w:hAnsi="仿宋" w:hint="eastAsia"/>
          <w:sz w:val="32"/>
          <w:szCs w:val="32"/>
        </w:rPr>
        <w:t>，用来说明样品是否因</w:t>
      </w:r>
      <w:r w:rsidRPr="008061B2">
        <w:rPr>
          <w:rFonts w:ascii="仿宋" w:eastAsia="仿宋" w:hAnsi="仿宋" w:hint="eastAsia"/>
          <w:sz w:val="32"/>
          <w:szCs w:val="32"/>
        </w:rPr>
        <w:t>被氧化而变质。《食品安全国家标准 膨化食品》（</w:t>
      </w:r>
      <w:r w:rsidR="00382EB8" w:rsidRPr="008061B2">
        <w:rPr>
          <w:rFonts w:ascii="仿宋" w:eastAsia="仿宋" w:hAnsi="仿宋"/>
          <w:sz w:val="32"/>
          <w:szCs w:val="32"/>
        </w:rPr>
        <w:t>GB 17401-</w:t>
      </w:r>
      <w:r w:rsidRPr="008061B2">
        <w:rPr>
          <w:rFonts w:ascii="仿宋" w:eastAsia="仿宋" w:hAnsi="仿宋"/>
          <w:sz w:val="32"/>
          <w:szCs w:val="32"/>
        </w:rPr>
        <w:t>2014</w:t>
      </w:r>
      <w:r w:rsidRPr="008061B2">
        <w:rPr>
          <w:rFonts w:ascii="仿宋" w:eastAsia="仿宋" w:hAnsi="仿宋" w:hint="eastAsia"/>
          <w:sz w:val="32"/>
          <w:szCs w:val="32"/>
        </w:rPr>
        <w:t>）中规定，膨化食品中的过氧化值（以脂肪计）应不超过</w:t>
      </w:r>
      <w:r w:rsidRPr="008061B2">
        <w:rPr>
          <w:rFonts w:ascii="仿宋" w:eastAsia="仿宋" w:hAnsi="仿宋"/>
          <w:sz w:val="32"/>
          <w:szCs w:val="32"/>
        </w:rPr>
        <w:t>0.25g/100g</w:t>
      </w:r>
      <w:r w:rsidRPr="008061B2">
        <w:rPr>
          <w:rFonts w:ascii="仿宋" w:eastAsia="仿宋" w:hAnsi="仿宋" w:hint="eastAsia"/>
          <w:sz w:val="32"/>
          <w:szCs w:val="32"/>
        </w:rPr>
        <w:t>。过氧化值主要反映油脂是否氧化变质。随着油脂氧化，过氧化值会逐步升高，过高时会导致肠胃不适、腹泻等症状。</w:t>
      </w:r>
    </w:p>
    <w:p w:rsidR="00FC56DE" w:rsidRDefault="00FC56DE" w:rsidP="00FC56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C56DE">
        <w:rPr>
          <w:rFonts w:ascii="楷体" w:eastAsia="楷体" w:hAnsi="楷体" w:cs="仿宋_GB2312" w:hint="eastAsia"/>
          <w:b/>
          <w:sz w:val="32"/>
          <w:szCs w:val="32"/>
        </w:rPr>
        <w:t>（</w:t>
      </w:r>
      <w:r w:rsidR="00164695">
        <w:rPr>
          <w:rFonts w:ascii="楷体" w:eastAsia="楷体" w:hAnsi="楷体" w:cs="仿宋_GB2312" w:hint="eastAsia"/>
          <w:b/>
          <w:sz w:val="32"/>
          <w:szCs w:val="32"/>
        </w:rPr>
        <w:t>三</w:t>
      </w:r>
      <w:r w:rsidRPr="00FC56DE">
        <w:rPr>
          <w:rFonts w:ascii="楷体" w:eastAsia="楷体" w:hAnsi="楷体" w:cs="仿宋_GB2312" w:hint="eastAsia"/>
          <w:b/>
          <w:sz w:val="32"/>
          <w:szCs w:val="32"/>
        </w:rPr>
        <w:t>）脱氢乙酸及其钠盐</w:t>
      </w:r>
    </w:p>
    <w:p w:rsidR="00FC56DE" w:rsidRPr="00FC56DE" w:rsidRDefault="00FC24F6" w:rsidP="00FC24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4F6">
        <w:rPr>
          <w:rFonts w:ascii="仿宋" w:eastAsia="仿宋" w:hAnsi="仿宋" w:hint="eastAsia"/>
          <w:sz w:val="32"/>
          <w:szCs w:val="32"/>
        </w:rPr>
        <w:lastRenderedPageBreak/>
        <w:t>脱氢乙酸及其钠盐作为食品添加剂，广泛用作防腐剂，对霉菌具有较强的抑制作用。《食品安全国家标准</w:t>
      </w:r>
      <w:r w:rsidRPr="00FC24F6">
        <w:rPr>
          <w:rFonts w:ascii="宋体" w:eastAsia="宋体" w:hAnsi="宋体" w:cs="宋体" w:hint="eastAsia"/>
          <w:sz w:val="32"/>
          <w:szCs w:val="32"/>
        </w:rPr>
        <w:t> </w:t>
      </w:r>
      <w:r w:rsidRPr="00FC24F6">
        <w:rPr>
          <w:rFonts w:ascii="仿宋" w:eastAsia="仿宋" w:hAnsi="仿宋" w:hint="eastAsia"/>
          <w:sz w:val="32"/>
          <w:szCs w:val="32"/>
        </w:rPr>
        <w:t>食品添加剂使用标准》（GB</w:t>
      </w:r>
      <w:r w:rsidRPr="00FC24F6">
        <w:rPr>
          <w:rFonts w:ascii="宋体" w:eastAsia="宋体" w:hAnsi="宋体" w:cs="宋体" w:hint="eastAsia"/>
          <w:sz w:val="32"/>
          <w:szCs w:val="32"/>
        </w:rPr>
        <w:t> </w:t>
      </w:r>
      <w:r w:rsidRPr="00FC24F6">
        <w:rPr>
          <w:rFonts w:ascii="仿宋" w:eastAsia="仿宋" w:hAnsi="仿宋" w:cs="仿宋" w:hint="eastAsia"/>
          <w:sz w:val="32"/>
          <w:szCs w:val="32"/>
        </w:rPr>
        <w:t>2760-2014</w:t>
      </w:r>
      <w:r w:rsidRPr="00FC24F6">
        <w:rPr>
          <w:rFonts w:ascii="仿宋" w:eastAsia="仿宋" w:hAnsi="仿宋" w:hint="eastAsia"/>
          <w:sz w:val="32"/>
          <w:szCs w:val="32"/>
        </w:rPr>
        <w:t>）中规定，粮食加工品、果蔬汁饮料中不得使用脱氢乙酸及其钠盐。由于脱氢乙酸可与血浆的白蛋白或组织中蛋白质的胺基结合，经常食用脱氢乙酸含量超标的食品，会对人体肝、肾和中枢神经系统造成伤害，特别是老年人、儿童及低免疫力人群。消费者要树立科学、健康的饮食观，</w:t>
      </w:r>
      <w:r>
        <w:rPr>
          <w:rFonts w:ascii="仿宋" w:eastAsia="仿宋" w:hAnsi="仿宋" w:hint="eastAsia"/>
          <w:sz w:val="32"/>
          <w:szCs w:val="32"/>
        </w:rPr>
        <w:t>在选购食品时切忌盲目追求产品卖相，应注意荤素合理搭配、营养均衡</w:t>
      </w:r>
      <w:r w:rsidR="00FC56DE" w:rsidRPr="00FC56DE">
        <w:rPr>
          <w:rFonts w:ascii="仿宋" w:eastAsia="仿宋" w:hAnsi="仿宋" w:hint="eastAsia"/>
          <w:sz w:val="32"/>
          <w:szCs w:val="32"/>
        </w:rPr>
        <w:t>。</w:t>
      </w:r>
    </w:p>
    <w:p w:rsidR="00117748" w:rsidRPr="008061B2" w:rsidRDefault="00EA019F" w:rsidP="00C6247E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8061B2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D44900" w:rsidRPr="008061B2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8061B2">
        <w:rPr>
          <w:rStyle w:val="a7"/>
          <w:rFonts w:ascii="楷体" w:eastAsia="楷体" w:hAnsi="楷体" w:hint="eastAsia"/>
          <w:color w:val="2B2B2B"/>
          <w:sz w:val="32"/>
          <w:szCs w:val="32"/>
        </w:rPr>
        <w:t>1、严格把关食品质量</w:t>
      </w:r>
    </w:p>
    <w:p w:rsidR="00D44900" w:rsidRPr="008061B2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1B2"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 w:rsidRPr="008061B2"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 w:rsidRPr="008061B2">
        <w:rPr>
          <w:rFonts w:ascii="仿宋" w:eastAsia="仿宋" w:hAnsi="仿宋" w:hint="eastAsia"/>
          <w:sz w:val="32"/>
          <w:szCs w:val="32"/>
        </w:rPr>
        <w:t>。</w:t>
      </w:r>
    </w:p>
    <w:p w:rsidR="00D44900" w:rsidRPr="008061B2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8061B2">
        <w:rPr>
          <w:rStyle w:val="a7"/>
          <w:rFonts w:ascii="楷体" w:eastAsia="楷体" w:hAnsi="楷体" w:hint="eastAsia"/>
          <w:color w:val="2B2B2B"/>
          <w:sz w:val="32"/>
          <w:szCs w:val="32"/>
        </w:rPr>
        <w:t>2、保证食品运输、贮存环境</w:t>
      </w:r>
    </w:p>
    <w:p w:rsidR="00D44900" w:rsidRPr="008061B2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1B2"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D44900" w:rsidRPr="008061B2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8061B2">
        <w:rPr>
          <w:rStyle w:val="a7"/>
          <w:rFonts w:ascii="楷体" w:eastAsia="楷体" w:hAnsi="楷体" w:hint="eastAsia"/>
          <w:color w:val="2B2B2B"/>
          <w:sz w:val="32"/>
          <w:szCs w:val="32"/>
        </w:rPr>
        <w:t>3、加强食品从业人员培训</w:t>
      </w:r>
    </w:p>
    <w:p w:rsidR="00AE189D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1B2">
        <w:rPr>
          <w:rFonts w:ascii="仿宋" w:eastAsia="仿宋" w:hAnsi="仿宋" w:hint="eastAsia"/>
          <w:sz w:val="32"/>
          <w:szCs w:val="32"/>
        </w:rPr>
        <w:lastRenderedPageBreak/>
        <w:t>食品经营者</w:t>
      </w:r>
      <w:r w:rsidRPr="008061B2">
        <w:rPr>
          <w:rFonts w:ascii="仿宋" w:eastAsia="仿宋" w:hAnsi="仿宋"/>
          <w:sz w:val="32"/>
          <w:szCs w:val="32"/>
        </w:rPr>
        <w:t>应建立食品相关岗位的培训制度，</w:t>
      </w:r>
      <w:r w:rsidRPr="008061B2">
        <w:rPr>
          <w:rFonts w:ascii="仿宋" w:eastAsia="仿宋" w:hAnsi="仿宋" w:hint="eastAsia"/>
          <w:sz w:val="32"/>
          <w:szCs w:val="32"/>
        </w:rPr>
        <w:t>加强日常监管及培训，</w:t>
      </w:r>
      <w:r w:rsidRPr="008061B2">
        <w:rPr>
          <w:rFonts w:ascii="仿宋" w:eastAsia="仿宋" w:hAnsi="仿宋"/>
          <w:sz w:val="32"/>
          <w:szCs w:val="32"/>
        </w:rPr>
        <w:t>对食品</w:t>
      </w:r>
      <w:r w:rsidRPr="008061B2">
        <w:rPr>
          <w:rFonts w:ascii="仿宋" w:eastAsia="仿宋" w:hAnsi="仿宋" w:hint="eastAsia"/>
          <w:sz w:val="32"/>
          <w:szCs w:val="32"/>
        </w:rPr>
        <w:t>销售</w:t>
      </w:r>
      <w:r w:rsidRPr="008061B2"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 w:rsidRPr="008061B2">
        <w:rPr>
          <w:rFonts w:ascii="仿宋" w:eastAsia="仿宋" w:hAnsi="仿宋" w:cs="仿宋" w:hint="eastAsia"/>
          <w:sz w:val="32"/>
          <w:szCs w:val="32"/>
        </w:rPr>
        <w:t>，</w:t>
      </w:r>
      <w:r w:rsidRPr="008061B2"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 w:rsidRPr="008061B2">
        <w:rPr>
          <w:rFonts w:ascii="仿宋" w:eastAsia="仿宋" w:hAnsi="仿宋"/>
          <w:sz w:val="32"/>
          <w:szCs w:val="32"/>
        </w:rPr>
        <w:t>。</w:t>
      </w:r>
    </w:p>
    <w:p w:rsidR="00117748" w:rsidRPr="00AE189D" w:rsidRDefault="00117748" w:rsidP="00A44DDA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2B2B2B"/>
          <w:sz w:val="32"/>
          <w:szCs w:val="32"/>
        </w:rPr>
      </w:pPr>
    </w:p>
    <w:sectPr w:rsidR="00117748" w:rsidRPr="00AE189D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16" w:rsidRDefault="00065216" w:rsidP="00AE756C">
      <w:r>
        <w:separator/>
      </w:r>
    </w:p>
  </w:endnote>
  <w:endnote w:type="continuationSeparator" w:id="0">
    <w:p w:rsidR="00065216" w:rsidRDefault="00065216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16" w:rsidRDefault="00065216" w:rsidP="00AE756C">
      <w:r>
        <w:separator/>
      </w:r>
    </w:p>
  </w:footnote>
  <w:footnote w:type="continuationSeparator" w:id="0">
    <w:p w:rsidR="00065216" w:rsidRDefault="00065216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0EAA"/>
    <w:rsid w:val="00023D16"/>
    <w:rsid w:val="00024194"/>
    <w:rsid w:val="000276EE"/>
    <w:rsid w:val="00032538"/>
    <w:rsid w:val="00035BF4"/>
    <w:rsid w:val="00040D71"/>
    <w:rsid w:val="00044B2D"/>
    <w:rsid w:val="0004778C"/>
    <w:rsid w:val="000518A7"/>
    <w:rsid w:val="00065216"/>
    <w:rsid w:val="00071380"/>
    <w:rsid w:val="00073BFA"/>
    <w:rsid w:val="00074F6A"/>
    <w:rsid w:val="000821AB"/>
    <w:rsid w:val="0009715F"/>
    <w:rsid w:val="000A0E02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64695"/>
    <w:rsid w:val="0017157D"/>
    <w:rsid w:val="0019148B"/>
    <w:rsid w:val="001A2AAA"/>
    <w:rsid w:val="001B4BBC"/>
    <w:rsid w:val="001C009C"/>
    <w:rsid w:val="001D639F"/>
    <w:rsid w:val="001F221F"/>
    <w:rsid w:val="001F4A92"/>
    <w:rsid w:val="00213E7B"/>
    <w:rsid w:val="002178AC"/>
    <w:rsid w:val="002200B2"/>
    <w:rsid w:val="00221768"/>
    <w:rsid w:val="00221DA8"/>
    <w:rsid w:val="002349E5"/>
    <w:rsid w:val="00242A69"/>
    <w:rsid w:val="0026230D"/>
    <w:rsid w:val="002671C8"/>
    <w:rsid w:val="00277FEA"/>
    <w:rsid w:val="00287612"/>
    <w:rsid w:val="002940D0"/>
    <w:rsid w:val="0029681F"/>
    <w:rsid w:val="002A5ABF"/>
    <w:rsid w:val="002B5671"/>
    <w:rsid w:val="002D2260"/>
    <w:rsid w:val="002D4DE2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32A02"/>
    <w:rsid w:val="003439FD"/>
    <w:rsid w:val="00344CD6"/>
    <w:rsid w:val="0036094B"/>
    <w:rsid w:val="0036358C"/>
    <w:rsid w:val="00380BB7"/>
    <w:rsid w:val="00382EB8"/>
    <w:rsid w:val="00391F47"/>
    <w:rsid w:val="003A0C3F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73F6"/>
    <w:rsid w:val="00423F19"/>
    <w:rsid w:val="00432153"/>
    <w:rsid w:val="00434055"/>
    <w:rsid w:val="004361DC"/>
    <w:rsid w:val="004432E7"/>
    <w:rsid w:val="00444826"/>
    <w:rsid w:val="00445FF9"/>
    <w:rsid w:val="00465B94"/>
    <w:rsid w:val="00474153"/>
    <w:rsid w:val="00485C2D"/>
    <w:rsid w:val="00487895"/>
    <w:rsid w:val="00495C32"/>
    <w:rsid w:val="004A0708"/>
    <w:rsid w:val="004A41A4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4D36"/>
    <w:rsid w:val="00512C0F"/>
    <w:rsid w:val="00514C4D"/>
    <w:rsid w:val="00521A4C"/>
    <w:rsid w:val="00524190"/>
    <w:rsid w:val="005263C4"/>
    <w:rsid w:val="00527A95"/>
    <w:rsid w:val="00540617"/>
    <w:rsid w:val="00544656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D0DE7"/>
    <w:rsid w:val="005E2AE0"/>
    <w:rsid w:val="005E69BF"/>
    <w:rsid w:val="005F3690"/>
    <w:rsid w:val="00601A31"/>
    <w:rsid w:val="00602933"/>
    <w:rsid w:val="006045FB"/>
    <w:rsid w:val="006122F4"/>
    <w:rsid w:val="00615CA4"/>
    <w:rsid w:val="00653DB5"/>
    <w:rsid w:val="0065490E"/>
    <w:rsid w:val="00664CE9"/>
    <w:rsid w:val="00676A61"/>
    <w:rsid w:val="006843EF"/>
    <w:rsid w:val="0068726E"/>
    <w:rsid w:val="00694B5D"/>
    <w:rsid w:val="006C1B4E"/>
    <w:rsid w:val="006C33F5"/>
    <w:rsid w:val="006E4A25"/>
    <w:rsid w:val="006E5453"/>
    <w:rsid w:val="006E59B0"/>
    <w:rsid w:val="006E7453"/>
    <w:rsid w:val="006E7CB8"/>
    <w:rsid w:val="00700D7B"/>
    <w:rsid w:val="00704ED0"/>
    <w:rsid w:val="0071410F"/>
    <w:rsid w:val="00726271"/>
    <w:rsid w:val="0073084E"/>
    <w:rsid w:val="007334B5"/>
    <w:rsid w:val="007349DB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75B81"/>
    <w:rsid w:val="00782644"/>
    <w:rsid w:val="00790B1D"/>
    <w:rsid w:val="00793F65"/>
    <w:rsid w:val="007A4823"/>
    <w:rsid w:val="007A4B38"/>
    <w:rsid w:val="007A4C53"/>
    <w:rsid w:val="007A4D9D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800166"/>
    <w:rsid w:val="00803608"/>
    <w:rsid w:val="008061B2"/>
    <w:rsid w:val="00810A1F"/>
    <w:rsid w:val="008156E7"/>
    <w:rsid w:val="008179CB"/>
    <w:rsid w:val="00821662"/>
    <w:rsid w:val="0083040C"/>
    <w:rsid w:val="008319CA"/>
    <w:rsid w:val="00853A07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61FB"/>
    <w:rsid w:val="0089786F"/>
    <w:rsid w:val="008B017B"/>
    <w:rsid w:val="008B0EE9"/>
    <w:rsid w:val="008B13F5"/>
    <w:rsid w:val="008B162B"/>
    <w:rsid w:val="008B62F3"/>
    <w:rsid w:val="008C13BD"/>
    <w:rsid w:val="008D07CB"/>
    <w:rsid w:val="008D4BC1"/>
    <w:rsid w:val="008D5C01"/>
    <w:rsid w:val="008D7BE7"/>
    <w:rsid w:val="008E6278"/>
    <w:rsid w:val="00901BA9"/>
    <w:rsid w:val="00905A3D"/>
    <w:rsid w:val="00970598"/>
    <w:rsid w:val="00973735"/>
    <w:rsid w:val="00976894"/>
    <w:rsid w:val="00980983"/>
    <w:rsid w:val="00984B96"/>
    <w:rsid w:val="009A140A"/>
    <w:rsid w:val="009A1DED"/>
    <w:rsid w:val="009B289D"/>
    <w:rsid w:val="009C1146"/>
    <w:rsid w:val="009C1EF6"/>
    <w:rsid w:val="009C47C2"/>
    <w:rsid w:val="009C7C2C"/>
    <w:rsid w:val="009D2910"/>
    <w:rsid w:val="009E04DF"/>
    <w:rsid w:val="009E360E"/>
    <w:rsid w:val="009E5EE3"/>
    <w:rsid w:val="009F042A"/>
    <w:rsid w:val="00A124C8"/>
    <w:rsid w:val="00A12E98"/>
    <w:rsid w:val="00A1648C"/>
    <w:rsid w:val="00A21057"/>
    <w:rsid w:val="00A27910"/>
    <w:rsid w:val="00A41F8E"/>
    <w:rsid w:val="00A44DDA"/>
    <w:rsid w:val="00A45171"/>
    <w:rsid w:val="00A46DA1"/>
    <w:rsid w:val="00A64362"/>
    <w:rsid w:val="00A66D3F"/>
    <w:rsid w:val="00A671ED"/>
    <w:rsid w:val="00A83EDB"/>
    <w:rsid w:val="00A85E52"/>
    <w:rsid w:val="00A97410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3AE6"/>
    <w:rsid w:val="00B3617A"/>
    <w:rsid w:val="00B450DB"/>
    <w:rsid w:val="00B638E5"/>
    <w:rsid w:val="00B64ACD"/>
    <w:rsid w:val="00B657C9"/>
    <w:rsid w:val="00B74E1F"/>
    <w:rsid w:val="00B75344"/>
    <w:rsid w:val="00B85427"/>
    <w:rsid w:val="00B979A2"/>
    <w:rsid w:val="00BA0D10"/>
    <w:rsid w:val="00BA32AF"/>
    <w:rsid w:val="00BB7E7B"/>
    <w:rsid w:val="00BC13BC"/>
    <w:rsid w:val="00BC393B"/>
    <w:rsid w:val="00BC4F96"/>
    <w:rsid w:val="00BC662E"/>
    <w:rsid w:val="00BE3E6E"/>
    <w:rsid w:val="00BE6494"/>
    <w:rsid w:val="00BF75F9"/>
    <w:rsid w:val="00C02926"/>
    <w:rsid w:val="00C20926"/>
    <w:rsid w:val="00C416DC"/>
    <w:rsid w:val="00C532DF"/>
    <w:rsid w:val="00C56590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753F0"/>
    <w:rsid w:val="00D815CA"/>
    <w:rsid w:val="00D8340D"/>
    <w:rsid w:val="00D85541"/>
    <w:rsid w:val="00D86350"/>
    <w:rsid w:val="00D960D9"/>
    <w:rsid w:val="00DB30D3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C80"/>
    <w:rsid w:val="00E20FBC"/>
    <w:rsid w:val="00E305C3"/>
    <w:rsid w:val="00E44B2E"/>
    <w:rsid w:val="00E66FE2"/>
    <w:rsid w:val="00E71733"/>
    <w:rsid w:val="00E909C2"/>
    <w:rsid w:val="00E95597"/>
    <w:rsid w:val="00EA019F"/>
    <w:rsid w:val="00EA34CB"/>
    <w:rsid w:val="00EB4E58"/>
    <w:rsid w:val="00EB79C5"/>
    <w:rsid w:val="00EC0ECC"/>
    <w:rsid w:val="00EC277A"/>
    <w:rsid w:val="00EC5DD3"/>
    <w:rsid w:val="00ED1A68"/>
    <w:rsid w:val="00ED468F"/>
    <w:rsid w:val="00ED4941"/>
    <w:rsid w:val="00ED515D"/>
    <w:rsid w:val="00EF4553"/>
    <w:rsid w:val="00EF5E8B"/>
    <w:rsid w:val="00F022B5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24F6"/>
    <w:rsid w:val="00FC56DE"/>
    <w:rsid w:val="00FC61C6"/>
    <w:rsid w:val="00FD381D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46F03-DF2B-4174-84E0-BD15B30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李俊妮</cp:lastModifiedBy>
  <cp:revision>192</cp:revision>
  <dcterms:created xsi:type="dcterms:W3CDTF">2018-04-04T05:56:00Z</dcterms:created>
  <dcterms:modified xsi:type="dcterms:W3CDTF">2019-08-22T01:20:00Z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