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黑体" w:hAnsi="黑体" w:eastAsia="黑体"/>
          <w:sz w:val="44"/>
          <w:szCs w:val="44"/>
        </w:rPr>
      </w:pPr>
      <w:r>
        <w:rPr>
          <w:rFonts w:hint="eastAsia" w:ascii="黑体" w:hAnsi="黑体" w:eastAsia="黑体"/>
          <w:sz w:val="44"/>
          <w:szCs w:val="44"/>
        </w:rPr>
        <w:t>关于《非公路标志设置规范》的修订说明</w:t>
      </w:r>
    </w:p>
    <w:p>
      <w:pPr>
        <w:spacing w:line="600" w:lineRule="exact"/>
        <w:jc w:val="left"/>
        <w:rPr>
          <w:rFonts w:ascii="黑体" w:hAnsi="宋体" w:eastAsia="黑体"/>
          <w:sz w:val="32"/>
          <w:szCs w:val="32"/>
        </w:rPr>
      </w:pPr>
    </w:p>
    <w:p>
      <w:pPr>
        <w:spacing w:line="600" w:lineRule="exact"/>
        <w:ind w:firstLine="645"/>
        <w:jc w:val="left"/>
        <w:rPr>
          <w:rFonts w:ascii="黑体" w:hAnsi="宋体" w:eastAsia="黑体"/>
          <w:sz w:val="32"/>
          <w:szCs w:val="32"/>
        </w:rPr>
      </w:pPr>
      <w:r>
        <w:rPr>
          <w:rFonts w:hint="eastAsia" w:ascii="黑体" w:hAnsi="宋体" w:eastAsia="黑体"/>
          <w:sz w:val="32"/>
          <w:szCs w:val="32"/>
        </w:rPr>
        <w:t>一、修订背景及意义</w:t>
      </w:r>
    </w:p>
    <w:p>
      <w:pPr>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2017年4月20日，内蒙古自治区地方标准（DB 15/T 114—2017）《非公路标志设置规范》（以下简称《规范》）发布实施。该《规范》的部分条款与现行《中华人民共和国公路法》《中华人民共和国收费公路管理条例》《中华人民共和国路政管理规定》《内蒙古自治区公路条例》和《内蒙古自治区高速公路条例》等法律法规和部门规章的相关规定冲突，对本应经许可的事项不能被许可，为使许可更科学、更规范，为此启动修订程序。</w:t>
      </w:r>
    </w:p>
    <w:p>
      <w:pPr>
        <w:spacing w:line="600" w:lineRule="exact"/>
        <w:ind w:firstLine="645"/>
        <w:jc w:val="left"/>
        <w:rPr>
          <w:rFonts w:ascii="黑体" w:eastAsia="黑体"/>
          <w:sz w:val="32"/>
          <w:szCs w:val="32"/>
        </w:rPr>
      </w:pPr>
      <w:r>
        <w:rPr>
          <w:rFonts w:hint="eastAsia" w:ascii="黑体" w:hAnsi="宋体" w:eastAsia="黑体"/>
          <w:sz w:val="32"/>
          <w:szCs w:val="32"/>
        </w:rPr>
        <w:t>二、</w:t>
      </w:r>
      <w:r>
        <w:rPr>
          <w:rFonts w:hint="eastAsia" w:ascii="黑体" w:eastAsia="黑体"/>
          <w:sz w:val="32"/>
          <w:szCs w:val="32"/>
        </w:rPr>
        <w:t>修订依据</w:t>
      </w:r>
    </w:p>
    <w:p>
      <w:pPr>
        <w:spacing w:line="578" w:lineRule="exact"/>
        <w:ind w:firstLine="640" w:firstLineChars="200"/>
        <w:rPr>
          <w:rFonts w:ascii="仿宋" w:hAnsi="仿宋" w:eastAsia="仿宋"/>
          <w:kern w:val="0"/>
        </w:rPr>
      </w:pPr>
      <w:r>
        <w:rPr>
          <w:rFonts w:hint="eastAsia" w:ascii="仿宋" w:hAnsi="仿宋" w:eastAsia="仿宋"/>
          <w:kern w:val="0"/>
          <w:sz w:val="32"/>
          <w:szCs w:val="32"/>
        </w:rPr>
        <w:t>该《规范》修订的依据是《中华人民共和国公路法》《中华人民共和国收费公路管理条例》《中华人民共和国路政管理规定》《内蒙古自治区公路条例》《内蒙古自治区高速公路条例》等法律法规和部门规章。</w:t>
      </w:r>
    </w:p>
    <w:p>
      <w:pPr>
        <w:spacing w:line="600" w:lineRule="exact"/>
        <w:ind w:firstLine="645"/>
        <w:jc w:val="left"/>
        <w:rPr>
          <w:rFonts w:hint="eastAsia" w:ascii="黑体" w:hAnsi="宋体" w:eastAsia="黑体"/>
          <w:sz w:val="32"/>
          <w:szCs w:val="32"/>
        </w:rPr>
      </w:pPr>
      <w:r>
        <w:rPr>
          <w:rFonts w:hint="eastAsia" w:ascii="黑体" w:hAnsi="宋体" w:eastAsia="黑体"/>
          <w:sz w:val="32"/>
          <w:szCs w:val="32"/>
        </w:rPr>
        <w:t>三、修订内容</w:t>
      </w:r>
    </w:p>
    <w:p>
      <w:pPr>
        <w:spacing w:line="600" w:lineRule="exact"/>
        <w:ind w:firstLine="645"/>
        <w:jc w:val="left"/>
        <w:rPr>
          <w:rFonts w:ascii="黑体" w:hAnsi="宋体" w:eastAsia="黑体"/>
          <w:sz w:val="32"/>
          <w:szCs w:val="32"/>
        </w:rPr>
      </w:pPr>
      <w:r>
        <w:rPr>
          <w:rFonts w:hint="eastAsia" w:ascii="华文仿宋" w:hAnsi="华文仿宋" w:eastAsia="华文仿宋" w:cs="华文仿宋"/>
          <w:bCs/>
          <w:sz w:val="32"/>
          <w:szCs w:val="32"/>
        </w:rPr>
        <w:t>经编写单位对本《规范》进行修订，并经交通运输厅组织专家对修订条文进行审查，具体修订内容条款如下：</w:t>
      </w:r>
    </w:p>
    <w:p>
      <w:pPr>
        <w:ind w:firstLine="640" w:firstLineChars="200"/>
        <w:rPr>
          <w:rFonts w:ascii="华文仿宋" w:hAnsi="华文仿宋" w:eastAsia="华文仿宋" w:cs="华文仿宋"/>
          <w:b/>
          <w:bCs/>
          <w:sz w:val="32"/>
          <w:szCs w:val="32"/>
        </w:rPr>
      </w:pPr>
      <w:r>
        <w:rPr>
          <w:rFonts w:hint="eastAsia" w:ascii="华文仿宋" w:hAnsi="华文仿宋" w:eastAsia="华文仿宋" w:cs="华文仿宋"/>
          <w:sz w:val="32"/>
          <w:szCs w:val="32"/>
        </w:rPr>
        <w:t>将原《规范》4.3.1“公路用地范围内不应设置电子显示屏或灯箱式广告牌。”修改为:“</w:t>
      </w:r>
      <w:r>
        <w:rPr>
          <w:rFonts w:hint="eastAsia" w:ascii="华文仿宋" w:hAnsi="华文仿宋" w:eastAsia="华文仿宋" w:cs="华文仿宋"/>
          <w:b/>
          <w:sz w:val="32"/>
          <w:szCs w:val="32"/>
        </w:rPr>
        <w:t>公路用地范围内，设置电子显示屏和灯箱式广告牌应符合CJJ 149的相关要求。</w:t>
      </w:r>
      <w:r>
        <w:rPr>
          <w:rFonts w:hint="eastAsia" w:ascii="华文仿宋" w:hAnsi="华文仿宋" w:eastAsia="华文仿宋" w:cs="华文仿宋"/>
          <w:sz w:val="32"/>
          <w:szCs w:val="32"/>
        </w:rPr>
        <w:t>”</w:t>
      </w:r>
      <w:r>
        <w:rPr>
          <w:rFonts w:ascii="华文仿宋" w:hAnsi="华文仿宋" w:eastAsia="华文仿宋" w:cs="华文仿宋"/>
          <w:b/>
          <w:bCs/>
          <w:sz w:val="32"/>
          <w:szCs w:val="32"/>
        </w:rPr>
        <w:t xml:space="preserve"> </w:t>
      </w:r>
    </w:p>
    <w:p>
      <w:pPr>
        <w:ind w:firstLine="640" w:firstLineChars="200"/>
        <w:rPr>
          <w:rFonts w:ascii="华文仿宋" w:hAnsi="华文仿宋" w:eastAsia="华文仿宋" w:cs="华文仿宋"/>
          <w:sz w:val="32"/>
          <w:szCs w:val="32"/>
        </w:rPr>
      </w:pPr>
    </w:p>
    <w:p>
      <w:pPr>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将原《规范》5.1.2“平行于道路走向和高耸式非公路标志，其标志板距路肩外边缘的水平距离不应小于该标志地面上结构总高度，见图2(c)所示。”修改为：“</w:t>
      </w:r>
      <w:r>
        <w:rPr>
          <w:rFonts w:hint="eastAsia" w:ascii="华文仿宋" w:hAnsi="华文仿宋" w:eastAsia="华文仿宋" w:cs="华文仿宋"/>
          <w:b/>
          <w:sz w:val="32"/>
          <w:szCs w:val="32"/>
        </w:rPr>
        <w:t>平行于道路走向和高耸式非公路标志的设计、制作、安装和施工应当符合GB/T 18226、GB 50007、GB 50017、GB 50135、GB 50009、GB 50010、 GB 50011、CECS 148、CJJ 149的相关要求 ，按照相关规定进行安全和技术评价，并按照设计文件定期开展安全检测。</w:t>
      </w:r>
      <w:r>
        <w:rPr>
          <w:rFonts w:hint="eastAsia" w:ascii="华文仿宋" w:hAnsi="华文仿宋" w:eastAsia="华文仿宋" w:cs="华文仿宋"/>
          <w:sz w:val="32"/>
          <w:szCs w:val="32"/>
        </w:rPr>
        <w:t>”并修改图2（c）。同时增加：“</w:t>
      </w:r>
      <w:r>
        <w:rPr>
          <w:rFonts w:hint="eastAsia" w:ascii="华文仿宋" w:hAnsi="华文仿宋" w:eastAsia="华文仿宋" w:cs="华文仿宋"/>
          <w:b/>
          <w:sz w:val="32"/>
          <w:szCs w:val="32"/>
        </w:rPr>
        <w:t>5.1.3 平行于道路走向和高耸式非公路标志，其标志板内侧边缘距路肩外边缘的水平距离应不小于0.5m。</w:t>
      </w:r>
      <w:r>
        <w:rPr>
          <w:rFonts w:hint="eastAsia" w:ascii="华文仿宋" w:hAnsi="华文仿宋" w:eastAsia="华文仿宋" w:cs="华文仿宋"/>
          <w:sz w:val="32"/>
          <w:szCs w:val="32"/>
        </w:rPr>
        <w:t xml:space="preserve">” </w:t>
      </w:r>
    </w:p>
    <w:p>
      <w:pPr>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将原《规范》5.2.2“高耸式广告牌的设置间距不宜小于500m，其中道路单侧设置间距不宜小于1000m。”修改为:“</w:t>
      </w:r>
      <w:r>
        <w:rPr>
          <w:rFonts w:hint="eastAsia" w:ascii="华文仿宋" w:hAnsi="华文仿宋" w:eastAsia="华文仿宋" w:cs="华文仿宋"/>
          <w:b/>
          <w:sz w:val="32"/>
          <w:szCs w:val="32"/>
        </w:rPr>
        <w:t>高耸式广告牌的设置间距不宜小于500m，其中道路单侧设置间距不宜小于1000m ,服务区和立交区除外。</w:t>
      </w:r>
      <w:r>
        <w:rPr>
          <w:rFonts w:hint="eastAsia" w:ascii="华文仿宋" w:hAnsi="华文仿宋" w:eastAsia="华文仿宋" w:cs="华文仿宋"/>
          <w:sz w:val="32"/>
          <w:szCs w:val="32"/>
        </w:rPr>
        <w:t>”</w:t>
      </w:r>
    </w:p>
    <w:p>
      <w:pPr>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删除原《规范》第5.3条“</w:t>
      </w:r>
      <w:r>
        <w:rPr>
          <w:rFonts w:hint="eastAsia" w:ascii="华文仿宋" w:hAnsi="华文仿宋" w:eastAsia="华文仿宋" w:cs="华文仿宋"/>
          <w:b/>
          <w:sz w:val="32"/>
          <w:szCs w:val="32"/>
        </w:rPr>
        <w:t>和匝道出、入口等识别视距范围内”字样和“公路用地范围内禁止设置高耸式广告牌；</w:t>
      </w:r>
      <w:r>
        <w:rPr>
          <w:rFonts w:hint="eastAsia" w:ascii="华文仿宋" w:hAnsi="华文仿宋" w:eastAsia="华文仿宋" w:cs="华文仿宋"/>
          <w:sz w:val="32"/>
          <w:szCs w:val="32"/>
        </w:rPr>
        <w:t>” 同时，将本条中“行车道两侧公路附属设施上；” 修改为：“</w:t>
      </w:r>
      <w:r>
        <w:rPr>
          <w:rFonts w:hint="eastAsia" w:ascii="华文仿宋" w:hAnsi="华文仿宋" w:eastAsia="华文仿宋" w:cs="华文仿宋"/>
          <w:b/>
          <w:sz w:val="32"/>
          <w:szCs w:val="32"/>
        </w:rPr>
        <w:t>行车道两侧公路附属设施上，服务区、收费广场除外</w:t>
      </w:r>
      <w:r>
        <w:rPr>
          <w:rFonts w:hint="eastAsia" w:ascii="华文仿宋" w:hAnsi="华文仿宋" w:eastAsia="华文仿宋" w:cs="华文仿宋"/>
          <w:sz w:val="32"/>
          <w:szCs w:val="32"/>
        </w:rPr>
        <w:t>；”</w:t>
      </w:r>
    </w:p>
    <w:p>
      <w:pPr>
        <w:ind w:firstLine="640" w:firstLineChars="200"/>
        <w:rPr>
          <w:rFonts w:ascii="华文仿宋" w:hAnsi="华文仿宋" w:eastAsia="华文仿宋" w:cs="华文仿宋"/>
          <w:sz w:val="32"/>
          <w:szCs w:val="32"/>
        </w:rPr>
      </w:pPr>
    </w:p>
    <w:p>
      <w:pPr>
        <w:ind w:firstLine="560" w:firstLineChars="200"/>
        <w:jc w:val="left"/>
        <w:rPr>
          <w:sz w:val="28"/>
          <w:szCs w:val="28"/>
        </w:rPr>
      </w:pPr>
      <w:r>
        <w:rPr>
          <w:rFonts w:hint="eastAsia"/>
          <w:sz w:val="28"/>
          <w:szCs w:val="28"/>
        </w:rPr>
        <w:t>附件：1.《非公路标志设置规范》专家审查意见</w:t>
      </w:r>
    </w:p>
    <w:p>
      <w:pPr>
        <w:ind w:firstLine="1400" w:firstLineChars="500"/>
        <w:jc w:val="left"/>
        <w:rPr>
          <w:sz w:val="28"/>
          <w:szCs w:val="28"/>
        </w:rPr>
      </w:pPr>
      <w:r>
        <w:rPr>
          <w:rFonts w:hint="eastAsia"/>
          <w:sz w:val="28"/>
          <w:szCs w:val="28"/>
        </w:rPr>
        <w:t>2.《非公路标志设置规范》审查专家委员会名单</w:t>
      </w:r>
    </w:p>
    <w:p>
      <w:pPr>
        <w:ind w:firstLine="640" w:firstLineChars="200"/>
        <w:rPr>
          <w:rFonts w:ascii="华文仿宋" w:hAnsi="华文仿宋" w:eastAsia="华文仿宋" w:cs="华文仿宋"/>
          <w:sz w:val="32"/>
          <w:szCs w:val="32"/>
        </w:rPr>
      </w:pPr>
    </w:p>
    <w:p>
      <w:pPr>
        <w:ind w:firstLine="640" w:firstLineChars="200"/>
        <w:rPr>
          <w:rFonts w:ascii="华文仿宋" w:hAnsi="华文仿宋" w:eastAsia="华文仿宋" w:cs="华文仿宋"/>
          <w:sz w:val="32"/>
          <w:szCs w:val="32"/>
        </w:rPr>
      </w:pPr>
    </w:p>
    <w:p>
      <w:pPr>
        <w:jc w:val="left"/>
        <w:rPr>
          <w:sz w:val="28"/>
          <w:szCs w:val="28"/>
        </w:rPr>
      </w:pPr>
      <w:r>
        <w:rPr>
          <w:rFonts w:hint="eastAsia"/>
          <w:sz w:val="28"/>
          <w:szCs w:val="28"/>
        </w:rPr>
        <w:t>附件1：</w:t>
      </w:r>
    </w:p>
    <w:p>
      <w:pPr>
        <w:ind w:firstLine="420" w:firstLineChars="200"/>
        <w:rPr>
          <w:rFonts w:ascii="华文仿宋" w:hAnsi="华文仿宋" w:eastAsia="华文仿宋" w:cs="华文仿宋"/>
          <w:sz w:val="32"/>
          <w:szCs w:val="32"/>
        </w:rPr>
      </w:pPr>
      <w:r>
        <w:drawing>
          <wp:anchor distT="0" distB="0" distL="114300" distR="114300" simplePos="0" relativeHeight="251670528" behindDoc="0" locked="0" layoutInCell="1" allowOverlap="1">
            <wp:simplePos x="0" y="0"/>
            <wp:positionH relativeFrom="column">
              <wp:posOffset>-312420</wp:posOffset>
            </wp:positionH>
            <wp:positionV relativeFrom="paragraph">
              <wp:posOffset>31750</wp:posOffset>
            </wp:positionV>
            <wp:extent cx="5842635" cy="7490460"/>
            <wp:effectExtent l="0" t="0" r="5715" b="15240"/>
            <wp:wrapSquare wrapText="bothSides"/>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4"/>
                    <a:stretch>
                      <a:fillRect/>
                    </a:stretch>
                  </pic:blipFill>
                  <pic:spPr>
                    <a:xfrm>
                      <a:off x="0" y="0"/>
                      <a:ext cx="5842635" cy="7490460"/>
                    </a:xfrm>
                    <a:prstGeom prst="rect">
                      <a:avLst/>
                    </a:prstGeom>
                    <a:noFill/>
                    <a:ln>
                      <a:noFill/>
                    </a:ln>
                  </pic:spPr>
                </pic:pic>
              </a:graphicData>
            </a:graphic>
          </wp:anchor>
        </w:drawing>
      </w:r>
    </w:p>
    <w:p>
      <w:pPr>
        <w:jc w:val="left"/>
        <w:rPr>
          <w:sz w:val="28"/>
          <w:szCs w:val="28"/>
        </w:rPr>
      </w:pPr>
      <w:r>
        <w:rPr>
          <w:rFonts w:hint="eastAsia"/>
          <w:sz w:val="28"/>
          <w:szCs w:val="28"/>
        </w:rPr>
        <w:t>附件2：</w:t>
      </w:r>
      <w:bookmarkStart w:id="0" w:name="_GoBack"/>
      <w:bookmarkEnd w:id="0"/>
    </w:p>
    <w:p>
      <w:pPr>
        <w:ind w:firstLine="420" w:firstLineChars="200"/>
        <w:rPr>
          <w:rFonts w:ascii="华文仿宋" w:hAnsi="华文仿宋" w:eastAsia="华文仿宋" w:cs="华文仿宋"/>
          <w:sz w:val="32"/>
          <w:szCs w:val="32"/>
        </w:rPr>
      </w:pPr>
      <w:r>
        <w:drawing>
          <wp:anchor distT="0" distB="0" distL="114300" distR="114300" simplePos="0" relativeHeight="251671552" behindDoc="0" locked="0" layoutInCell="1" allowOverlap="1">
            <wp:simplePos x="0" y="0"/>
            <wp:positionH relativeFrom="column">
              <wp:posOffset>-38100</wp:posOffset>
            </wp:positionH>
            <wp:positionV relativeFrom="paragraph">
              <wp:posOffset>274320</wp:posOffset>
            </wp:positionV>
            <wp:extent cx="5271135" cy="7410450"/>
            <wp:effectExtent l="0" t="0" r="5715" b="0"/>
            <wp:wrapSquare wrapText="bothSides"/>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pic:cNvPicPr>
                      <a:picLocks noChangeAspect="1"/>
                    </pic:cNvPicPr>
                  </pic:nvPicPr>
                  <pic:blipFill>
                    <a:blip r:embed="rId5"/>
                    <a:stretch>
                      <a:fillRect/>
                    </a:stretch>
                  </pic:blipFill>
                  <pic:spPr>
                    <a:xfrm>
                      <a:off x="0" y="0"/>
                      <a:ext cx="5271135" cy="7410450"/>
                    </a:xfrm>
                    <a:prstGeom prst="rect">
                      <a:avLst/>
                    </a:prstGeom>
                    <a:noFill/>
                    <a:ln>
                      <a:noFill/>
                    </a:ln>
                  </pic:spPr>
                </pic:pic>
              </a:graphicData>
            </a:graphic>
          </wp:anchor>
        </w:drawing>
      </w:r>
    </w:p>
    <w:p>
      <w:pPr>
        <w:rPr>
          <w:rFonts w:ascii="华文仿宋" w:hAnsi="华文仿宋" w:eastAsia="华文仿宋" w:cs="华文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0"/>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42ED"/>
    <w:rsid w:val="000D5D41"/>
    <w:rsid w:val="00215C8A"/>
    <w:rsid w:val="0021797A"/>
    <w:rsid w:val="00245805"/>
    <w:rsid w:val="0043482D"/>
    <w:rsid w:val="00470CB5"/>
    <w:rsid w:val="00521B24"/>
    <w:rsid w:val="00545358"/>
    <w:rsid w:val="005867A8"/>
    <w:rsid w:val="005B42DC"/>
    <w:rsid w:val="00600C33"/>
    <w:rsid w:val="00627D46"/>
    <w:rsid w:val="00645113"/>
    <w:rsid w:val="00706838"/>
    <w:rsid w:val="0078400B"/>
    <w:rsid w:val="00785AE4"/>
    <w:rsid w:val="007B617E"/>
    <w:rsid w:val="007D630D"/>
    <w:rsid w:val="008A42ED"/>
    <w:rsid w:val="00906337"/>
    <w:rsid w:val="0092579C"/>
    <w:rsid w:val="00A83CB1"/>
    <w:rsid w:val="00AA4CE3"/>
    <w:rsid w:val="00AB0F6F"/>
    <w:rsid w:val="00BC1FCE"/>
    <w:rsid w:val="00C07DFD"/>
    <w:rsid w:val="00C2313F"/>
    <w:rsid w:val="00C43318"/>
    <w:rsid w:val="00C846A1"/>
    <w:rsid w:val="00CA17D4"/>
    <w:rsid w:val="00CB5A0B"/>
    <w:rsid w:val="00CE7636"/>
    <w:rsid w:val="00CF06A8"/>
    <w:rsid w:val="00D87550"/>
    <w:rsid w:val="00DC7660"/>
    <w:rsid w:val="00E32870"/>
    <w:rsid w:val="00E47B55"/>
    <w:rsid w:val="00E63226"/>
    <w:rsid w:val="00E8660F"/>
    <w:rsid w:val="00EC0074"/>
    <w:rsid w:val="00EC6838"/>
    <w:rsid w:val="00F03885"/>
    <w:rsid w:val="00F4330C"/>
    <w:rsid w:val="00F66AC3"/>
    <w:rsid w:val="00FB7444"/>
    <w:rsid w:val="0F2D3DD9"/>
    <w:rsid w:val="13745A7E"/>
    <w:rsid w:val="14B42E4C"/>
    <w:rsid w:val="1DC77B48"/>
    <w:rsid w:val="1FDD43EF"/>
    <w:rsid w:val="20055888"/>
    <w:rsid w:val="2EBA6948"/>
    <w:rsid w:val="2F560A5C"/>
    <w:rsid w:val="300C6D7A"/>
    <w:rsid w:val="3047177A"/>
    <w:rsid w:val="30FF4F7F"/>
    <w:rsid w:val="3140650C"/>
    <w:rsid w:val="31EB4D1E"/>
    <w:rsid w:val="34681EFD"/>
    <w:rsid w:val="373F355C"/>
    <w:rsid w:val="3DAD2DE3"/>
    <w:rsid w:val="4174055B"/>
    <w:rsid w:val="42FB7C30"/>
    <w:rsid w:val="43276D54"/>
    <w:rsid w:val="44332F0C"/>
    <w:rsid w:val="45585568"/>
    <w:rsid w:val="46BF19F6"/>
    <w:rsid w:val="4A907588"/>
    <w:rsid w:val="4CAD5E0A"/>
    <w:rsid w:val="4DB8681B"/>
    <w:rsid w:val="4E6F5C4D"/>
    <w:rsid w:val="50FB41EB"/>
    <w:rsid w:val="53F5067F"/>
    <w:rsid w:val="54740061"/>
    <w:rsid w:val="592D2EEE"/>
    <w:rsid w:val="5C3D3DE5"/>
    <w:rsid w:val="5FBF01EF"/>
    <w:rsid w:val="61DC584D"/>
    <w:rsid w:val="63786BB3"/>
    <w:rsid w:val="69B91A96"/>
    <w:rsid w:val="6A517FB2"/>
    <w:rsid w:val="6AFE4D15"/>
    <w:rsid w:val="6B265C93"/>
    <w:rsid w:val="6B4A5FC9"/>
    <w:rsid w:val="702D1157"/>
    <w:rsid w:val="71012680"/>
    <w:rsid w:val="72A66C30"/>
    <w:rsid w:val="7C1B49E1"/>
    <w:rsid w:val="7F6213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6"/>
    <w:link w:val="3"/>
    <w:qFormat/>
    <w:uiPriority w:val="99"/>
    <w:rPr>
      <w:rFonts w:ascii="Calibri" w:hAnsi="Calibri" w:eastAsia="宋体" w:cs="Times New Roman"/>
      <w:sz w:val="18"/>
      <w:szCs w:val="18"/>
    </w:rPr>
  </w:style>
  <w:style w:type="character" w:customStyle="1" w:styleId="8">
    <w:name w:val="页脚 Char"/>
    <w:basedOn w:val="6"/>
    <w:link w:val="2"/>
    <w:qFormat/>
    <w:uiPriority w:val="99"/>
    <w:rPr>
      <w:rFonts w:ascii="Calibri" w:hAnsi="Calibri" w:eastAsia="宋体" w:cs="Times New Roman"/>
      <w:sz w:val="18"/>
      <w:szCs w:val="18"/>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0">
    <w:name w:val="二级无"/>
    <w:basedOn w:val="1"/>
    <w:qFormat/>
    <w:uiPriority w:val="0"/>
    <w:pPr>
      <w:widowControl/>
      <w:numPr>
        <w:ilvl w:val="2"/>
        <w:numId w:val="1"/>
      </w:numPr>
      <w:jc w:val="left"/>
      <w:outlineLvl w:val="3"/>
    </w:pPr>
    <w:rPr>
      <w:rFonts w:ascii="宋体"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771816-6F1F-45AE-B3FA-D1A5AD6CD9F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148</Words>
  <Characters>844</Characters>
  <Lines>7</Lines>
  <Paragraphs>1</Paragraphs>
  <TotalTime>0</TotalTime>
  <ScaleCrop>false</ScaleCrop>
  <LinksUpToDate>false</LinksUpToDate>
  <CharactersWithSpaces>991</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2019-05-09T07:08:00Z</dcterms:created>
  <dc:creator>邢杰(邢杰:办公室人员处理)</dc:creator>
  <cp:lastModifiedBy>内蒙高速传媒002</cp:lastModifiedBy>
  <dcterms:modified xsi:type="dcterms:W3CDTF">2019-07-03T04:40:23Z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