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szCs w:val="32"/>
        </w:rPr>
      </w:pP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铝的残留量（干样品</w:t>
      </w:r>
      <w:r>
        <w:rPr>
          <w:rFonts w:hint="eastAsia" w:eastAsia="黑体"/>
          <w:sz w:val="32"/>
          <w:szCs w:val="32"/>
          <w:lang w:eastAsia="zh-CN"/>
        </w:rPr>
        <w:t>，以</w:t>
      </w:r>
      <w:r>
        <w:rPr>
          <w:rFonts w:hint="eastAsia" w:eastAsia="黑体"/>
          <w:sz w:val="32"/>
          <w:szCs w:val="32"/>
          <w:lang w:val="en-US" w:eastAsia="zh-CN"/>
        </w:rPr>
        <w:t>Al计</w:t>
      </w:r>
      <w:r>
        <w:rPr>
          <w:rFonts w:hint="eastAsia" w:eastAsia="黑体"/>
          <w:sz w:val="32"/>
          <w:szCs w:val="32"/>
        </w:rPr>
        <w:t>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硫酸铝钾(又名钾明矾),硫酸铝铵(又名铵明矾)是食品加工常用的膨松剂和稳定剂，使用后产生铝残留。铝在人体内有蓄积性，过量食入会引起人体对铁和钙等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成分的吸收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，导致骨质疏松、贫血，甚至影响神经细胞的发育。按照国家标准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油炸面制品中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铝的残留量（干样品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Al计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的限量值不应大于100mg/kg。铝的残留量产生不合格的原因可能是：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商家违规过量使用；二</w:t>
      </w: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原料带入。</w:t>
      </w:r>
    </w:p>
    <w:p>
      <w:pPr>
        <w:pStyle w:val="19"/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苋菜红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苋菜红是一种可用作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"https://baike.so.com/doc/5353675.html" \t "https://baike.so.com/doc/_blank" </w:instrTex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食品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着色剂的合成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"https://baike.so.com/doc/5733784.html" \t "https://baike.so.com/doc/_blank" </w:instrTex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色素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。红褐色或暗红色的粉末或颗粒。耐光，耐热，耐盐。对一些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"https://baike.so.com/doc/951872.html" \t "https://baike.so.com/doc/_blank" </w:instrTex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果酸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稳定。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如果长期食用色素含量超标的食品，可能会在体内蓄积，对肾脏、肝脏产生一定伤害。《食品安全国家标准 食品添加剂使用标准》（GB2760-2014）中规定，果、蔬汁饮料中不得使用苋菜红。不合格的原因可能是：一是生产厂家未按国家标准规定，在生产加工过程中超范围、超限量使用；二是原料带入。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酒精度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根据《发酵酒及配制酒》（Q/XMS0002S-2017）</w:t>
      </w:r>
      <w:r>
        <w:rPr>
          <w:rFonts w:hint="eastAsia" w:eastAsia="仿宋_GB2312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，酒精度范围是企业标签明示的±1%（vol）之间，超过了±1%（vol），可以判定为不合格。不合格原因可能是：一是企业产品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生产中产品质量控制不严；二是酒精在密封不严的情况下造成酒精挥发损失；三是低度酒冒充高度酒等。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山梨酸及其钾盐</w:t>
      </w:r>
    </w:p>
    <w:p>
      <w:pPr>
        <w:pStyle w:val="25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山梨酸及其钾盐是食品防腐保鲜剂，具有广泛的抑菌效果和防霉性能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安全性较高，它可以被人体的代谢系统吸收而迅速分解为二氧化碳和水，在体内无残留。毒性仅为苯甲酸的1/4，一般食品中添加量只要不超过限量要求是很安全的，如果超标严重，并且长期服用，在一定程度上会抑制骨骼生长，危害肾、肝脏的健康。根据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食品添加剂使用标准》（GB 2760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2014）</w:t>
      </w:r>
      <w:r>
        <w:rPr>
          <w:rFonts w:eastAsia="仿宋_GB2312"/>
          <w:sz w:val="32"/>
          <w:szCs w:val="32"/>
        </w:rPr>
        <w:t>及产品明示标准和指标的要</w:t>
      </w:r>
      <w:r>
        <w:rPr>
          <w:rFonts w:eastAsia="仿宋_GB2312"/>
          <w:color w:val="auto"/>
          <w:sz w:val="32"/>
          <w:szCs w:val="32"/>
        </w:rPr>
        <w:t>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饼干中不得检出。</w:t>
      </w:r>
      <w:r>
        <w:rPr>
          <w:rFonts w:ascii="Times New Roman" w:hAnsi="Times New Roman" w:eastAsia="仿宋_GB2312"/>
          <w:sz w:val="32"/>
          <w:szCs w:val="32"/>
        </w:rPr>
        <w:t>不合格原因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：一是企业违规使用；二是生产过程中质量控制不严；三是原料带入。</w:t>
      </w:r>
    </w:p>
    <w:p>
      <w:pPr>
        <w:pStyle w:val="25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铬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铬是一种重金属，在自然界中主要以三价铬和六价铬两种形态存在,三价铬是人体必需的营养元素,六价铬有很强的生物毒性,会对皮肤黏膜造成刺激和腐蚀作用,导致皮炎、溃疡、鼻炎、鼻中隔穿孔、咽炎等。《食品安全国家标准 食品中污染物限量》（GB 2762-2017）中规定了肉及肉制品中铬的限量值为≤1.0mg/kg。不合格的原因可能是由于环境污染，例如铬矿石加工、金属表面处理、皮革鞣制、印染等排放的污水等污染食品原料所致。</w:t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1">
    <w:nsid w:val="61674200"/>
    <w:multiLevelType w:val="singleLevel"/>
    <w:tmpl w:val="616742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83119A6"/>
    <w:rsid w:val="08C70051"/>
    <w:rsid w:val="0B23740C"/>
    <w:rsid w:val="0BF55D05"/>
    <w:rsid w:val="0E524ED3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88E348C"/>
    <w:rsid w:val="4AA63504"/>
    <w:rsid w:val="4FAD0645"/>
    <w:rsid w:val="4FC70334"/>
    <w:rsid w:val="54D163A0"/>
    <w:rsid w:val="551A6E5D"/>
    <w:rsid w:val="555F3F9A"/>
    <w:rsid w:val="575B13D1"/>
    <w:rsid w:val="57CB2923"/>
    <w:rsid w:val="5C9E489B"/>
    <w:rsid w:val="5E0540D0"/>
    <w:rsid w:val="5F7B3A23"/>
    <w:rsid w:val="61DD6D44"/>
    <w:rsid w:val="6BB87E7B"/>
    <w:rsid w:val="75202347"/>
    <w:rsid w:val="76D75FC2"/>
    <w:rsid w:val="77887501"/>
    <w:rsid w:val="77E37BF6"/>
    <w:rsid w:val="7951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0063C8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Acronym"/>
    <w:basedOn w:val="6"/>
    <w:semiHidden/>
    <w:unhideWhenUsed/>
    <w:qFormat/>
    <w:uiPriority w:val="99"/>
  </w:style>
  <w:style w:type="character" w:styleId="12">
    <w:name w:val="HTML Variable"/>
    <w:basedOn w:val="6"/>
    <w:semiHidden/>
    <w:unhideWhenUsed/>
    <w:qFormat/>
    <w:uiPriority w:val="99"/>
  </w:style>
  <w:style w:type="character" w:styleId="13">
    <w:name w:val="Hyperlink"/>
    <w:basedOn w:val="6"/>
    <w:unhideWhenUsed/>
    <w:qFormat/>
    <w:uiPriority w:val="99"/>
    <w:rPr>
      <w:color w:val="0063C8"/>
      <w:u w:val="none"/>
    </w:rPr>
  </w:style>
  <w:style w:type="character" w:styleId="14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6"/>
    <w:semiHidden/>
    <w:unhideWhenUsed/>
    <w:qFormat/>
    <w:uiPriority w:val="99"/>
  </w:style>
  <w:style w:type="character" w:customStyle="1" w:styleId="1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6"/>
    <w:qFormat/>
    <w:uiPriority w:val="0"/>
  </w:style>
  <w:style w:type="character" w:customStyle="1" w:styleId="22">
    <w:name w:val="btn-task-gray2"/>
    <w:basedOn w:val="6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6"/>
    <w:qFormat/>
    <w:uiPriority w:val="0"/>
    <w:rPr>
      <w:color w:val="3EAF0E"/>
    </w:rPr>
  </w:style>
  <w:style w:type="character" w:customStyle="1" w:styleId="24">
    <w:name w:val="s16"/>
    <w:basedOn w:val="6"/>
    <w:qFormat/>
    <w:uiPriority w:val="0"/>
    <w:rPr>
      <w:color w:val="DDDDDD"/>
      <w:sz w:val="14"/>
      <w:szCs w:val="14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2019-07-10T02:25:45Z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