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w:pict>
          <v:shape id="_x0000_s1038" o:spid="_x0000_s1038" o:spt="32" type="#_x0000_t32" style="position:absolute;left:0pt;flip:y;margin-left:0pt;margin-top:698.85pt;height:2pt;width:481.9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1035" o:spid="_x0000_s1035" o:spt="20" style="position:absolute;left:0pt;margin-left:0pt;margin-top:695pt;height:0pt;width:482pt;z-index:251667456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shape id="_x0000_s1037" o:spid="_x0000_s1037" o:spt="32" type="#_x0000_t32" style="position:absolute;left:0pt;flip:y;margin-left:0pt;margin-top:175pt;height:2pt;width:478.1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1034" o:spid="_x0000_s1034" o:spt="20" style="position:absolute;left:0pt;margin-left:0pt;margin-top:179pt;height:0pt;width:482pt;z-index:251666432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shape id="fmFrame7" o:spid="_x0000_s1033" o:spt="202" type="#_x0000_t202" style="position:absolute;left:0pt;margin-left:0pt;margin-top:717.2pt;height:28.6pt;width:481.9pt;mso-position-horizontal-relative:margin;mso-position-vertical-relative:margin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4"/>
                  </w:pPr>
                  <w:r>
                    <w:rPr>
                      <w:rFonts w:hint="eastAsia" w:ascii="华文中宋" w:hAnsi="华文中宋" w:eastAsia="华文中宋"/>
                      <w:szCs w:val="36"/>
                    </w:rPr>
                    <w:t>黑龙江省质量技术监督局</w:t>
                  </w:r>
                  <w:r>
                    <w:rPr>
                      <w:rStyle w:val="56"/>
                      <w:rFonts w:hint="eastAsia"/>
                    </w:rPr>
                    <w:t>　发布</w:t>
                  </w:r>
                </w:p>
              </w:txbxContent>
            </v:textbox>
            <w10:anchorlock/>
          </v:shape>
        </w:pict>
      </w:r>
      <w:r>
        <w:pict>
          <v:shape id="fmFrame6" o:spid="_x0000_s1032" o:spt="202" type="#_x0000_t202" style="position:absolute;left:0pt;margin-left:322.9pt;margin-top:673.55pt;height:24.6pt;width:159pt;mso-position-horizontal-relative:margin;mso-position-vertical-relative:margin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6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1" o:spt="202" type="#_x0000_t202" style="position:absolute;left:0pt;margin-left:0.75pt;margin-top:673.55pt;height:24.6pt;width:159pt;mso-position-horizontal-relative:margin;mso-position-vertical-relative:margin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58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pict>
          <v:shape id="fmFrame4" o:spid="_x0000_s1030" o:spt="202" type="#_x0000_t202" style="position:absolute;left:0pt;margin-left:0pt;margin-top:286.25pt;height:368.6pt;width:470pt;mso-position-horizontal-relative:margin;mso-position-vertical-relative:margin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2"/>
                  </w:pPr>
                  <w:r>
                    <w:rPr>
                      <w:rFonts w:hint="eastAsia"/>
                      <w:lang w:eastAsia="zh-CN"/>
                    </w:rPr>
                    <w:t>节能日光温室番茄冬季生产</w:t>
                  </w:r>
                  <w:r>
                    <w:rPr>
                      <w:rFonts w:hint="eastAsia"/>
                    </w:rPr>
                    <w:t>技术规程</w:t>
                  </w:r>
                </w:p>
                <w:p>
                  <w:pPr>
                    <w:pStyle w:val="65"/>
                  </w:pPr>
                </w:p>
                <w:p>
                  <w:pPr>
                    <w:pStyle w:val="66"/>
                  </w:pPr>
                </w:p>
                <w:p>
                  <w:pPr>
                    <w:pStyle w:val="64"/>
                  </w:pPr>
                </w:p>
                <w:p>
                  <w:pPr>
                    <w:pStyle w:val="63"/>
                  </w:pPr>
                </w:p>
              </w:txbxContent>
            </v:textbox>
            <w10:anchorlock/>
          </v:shape>
        </w:pict>
      </w:r>
      <w:r>
        <w:pict>
          <v:shape id="fmFrame3" o:spid="_x0000_s1029" o:spt="202" type="#_x0000_t202" style="position:absolute;left:0pt;margin-left:0pt;margin-top:110.35pt;height:67.75pt;width:456.9pt;mso-position-horizontal-relative:margin;mso-position-vertical-relative:margin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9"/>
                    <w:rPr>
                      <w:rFonts w:ascii="黑体" w:hAnsi="黑体" w:eastAsia="黑体"/>
                      <w:szCs w:val="28"/>
                    </w:rPr>
                  </w:pPr>
                  <w:r>
                    <w:rPr>
                      <w:rFonts w:ascii="黑体" w:hAnsi="黑体" w:eastAsia="黑体"/>
                      <w:szCs w:val="28"/>
                    </w:rPr>
                    <w:t>DB23/T ××××—××××</w:t>
                  </w:r>
                </w:p>
              </w:txbxContent>
            </v:textbox>
            <w10:anchorlock/>
          </v:shape>
        </w:pict>
      </w:r>
      <w:r>
        <w:pict>
          <v:shape id="fmFrame8" o:spid="_x0000_s1028" o:spt="202" type="#_x0000_t202" style="position:absolute;left:0pt;margin-left:200.75pt;margin-top:8.45pt;height:56.7pt;width:250pt;mso-position-horizontal-relative:margin;mso-position-vertical-relative:margin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3"/>
                  </w:pPr>
                  <w:r>
                    <w:t>DB23</w:t>
                  </w:r>
                </w:p>
              </w:txbxContent>
            </v:textbox>
            <w10:anchorlock/>
          </v:shape>
        </w:pict>
      </w:r>
      <w:r>
        <w:pict>
          <v:shape id="fmFrame2" o:spid="_x0000_s1027" o:spt="202" type="#_x0000_t202" style="position:absolute;left:0pt;margin-left:0pt;margin-top:79.6pt;height:30.8pt;width:481.9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3"/>
                  </w:pPr>
                  <w:r>
                    <w:rPr>
                      <w:rFonts w:hint="eastAsia"/>
                    </w:rPr>
                    <w:t>黑龙江省地方标准</w:t>
                  </w:r>
                </w:p>
              </w:txbxContent>
            </v:textbox>
            <w10:anchorlock/>
          </v:shape>
        </w:pict>
      </w:r>
      <w:r>
        <w:pict>
          <v:shape id="fmFrame1" o:spid="_x0000_s1026" o:spt="202" type="#_x0000_t202" style="position:absolute;left:0pt;margin-left:0pt;margin-top:0pt;height:51.8pt;width:200pt;mso-position-horizontal-relative:margin;mso-position-vertical-relative:margin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2"/>
                    <w:rPr>
                      <w:rFonts w:ascii="黑体" w:hAnsi="黑体"/>
                      <w:sz w:val="21"/>
                      <w:szCs w:val="21"/>
                    </w:rPr>
                  </w:pPr>
                  <w:r>
                    <w:rPr>
                      <w:rFonts w:ascii="黑体" w:hAnsi="黑体"/>
                      <w:sz w:val="21"/>
                      <w:szCs w:val="21"/>
                    </w:rPr>
                    <w:t>ICS</w:t>
                  </w:r>
                  <w:r>
                    <w:rPr>
                      <w:rFonts w:hint="eastAsia" w:ascii="黑体" w:hAnsi="黑体"/>
                      <w:sz w:val="21"/>
                      <w:szCs w:val="21"/>
                    </w:rPr>
                    <w:t xml:space="preserve"> 65.020.20    </w:t>
                  </w:r>
                </w:p>
                <w:p>
                  <w:pPr>
                    <w:pStyle w:val="92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黑体" w:hAnsi="黑体"/>
                      <w:sz w:val="21"/>
                      <w:szCs w:val="21"/>
                    </w:rPr>
                    <w:t>B 05</w:t>
                  </w:r>
                </w:p>
                <w:p>
                  <w:pPr>
                    <w:pStyle w:val="92"/>
                  </w:pPr>
                  <w:r>
                    <w:t>备案号</w:t>
                  </w:r>
                </w:p>
              </w:txbxContent>
            </v:textbox>
            <w10:anchorlock/>
          </v:shape>
        </w:pict>
      </w:r>
    </w:p>
    <w:bookmarkEnd w:id="0"/>
    <w:p>
      <w:pPr>
        <w:pStyle w:val="50"/>
      </w:pPr>
      <w:bookmarkStart w:id="1" w:name="SectionMark2"/>
      <w:r>
        <w:rPr>
          <w:rFonts w:hint="eastAsia"/>
        </w:rPr>
        <w:t>前    言</w:t>
      </w:r>
    </w:p>
    <w:p>
      <w:pPr>
        <w:pStyle w:val="52"/>
        <w:ind w:firstLine="420"/>
      </w:pPr>
      <w:r>
        <w:rPr>
          <w:rFonts w:hint="eastAsia"/>
        </w:rPr>
        <w:t>本标准依据GB/T 1.1-2009编写规则起草。</w:t>
      </w:r>
    </w:p>
    <w:p>
      <w:pPr>
        <w:pStyle w:val="52"/>
        <w:ind w:firstLine="420"/>
      </w:pPr>
      <w:r>
        <w:rPr>
          <w:rFonts w:hint="eastAsia"/>
        </w:rPr>
        <w:t>本标准由黑龙江省农业标准化委员会提出。</w:t>
      </w:r>
    </w:p>
    <w:p>
      <w:pPr>
        <w:pStyle w:val="52"/>
        <w:ind w:firstLine="420"/>
      </w:pPr>
      <w:r>
        <w:rPr>
          <w:rFonts w:hint="eastAsia"/>
        </w:rPr>
        <w:t>本标准起草单位：东北农业大学。</w:t>
      </w:r>
    </w:p>
    <w:p>
      <w:pPr>
        <w:pStyle w:val="52"/>
        <w:ind w:firstLine="420"/>
      </w:pPr>
      <w:r>
        <w:rPr>
          <w:rFonts w:hint="eastAsia"/>
        </w:rPr>
        <w:t>本标准主要起草人：</w:t>
      </w:r>
      <w:r>
        <w:rPr>
          <w:rFonts w:hint="eastAsia" w:hAnsi="宋体" w:cs="宋体"/>
          <w:color w:val="000000"/>
          <w:szCs w:val="21"/>
          <w:lang w:eastAsia="zh-CN"/>
        </w:rPr>
        <w:t>吴凤芝、刘守伟、潘凯、周新刚、李文慧</w:t>
      </w:r>
      <w:r>
        <w:rPr>
          <w:rFonts w:hint="eastAsia"/>
        </w:rPr>
        <w:t>。</w:t>
      </w:r>
    </w:p>
    <w:p>
      <w:pPr>
        <w:pStyle w:val="52"/>
        <w:ind w:firstLine="420"/>
        <w:sectPr>
          <w:headerReference r:id="rId9" w:type="default"/>
          <w:footerReference r:id="rId10" w:type="default"/>
          <w:pgSz w:w="11907" w:h="16839"/>
          <w:pgMar w:top="1418" w:right="1134" w:bottom="1134" w:left="1418" w:header="1418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bookmarkEnd w:id="1"/>
    <w:p>
      <w:pPr>
        <w:pStyle w:val="81"/>
      </w:pPr>
      <w:bookmarkStart w:id="2" w:name="SectionMark4"/>
      <w:r>
        <w:rPr>
          <w:rFonts w:hint="eastAsia"/>
          <w:lang w:eastAsia="zh-CN"/>
        </w:rPr>
        <w:t>节能日光温室番茄冬季生产</w:t>
      </w:r>
      <w:r>
        <w:rPr>
          <w:rFonts w:hint="eastAsia"/>
        </w:rPr>
        <w:t>技术规程</w:t>
      </w:r>
    </w:p>
    <w:p>
      <w:pPr>
        <w:pStyle w:val="53"/>
        <w:spacing w:before="312" w:beforeLines="100" w:after="312" w:afterLines="100"/>
      </w:pPr>
      <w:r>
        <w:rPr>
          <w:rFonts w:hint="eastAsia"/>
        </w:rPr>
        <w:t>范围</w:t>
      </w:r>
    </w:p>
    <w:p>
      <w:pPr>
        <w:ind w:firstLine="420" w:firstLineChars="200"/>
        <w:rPr>
          <w:rFonts w:hint="eastAsia" w:ascii="宋体" w:hAnsi="宋体"/>
          <w:szCs w:val="22"/>
        </w:rPr>
      </w:pPr>
      <w:r>
        <w:rPr>
          <w:rFonts w:ascii="宋体" w:hAnsi="宋体"/>
          <w:szCs w:val="22"/>
        </w:rPr>
        <w:t>本标准规定了温室</w:t>
      </w:r>
      <w:r>
        <w:rPr>
          <w:rFonts w:hint="eastAsia" w:ascii="宋体" w:hAnsi="宋体"/>
          <w:szCs w:val="22"/>
        </w:rPr>
        <w:t>冬季</w:t>
      </w:r>
      <w:r>
        <w:rPr>
          <w:rFonts w:ascii="宋体" w:hAnsi="宋体"/>
          <w:szCs w:val="22"/>
        </w:rPr>
        <w:t>番茄生产的产地环境和生产管理措施。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szCs w:val="22"/>
        </w:rPr>
        <w:t>本标准适用于温室</w:t>
      </w:r>
      <w:r>
        <w:rPr>
          <w:rFonts w:hint="eastAsia" w:ascii="宋体" w:hAnsi="宋体"/>
          <w:szCs w:val="22"/>
        </w:rPr>
        <w:t>冬季</w:t>
      </w:r>
      <w:r>
        <w:rPr>
          <w:rFonts w:ascii="宋体" w:hAnsi="宋体"/>
          <w:szCs w:val="22"/>
        </w:rPr>
        <w:t>番茄的生产。</w:t>
      </w:r>
    </w:p>
    <w:p>
      <w:pPr>
        <w:pStyle w:val="53"/>
        <w:spacing w:before="312" w:beforeLines="100" w:after="312" w:afterLines="100"/>
      </w:pPr>
      <w:r>
        <w:rPr>
          <w:rFonts w:hint="eastAsia"/>
        </w:rPr>
        <w:t>规范性引用文件</w:t>
      </w:r>
    </w:p>
    <w:p>
      <w:pPr>
        <w:pStyle w:val="52"/>
        <w:ind w:firstLine="4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hAnsi="宋体"/>
        </w:rPr>
      </w:pPr>
      <w:r>
        <w:rPr>
          <w:rFonts w:hint="eastAsia" w:hAnsi="宋体"/>
        </w:rPr>
        <w:t>GB 3095  环境空气质量标准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GB 3838  地表水环境质量标准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hAnsi="宋体"/>
        </w:rPr>
      </w:pPr>
      <w:r>
        <w:rPr>
          <w:rFonts w:hint="eastAsia" w:hAnsi="宋体"/>
        </w:rPr>
        <w:t>GB 5084  农田灌溉水质标准</w:t>
      </w:r>
    </w:p>
    <w:p>
      <w:pPr>
        <w:pStyle w:val="52"/>
        <w:tabs>
          <w:tab w:val="center" w:pos="4201"/>
          <w:tab w:val="right" w:leader="dot" w:pos="9298"/>
        </w:tabs>
        <w:rPr>
          <w:rFonts w:hAnsi="宋体"/>
        </w:rPr>
      </w:pPr>
      <w:r>
        <w:rPr>
          <w:rFonts w:hAnsi="宋体" w:cs="Tahoma"/>
          <w:bCs/>
          <w:szCs w:val="21"/>
        </w:rPr>
        <w:t>GB</w:t>
      </w:r>
      <w:r>
        <w:rPr>
          <w:rFonts w:hint="eastAsia" w:hAnsi="宋体" w:cs="Tahoma"/>
          <w:bCs/>
          <w:szCs w:val="21"/>
        </w:rPr>
        <w:t xml:space="preserve"> </w:t>
      </w:r>
      <w:r>
        <w:rPr>
          <w:rFonts w:hAnsi="宋体" w:cs="Tahoma"/>
          <w:bCs/>
          <w:szCs w:val="21"/>
        </w:rPr>
        <w:t>15618</w:t>
      </w:r>
      <w:r>
        <w:rPr>
          <w:rFonts w:hint="eastAsia" w:hAnsi="宋体" w:cs="Tahoma"/>
          <w:bCs/>
          <w:szCs w:val="21"/>
        </w:rPr>
        <w:t xml:space="preserve"> </w:t>
      </w:r>
      <w:r>
        <w:rPr>
          <w:rFonts w:hAnsi="宋体" w:cs="Tahoma"/>
          <w:bCs/>
          <w:szCs w:val="21"/>
        </w:rPr>
        <w:t xml:space="preserve"> 土壤环境质量标准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hAnsi="宋体"/>
        </w:rPr>
      </w:pPr>
      <w:r>
        <w:t xml:space="preserve">GB 16715.3 </w:t>
      </w:r>
      <w:r>
        <w:rPr>
          <w:rFonts w:hint="eastAsia"/>
        </w:rPr>
        <w:t xml:space="preserve"> </w:t>
      </w:r>
      <w:r>
        <w:t>瓜菜作物种子</w:t>
      </w:r>
      <w:r>
        <w:rPr>
          <w:rFonts w:hint="eastAsia"/>
        </w:rPr>
        <w:t xml:space="preserve"> </w:t>
      </w:r>
      <w:r>
        <w:t xml:space="preserve"> 第3部分：茄果类</w:t>
      </w:r>
    </w:p>
    <w:p>
      <w:pPr>
        <w:pStyle w:val="52"/>
        <w:tabs>
          <w:tab w:val="center" w:pos="4201"/>
          <w:tab w:val="right" w:leader="dot" w:pos="9298"/>
        </w:tabs>
      </w:pPr>
      <w:r>
        <w:t>GB/T 8321</w:t>
      </w:r>
      <w:r>
        <w:rPr>
          <w:rFonts w:hint="eastAsia"/>
        </w:rPr>
        <w:t>（所有部分）  农药合理使用准则</w:t>
      </w:r>
    </w:p>
    <w:p>
      <w:pPr>
        <w:pStyle w:val="52"/>
        <w:tabs>
          <w:tab w:val="center" w:pos="4201"/>
          <w:tab w:val="right" w:leader="dot" w:pos="9298"/>
        </w:tabs>
      </w:pPr>
      <w:r>
        <w:t>NY/T 496</w:t>
      </w:r>
      <w:r>
        <w:rPr>
          <w:rFonts w:hint="eastAsia"/>
        </w:rPr>
        <w:t xml:space="preserve">  </w:t>
      </w:r>
      <w:r>
        <w:t>肥料合理使用准则</w:t>
      </w:r>
      <w:r>
        <w:rPr>
          <w:rFonts w:hint="eastAsia"/>
        </w:rPr>
        <w:t xml:space="preserve">  </w:t>
      </w:r>
      <w:r>
        <w:t>通则</w:t>
      </w:r>
    </w:p>
    <w:p>
      <w:pPr>
        <w:pStyle w:val="52"/>
        <w:tabs>
          <w:tab w:val="center" w:pos="4201"/>
          <w:tab w:val="right" w:leader="dot" w:pos="9298"/>
        </w:tabs>
      </w:pP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rFonts w:hint="eastAsia"/>
        </w:rPr>
        <w:t xml:space="preserve">  农药安全使用规范 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/>
        </w:rPr>
        <w:t>NY/T 2118  蔬菜育苗基质</w:t>
      </w:r>
    </w:p>
    <w:p>
      <w:pPr>
        <w:pStyle w:val="53"/>
        <w:spacing w:before="312" w:beforeLines="100" w:after="312" w:afterLines="100"/>
        <w:rPr>
          <w:rFonts w:ascii="Times New Roman" w:eastAsia="宋体"/>
        </w:rPr>
      </w:pPr>
      <w:bookmarkStart w:id="3" w:name="_Toc6343"/>
      <w:bookmarkStart w:id="4" w:name="_Toc468790821"/>
      <w:bookmarkStart w:id="5" w:name="_Toc466367648"/>
      <w:r>
        <w:rPr>
          <w:rFonts w:hint="eastAsia"/>
          <w:lang w:eastAsia="zh-CN"/>
        </w:rPr>
        <w:t>产地</w:t>
      </w:r>
      <w:r>
        <w:rPr>
          <w:rFonts w:hint="eastAsia"/>
        </w:rPr>
        <w:t>环境</w:t>
      </w:r>
    </w:p>
    <w:bookmarkEnd w:id="3"/>
    <w:bookmarkEnd w:id="4"/>
    <w:bookmarkEnd w:id="5"/>
    <w:p>
      <w:pPr>
        <w:pStyle w:val="52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ascii="Times New Roman" w:hAnsi="宋体"/>
          <w:szCs w:val="21"/>
        </w:rPr>
        <w:t>选择地势高燥，排灌方便，土层深厚、疏松、肥沃的地块</w:t>
      </w:r>
      <w:r>
        <w:rPr>
          <w:rFonts w:hint="eastAsia" w:ascii="Times New Roman" w:hAnsi="宋体"/>
          <w:szCs w:val="21"/>
        </w:rPr>
        <w:t>，</w:t>
      </w:r>
      <w:r>
        <w:rPr>
          <w:rFonts w:hint="eastAsia"/>
        </w:rPr>
        <w:t>大气应符合GB 3095的规定，土壤应符合</w:t>
      </w:r>
      <w:r>
        <w:rPr>
          <w:rFonts w:hAnsi="宋体" w:cs="Tahoma"/>
          <w:bCs/>
          <w:szCs w:val="21"/>
        </w:rPr>
        <w:t>GB 15618</w:t>
      </w:r>
      <w:r>
        <w:rPr>
          <w:rFonts w:hint="eastAsia" w:hAnsi="宋体" w:cs="Tahoma"/>
          <w:bCs/>
          <w:szCs w:val="21"/>
        </w:rPr>
        <w:t>的规定</w:t>
      </w:r>
      <w:r>
        <w:rPr>
          <w:rFonts w:hint="eastAsia"/>
        </w:rPr>
        <w:t>，</w:t>
      </w:r>
      <w:r>
        <w:rPr>
          <w:rFonts w:hint="eastAsia" w:ascii="Times New Roman" w:hAnsi="宋体"/>
          <w:szCs w:val="21"/>
        </w:rPr>
        <w:t>水质应符合</w:t>
      </w:r>
      <w:r>
        <w:rPr>
          <w:rFonts w:hint="eastAsia"/>
        </w:rPr>
        <w:t>GB 3838、GB 5084的规定。</w:t>
      </w:r>
    </w:p>
    <w:p>
      <w:pPr>
        <w:pStyle w:val="53"/>
        <w:numPr>
          <w:ilvl w:val="1"/>
          <w:numId w:val="0"/>
        </w:numPr>
        <w:spacing w:before="312" w:beforeLines="100" w:after="312" w:afterLines="100"/>
        <w:ind w:leftChars="0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4  生产技术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szCs w:val="22"/>
        </w:rPr>
      </w:pPr>
      <w:r>
        <w:rPr>
          <w:rFonts w:hint="eastAsia"/>
          <w:szCs w:val="22"/>
        </w:rPr>
        <w:t>4.1  园艺设施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  <w:szCs w:val="22"/>
        </w:rPr>
        <w:t xml:space="preserve">适合高寒地区的节能日光温室 </w:t>
      </w:r>
      <w:r>
        <w:rPr>
          <w:rFonts w:hint="eastAsia"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4.2  品种选择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  <w:szCs w:val="22"/>
        </w:rPr>
      </w:pPr>
      <w:r>
        <w:rPr>
          <w:rFonts w:hint="eastAsia" w:ascii="Times New Roman"/>
          <w:szCs w:val="22"/>
        </w:rPr>
        <w:t>选用耐低温、弱光、抗病、抗逆、高产的品种。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szCs w:val="22"/>
        </w:rPr>
      </w:pPr>
      <w:r>
        <w:rPr>
          <w:rFonts w:hint="eastAsia"/>
          <w:szCs w:val="22"/>
        </w:rPr>
        <w:t>4.3  育苗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4.3.1  壮苗标准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日历苗龄</w:t>
      </w:r>
      <w:r>
        <w:rPr>
          <w:rFonts w:hint="eastAsia" w:ascii="Times New Roman"/>
        </w:rPr>
        <w:t>40d</w:t>
      </w:r>
      <w:r>
        <w:rPr>
          <w:rFonts w:ascii="Times New Roman"/>
        </w:rPr>
        <w:t>~</w:t>
      </w:r>
      <w:r>
        <w:rPr>
          <w:rFonts w:hint="eastAsia" w:ascii="Times New Roman"/>
        </w:rPr>
        <w:t>45d</w:t>
      </w:r>
      <w:r>
        <w:rPr>
          <w:rFonts w:ascii="Times New Roman"/>
        </w:rPr>
        <w:t>左右，</w:t>
      </w:r>
      <w:r>
        <w:rPr>
          <w:rFonts w:hint="eastAsia" w:ascii="Times New Roman"/>
        </w:rPr>
        <w:t>株高15cm~20cm，</w:t>
      </w:r>
      <w:r>
        <w:rPr>
          <w:rFonts w:ascii="Times New Roman"/>
        </w:rPr>
        <w:t>生理苗龄</w:t>
      </w:r>
      <w:r>
        <w:rPr>
          <w:rFonts w:hint="eastAsia" w:ascii="Times New Roman"/>
        </w:rPr>
        <w:t>4</w:t>
      </w:r>
      <w:r>
        <w:rPr>
          <w:rFonts w:ascii="Times New Roman"/>
        </w:rPr>
        <w:t>片</w:t>
      </w:r>
      <w:r>
        <w:rPr>
          <w:rFonts w:hint="eastAsia" w:ascii="Times New Roman"/>
          <w:lang w:eastAsia="zh-CN"/>
        </w:rPr>
        <w:t>叶</w:t>
      </w:r>
      <w:r>
        <w:rPr>
          <w:rFonts w:ascii="Times New Roman"/>
        </w:rPr>
        <w:t>~</w:t>
      </w:r>
      <w:r>
        <w:rPr>
          <w:rFonts w:hint="eastAsia" w:ascii="Times New Roman"/>
        </w:rPr>
        <w:t>5</w:t>
      </w:r>
      <w:r>
        <w:rPr>
          <w:rFonts w:ascii="Times New Roman"/>
        </w:rPr>
        <w:t>片叶，</w:t>
      </w:r>
      <w:r>
        <w:rPr>
          <w:rFonts w:hint="eastAsia" w:ascii="Times New Roman"/>
        </w:rPr>
        <w:t>叶片颜色深绿，真叶呈手掌形，根系发达</w:t>
      </w:r>
      <w:r>
        <w:rPr>
          <w:rFonts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4.3.2  育苗设施的选择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  <w:color w:val="FF0000"/>
        </w:rPr>
      </w:pPr>
      <w:r>
        <w:rPr>
          <w:rFonts w:ascii="Times New Roman"/>
        </w:rPr>
        <w:t>日光温室</w:t>
      </w:r>
      <w:r>
        <w:rPr>
          <w:rFonts w:hint="eastAsia" w:ascii="Times New Roman"/>
        </w:rPr>
        <w:t>和中棚均可。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4.3.3  基质配制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  <w:szCs w:val="22"/>
        </w:rPr>
      </w:pPr>
      <w:r>
        <w:rPr>
          <w:rFonts w:ascii="Times New Roman"/>
        </w:rPr>
        <w:t>草炭加蛭石按体积比2</w:t>
      </w:r>
      <w:r>
        <w:rPr>
          <w:rFonts w:hint="eastAsia" w:ascii="Times New Roman"/>
        </w:rPr>
        <w:t>:</w:t>
      </w:r>
      <w:r>
        <w:rPr>
          <w:rFonts w:ascii="Times New Roman"/>
        </w:rPr>
        <w:t>1</w:t>
      </w:r>
      <w:r>
        <w:rPr>
          <w:rFonts w:hint="eastAsia" w:ascii="Times New Roman"/>
        </w:rPr>
        <w:t>混合均匀</w:t>
      </w:r>
      <w:r>
        <w:rPr>
          <w:rFonts w:hint="eastAsia" w:ascii="Times New Roman"/>
          <w:lang w:eastAsia="zh-CN"/>
        </w:rPr>
        <w:t>，</w:t>
      </w:r>
      <w:r>
        <w:rPr>
          <w:rFonts w:hint="eastAsia" w:ascii="Times New Roman"/>
          <w:szCs w:val="22"/>
        </w:rPr>
        <w:t>或商品育苗基质，基质应符合NY/T 2118。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4.3.4  种子选择及处理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4.3.4.1  种子选择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/>
        </w:rPr>
        <w:t>应符合</w:t>
      </w:r>
      <w:r>
        <w:t>GB 16715.3</w:t>
      </w:r>
      <w:r>
        <w:rPr>
          <w:rFonts w:hint="eastAsia"/>
        </w:rPr>
        <w:t>的要求。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4.3.4.2  种子处理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 w:ascii="Times New Roman"/>
        </w:rPr>
        <w:t>番茄种子采用</w:t>
      </w:r>
      <w:r>
        <w:rPr>
          <w:rFonts w:ascii="Times New Roman"/>
        </w:rPr>
        <w:t>温汤浸种</w:t>
      </w:r>
      <w:r>
        <w:rPr>
          <w:rFonts w:hint="eastAsia" w:ascii="Times New Roman"/>
        </w:rPr>
        <w:t>，</w:t>
      </w:r>
      <w:r>
        <w:rPr>
          <w:rFonts w:ascii="Times New Roman"/>
        </w:rPr>
        <w:t>先用</w:t>
      </w:r>
      <w:r>
        <w:rPr>
          <w:rFonts w:hint="eastAsia" w:ascii="Times New Roman"/>
        </w:rPr>
        <w:t>室温清水</w:t>
      </w:r>
      <w:r>
        <w:rPr>
          <w:rFonts w:ascii="Times New Roman"/>
        </w:rPr>
        <w:t>浸泡种子10</w:t>
      </w:r>
      <w:r>
        <w:rPr>
          <w:rFonts w:hint="eastAsia" w:ascii="Times New Roman"/>
        </w:rPr>
        <w:t>min</w:t>
      </w:r>
      <w:r>
        <w:rPr>
          <w:rFonts w:ascii="Times New Roman"/>
        </w:rPr>
        <w:t>~20</w:t>
      </w:r>
      <w:r>
        <w:rPr>
          <w:rFonts w:hint="eastAsia" w:ascii="Times New Roman"/>
        </w:rPr>
        <w:t>min后，</w:t>
      </w:r>
      <w:r>
        <w:rPr>
          <w:rFonts w:ascii="Times New Roman"/>
        </w:rPr>
        <w:t>用50℃~55℃热水烫种</w:t>
      </w:r>
      <w:r>
        <w:rPr>
          <w:rFonts w:hint="eastAsia" w:ascii="Times New Roman"/>
        </w:rPr>
        <w:t>2</w:t>
      </w:r>
      <w:r>
        <w:rPr>
          <w:rFonts w:ascii="Times New Roman"/>
        </w:rPr>
        <w:t>0</w:t>
      </w:r>
      <w:r>
        <w:rPr>
          <w:rFonts w:hint="eastAsia" w:ascii="Times New Roman"/>
        </w:rPr>
        <w:t>min</w:t>
      </w:r>
      <w:r>
        <w:rPr>
          <w:rFonts w:ascii="Times New Roman"/>
        </w:rPr>
        <w:t>，</w:t>
      </w:r>
      <w:r>
        <w:rPr>
          <w:rFonts w:hint="eastAsia" w:ascii="Times New Roman"/>
        </w:rPr>
        <w:t>再</w:t>
      </w:r>
      <w:r>
        <w:rPr>
          <w:rFonts w:ascii="Times New Roman"/>
        </w:rPr>
        <w:t>把种子</w:t>
      </w:r>
      <w:r>
        <w:rPr>
          <w:rFonts w:hint="eastAsia" w:ascii="Times New Roman"/>
        </w:rPr>
        <w:t>迅速</w:t>
      </w:r>
      <w:r>
        <w:rPr>
          <w:rFonts w:ascii="Times New Roman"/>
        </w:rPr>
        <w:t>放入</w:t>
      </w:r>
      <w:r>
        <w:rPr>
          <w:rFonts w:hint="eastAsia" w:ascii="Times New Roman"/>
        </w:rPr>
        <w:t>室温清水</w:t>
      </w:r>
      <w:r>
        <w:rPr>
          <w:rFonts w:ascii="Times New Roman"/>
        </w:rPr>
        <w:t>中</w:t>
      </w:r>
      <w:r>
        <w:rPr>
          <w:rFonts w:hint="eastAsia" w:ascii="Times New Roman"/>
        </w:rPr>
        <w:t>冷却</w:t>
      </w:r>
      <w:r>
        <w:rPr>
          <w:rFonts w:ascii="Times New Roman"/>
        </w:rPr>
        <w:t>，</w:t>
      </w:r>
      <w:r>
        <w:rPr>
          <w:rFonts w:hint="eastAsia" w:ascii="Times New Roman"/>
        </w:rPr>
        <w:t>然后</w:t>
      </w:r>
      <w:r>
        <w:rPr>
          <w:rFonts w:ascii="Times New Roman"/>
        </w:rPr>
        <w:t>浸种催芽</w:t>
      </w:r>
      <w:r>
        <w:rPr>
          <w:rFonts w:hint="eastAsia" w:ascii="Times New Roman"/>
        </w:rPr>
        <w:t>，或</w:t>
      </w:r>
      <w:r>
        <w:rPr>
          <w:rFonts w:ascii="Times New Roman"/>
        </w:rPr>
        <w:t>Na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PO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浸种</w:t>
      </w:r>
      <w:r>
        <w:rPr>
          <w:rFonts w:hint="eastAsia" w:ascii="Times New Roman"/>
        </w:rPr>
        <w:t>，即</w:t>
      </w:r>
      <w:r>
        <w:rPr>
          <w:rFonts w:ascii="Times New Roman"/>
        </w:rPr>
        <w:t>用10%的Na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PO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浸种1</w:t>
      </w:r>
      <w:r>
        <w:rPr>
          <w:rFonts w:hint="eastAsia" w:ascii="Times New Roman"/>
        </w:rPr>
        <w:t>5min~25min</w:t>
      </w:r>
      <w:r>
        <w:rPr>
          <w:rFonts w:ascii="Times New Roman"/>
        </w:rPr>
        <w:t>，</w:t>
      </w:r>
      <w:r>
        <w:rPr>
          <w:rFonts w:hint="eastAsia" w:ascii="Times New Roman"/>
        </w:rPr>
        <w:t>用清水投洗干净，包衣种子直播，药剂应符合</w:t>
      </w:r>
      <w:r>
        <w:t>GB/T 8321</w:t>
      </w:r>
      <w:r>
        <w:rPr>
          <w:rFonts w:hint="eastAsia"/>
        </w:rPr>
        <w:t>、</w:t>
      </w: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rFonts w:hint="eastAsia"/>
        </w:rPr>
        <w:t>的规定。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4.3.4.3  浸种催芽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</w:rPr>
      </w:pPr>
      <w:r>
        <w:rPr>
          <w:rFonts w:hint="eastAsia" w:ascii="Times New Roman"/>
          <w:lang w:eastAsia="zh-CN"/>
        </w:rPr>
        <w:t>用</w:t>
      </w:r>
      <w:r>
        <w:rPr>
          <w:rFonts w:hint="eastAsia" w:ascii="Times New Roman"/>
        </w:rPr>
        <w:t>2</w:t>
      </w:r>
      <w:r>
        <w:rPr>
          <w:rFonts w:ascii="Times New Roman"/>
        </w:rPr>
        <w:t>0℃</w:t>
      </w:r>
      <w:r>
        <w:rPr>
          <w:rFonts w:hint="eastAsia" w:ascii="Times New Roman"/>
        </w:rPr>
        <w:t>~25</w:t>
      </w:r>
      <w:r>
        <w:rPr>
          <w:rFonts w:ascii="Times New Roman"/>
        </w:rPr>
        <w:t>℃左右温水浸种</w:t>
      </w:r>
      <w:r>
        <w:rPr>
          <w:rFonts w:hint="eastAsia" w:ascii="Times New Roman"/>
        </w:rPr>
        <w:t>8h~10h</w:t>
      </w:r>
      <w:r>
        <w:rPr>
          <w:rFonts w:ascii="Times New Roman"/>
        </w:rPr>
        <w:t>左右，捞出后在28℃~30℃温度下催芽</w:t>
      </w:r>
      <w:r>
        <w:rPr>
          <w:rFonts w:hint="eastAsia" w:ascii="Times New Roman"/>
        </w:rPr>
        <w:t>2d~3d</w:t>
      </w:r>
      <w:r>
        <w:rPr>
          <w:rFonts w:ascii="Times New Roman"/>
        </w:rPr>
        <w:t>，每天</w:t>
      </w:r>
      <w:r>
        <w:rPr>
          <w:rFonts w:hint="eastAsia" w:ascii="Times New Roman"/>
        </w:rPr>
        <w:t>投洗2</w:t>
      </w:r>
      <w:r>
        <w:rPr>
          <w:rFonts w:hint="eastAsia" w:ascii="Times New Roman"/>
          <w:lang w:eastAsia="zh-CN"/>
        </w:rPr>
        <w:t>次</w:t>
      </w:r>
      <w:r>
        <w:rPr>
          <w:rFonts w:hint="eastAsia" w:ascii="Times New Roman"/>
        </w:rPr>
        <w:t>~3</w:t>
      </w:r>
      <w:r>
        <w:rPr>
          <w:rFonts w:ascii="Times New Roman"/>
        </w:rPr>
        <w:t>次</w:t>
      </w:r>
      <w:r>
        <w:rPr>
          <w:rFonts w:hint="eastAsia"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4.3.5  播种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4.3.5.1  播期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7月上旬。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4.3.5.2  播种量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  <w:color w:val="FF0000"/>
        </w:rPr>
      </w:pPr>
      <w:r>
        <w:rPr>
          <w:rFonts w:ascii="Times New Roman"/>
        </w:rPr>
        <w:t>每666.7</w:t>
      </w:r>
      <w:r>
        <w:rPr>
          <w:rFonts w:hint="eastAsia" w:ascii="Times New Roman"/>
          <w:lang w:val="en-US" w:eastAsia="zh-CN"/>
        </w:rPr>
        <w:t>m</w:t>
      </w:r>
      <w:r>
        <w:rPr>
          <w:rFonts w:hint="eastAsia" w:ascii="Times New Roman"/>
          <w:vertAlign w:val="superscript"/>
          <w:lang w:val="en-US" w:eastAsia="zh-CN"/>
        </w:rPr>
        <w:t>2</w:t>
      </w:r>
      <w:r>
        <w:rPr>
          <w:rFonts w:ascii="Times New Roman"/>
        </w:rPr>
        <w:t>栽培面积的用种量</w:t>
      </w:r>
      <w:r>
        <w:rPr>
          <w:rFonts w:hint="eastAsia" w:ascii="Times New Roman"/>
        </w:rPr>
        <w:t>8</w:t>
      </w:r>
      <w:r>
        <w:rPr>
          <w:rFonts w:hint="eastAsia" w:ascii="Times New Roman"/>
          <w:lang w:val="en-US" w:eastAsia="zh-CN"/>
        </w:rPr>
        <w:t>g</w:t>
      </w:r>
      <w:r>
        <w:rPr>
          <w:rFonts w:hint="eastAsia" w:ascii="Times New Roman"/>
        </w:rPr>
        <w:t>~10</w:t>
      </w:r>
      <w:r>
        <w:rPr>
          <w:rFonts w:ascii="Times New Roman"/>
        </w:rPr>
        <w:t>g</w:t>
      </w:r>
      <w:r>
        <w:rPr>
          <w:rFonts w:hint="eastAsia" w:ascii="Times New Roman"/>
        </w:rPr>
        <w:t>左右。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4.3.5.3  播种方法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  <w:szCs w:val="22"/>
        </w:rPr>
      </w:pPr>
      <w:r>
        <w:rPr>
          <w:rFonts w:hint="eastAsia" w:ascii="Times New Roman"/>
        </w:rPr>
        <w:t>将消毒后的种子点播至播种穴中，播后立即用基质覆盖种子，用木板刮平穴盘表面，向穴盘喷水，直至底部排水孔有水渗出，穴盘上盖无纺布，</w:t>
      </w:r>
      <w:r>
        <w:rPr>
          <w:rFonts w:ascii="Times New Roman"/>
        </w:rPr>
        <w:t>70%番茄苗出土后揭去不织布</w:t>
      </w:r>
      <w:r>
        <w:rPr>
          <w:rFonts w:hint="eastAsia"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4.3.6  苗期管理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4.3.6.1  温度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各阶段的温度管理指标见表1。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2940" w:firstLineChars="1400"/>
        <w:textAlignment w:val="auto"/>
        <w:rPr>
          <w:rFonts w:hint="eastAsia" w:hAnsi="宋体"/>
          <w:color w:val="FF0000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表 1  番茄育苗各时期温度管理指标</w:t>
      </w:r>
      <w:r>
        <w:rPr>
          <w:rFonts w:hint="eastAsia" w:ascii="黑体" w:hAnsi="黑体" w:eastAsia="黑体" w:cs="黑体"/>
          <w:color w:val="FF0000"/>
          <w:szCs w:val="21"/>
        </w:rPr>
        <w:t xml:space="preserve"> </w:t>
      </w:r>
      <w:r>
        <w:rPr>
          <w:rFonts w:hint="eastAsia" w:hAnsi="宋体"/>
          <w:color w:val="FF0000"/>
          <w:szCs w:val="21"/>
        </w:rPr>
        <w:t xml:space="preserve"> </w:t>
      </w:r>
      <w:r>
        <w:rPr>
          <w:rFonts w:hint="eastAsia" w:hAnsi="宋体"/>
          <w:color w:val="FF0000"/>
          <w:szCs w:val="21"/>
          <w:lang w:val="en-US" w:eastAsia="zh-CN"/>
        </w:rPr>
        <w:t xml:space="preserve"> </w:t>
      </w:r>
    </w:p>
    <w:tbl>
      <w:tblPr>
        <w:tblStyle w:val="29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时期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日温（℃）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夜温（℃）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90" w:type="dxa"/>
            <w:tcBorders>
              <w:top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出苗期</w:t>
            </w:r>
          </w:p>
        </w:tc>
        <w:tc>
          <w:tcPr>
            <w:tcW w:w="3190" w:type="dxa"/>
            <w:tcBorders>
              <w:top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~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90" w:type="dxa"/>
            <w:tcBorders>
              <w:top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0~23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子叶展平期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~25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~1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1片真叶生长期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~2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15~1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成苗期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~15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炼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苗期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5~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9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7~8</w:t>
            </w:r>
          </w:p>
        </w:tc>
      </w:tr>
    </w:tbl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4.3.6.2  湿度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采用洒水、弥雾等措施增加设施内的空气湿度，从子叶展平到成苗期，设施内空气湿度应保持在50%~60%，炼苗期降低至40%左右。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4.3.6.3  光照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</w:rPr>
      </w:pPr>
      <w:r>
        <w:rPr>
          <w:rFonts w:hint="eastAsia" w:ascii="Times New Roman"/>
        </w:rPr>
        <w:t>光照时数8</w:t>
      </w:r>
      <w:r>
        <w:rPr>
          <w:rFonts w:hint="eastAsia" w:ascii="Times New Roman"/>
          <w:lang w:val="en-US" w:eastAsia="zh-CN"/>
        </w:rPr>
        <w:t>h</w:t>
      </w:r>
      <w:r>
        <w:rPr>
          <w:rFonts w:ascii="Times New Roman"/>
        </w:rPr>
        <w:t>~1</w:t>
      </w:r>
      <w:r>
        <w:rPr>
          <w:rFonts w:hint="eastAsia" w:ascii="Times New Roman"/>
        </w:rPr>
        <w:t>0</w:t>
      </w:r>
      <w:r>
        <w:rPr>
          <w:rFonts w:ascii="Times New Roman"/>
        </w:rPr>
        <w:t>h</w:t>
      </w:r>
      <w:r>
        <w:rPr>
          <w:rFonts w:hint="eastAsia" w:ascii="Times New Roman"/>
        </w:rPr>
        <w:t>，防强光。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4.3.6.4  水肥</w:t>
      </w:r>
    </w:p>
    <w:p>
      <w:pPr>
        <w:pStyle w:val="52"/>
        <w:tabs>
          <w:tab w:val="center" w:pos="4201"/>
          <w:tab w:val="right" w:leader="dot" w:pos="9298"/>
        </w:tabs>
        <w:ind w:firstLine="0" w:firstLineChars="0"/>
        <w:rPr>
          <w:rFonts w:hint="eastAsia" w:ascii="Times New Roman"/>
        </w:rPr>
      </w:pPr>
      <w:r>
        <w:rPr>
          <w:rFonts w:hint="eastAsia" w:ascii="Times New Roman"/>
        </w:rPr>
        <w:t xml:space="preserve">    </w:t>
      </w:r>
      <w:r>
        <w:rPr>
          <w:rFonts w:ascii="Times New Roman"/>
        </w:rPr>
        <w:t>以控为主，促控结合</w:t>
      </w:r>
      <w:r>
        <w:rPr>
          <w:rFonts w:hint="eastAsia" w:ascii="Times New Roman"/>
        </w:rPr>
        <w:t>。子叶平展期至第</w:t>
      </w:r>
      <w:r>
        <w:rPr>
          <w:rFonts w:hint="eastAsia" w:ascii="Times New Roman"/>
        </w:rPr>
        <w:tab/>
      </w:r>
      <w:r>
        <w:rPr>
          <w:rFonts w:hint="eastAsia" w:ascii="Times New Roman"/>
        </w:rPr>
        <w:t>1片真叶生长期，基质相对含水量保持在50%~60%，成苗期为50%~80%，炼苗期为45%~55%，强光控水降温炼苗，如叶片萎蔫可适量叶面喷雾。当叶片瘦小、生长缓慢、叶色淡黄时，可用0.5%的磷酸二铵营养液进行页面喷施1</w:t>
      </w:r>
      <w:r>
        <w:rPr>
          <w:rFonts w:hint="eastAsia" w:ascii="Times New Roman"/>
          <w:lang w:eastAsia="zh-CN"/>
        </w:rPr>
        <w:t>次</w:t>
      </w:r>
      <w:r>
        <w:rPr>
          <w:rFonts w:hint="eastAsia" w:ascii="Times New Roman"/>
        </w:rPr>
        <w:t>~2次；若植株生长过旺，可叶面喷施0.2%的磷酸二氢钾营养液1</w:t>
      </w:r>
      <w:r>
        <w:rPr>
          <w:rFonts w:hint="eastAsia" w:ascii="Times New Roman"/>
          <w:lang w:eastAsia="zh-CN"/>
        </w:rPr>
        <w:t>次</w:t>
      </w:r>
      <w:r>
        <w:rPr>
          <w:rFonts w:hint="eastAsia" w:ascii="Times New Roman"/>
        </w:rPr>
        <w:t>~2次。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4.3.6.5  苗期病虫害防治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</w:rPr>
      </w:pPr>
      <w:r>
        <w:rPr>
          <w:rFonts w:hint="eastAsia" w:ascii="Times New Roman"/>
        </w:rPr>
        <w:t>苗期注意防治病毒病和蚜虫，药剂使用应符合</w:t>
      </w:r>
      <w:r>
        <w:t>GB/T 8321</w:t>
      </w:r>
      <w:r>
        <w:rPr>
          <w:rFonts w:hint="eastAsia"/>
        </w:rPr>
        <w:t>、</w:t>
      </w: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rFonts w:hint="eastAsia"/>
        </w:rPr>
        <w:t>的规定。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  定植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4.4.1  温室消毒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/>
        </w:rPr>
        <w:t>在定</w:t>
      </w:r>
      <w:r>
        <w:rPr>
          <w:rFonts w:ascii="Times New Roman"/>
        </w:rPr>
        <w:t>植前的温室休闲期，每100m</w:t>
      </w:r>
      <w:r>
        <w:rPr>
          <w:rFonts w:ascii="Times New Roman"/>
          <w:vertAlign w:val="superscript"/>
        </w:rPr>
        <w:t>2</w:t>
      </w:r>
      <w:r>
        <w:rPr>
          <w:rFonts w:ascii="Times New Roman"/>
        </w:rPr>
        <w:t>用100g硫磺粉、350g锯末，分成若干小堆，点燃后熏蒸消毒。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4.4.2  整地施肥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采用高垄或高畦栽培，垄作，</w:t>
      </w:r>
      <w:r>
        <w:rPr>
          <w:rFonts w:ascii="Times New Roman"/>
        </w:rPr>
        <w:t>垄宽</w:t>
      </w:r>
      <w:r>
        <w:rPr>
          <w:rFonts w:hint="eastAsia" w:ascii="Times New Roman"/>
        </w:rPr>
        <w:t>60</w:t>
      </w:r>
      <w:r>
        <w:rPr>
          <w:rFonts w:ascii="Times New Roman"/>
        </w:rPr>
        <w:t>cm~6</w:t>
      </w:r>
      <w:r>
        <w:rPr>
          <w:rFonts w:hint="eastAsia" w:ascii="Times New Roman"/>
        </w:rPr>
        <w:t>5</w:t>
      </w:r>
      <w:r>
        <w:rPr>
          <w:rFonts w:ascii="Times New Roman"/>
        </w:rPr>
        <w:t>cm，</w:t>
      </w:r>
      <w:r>
        <w:rPr>
          <w:rFonts w:hint="eastAsia" w:ascii="Times New Roman"/>
        </w:rPr>
        <w:t>畦作，畦宽1m~1.2</w:t>
      </w:r>
      <w:r>
        <w:rPr>
          <w:rFonts w:ascii="Times New Roman"/>
        </w:rPr>
        <w:t>m</w:t>
      </w:r>
      <w:r>
        <w:rPr>
          <w:rFonts w:hint="eastAsia" w:ascii="Times New Roman"/>
        </w:rPr>
        <w:t>，地膜覆盖采用软管滴灌。</w:t>
      </w:r>
      <w:r>
        <w:rPr>
          <w:rFonts w:ascii="Times New Roman"/>
        </w:rPr>
        <w:t>结合整地普施腐熟有机肥，每666.7m</w:t>
      </w:r>
      <w:r>
        <w:rPr>
          <w:rFonts w:ascii="Times New Roman"/>
          <w:vertAlign w:val="superscript"/>
        </w:rPr>
        <w:t>2</w:t>
      </w:r>
      <w:r>
        <w:rPr>
          <w:rFonts w:ascii="Times New Roman"/>
        </w:rPr>
        <w:t>施入5000</w:t>
      </w:r>
      <w:r>
        <w:rPr>
          <w:rFonts w:hint="eastAsia" w:ascii="Times New Roman"/>
        </w:rPr>
        <w:t>kg</w:t>
      </w:r>
      <w:r>
        <w:rPr>
          <w:rFonts w:ascii="Times New Roman"/>
        </w:rPr>
        <w:t>~10000kg</w:t>
      </w:r>
      <w:r>
        <w:rPr>
          <w:rFonts w:hint="eastAsia" w:ascii="Times New Roman"/>
        </w:rPr>
        <w:t>，磷酸二铵25kg，</w:t>
      </w:r>
      <w:r>
        <w:rPr>
          <w:rFonts w:ascii="Times New Roman"/>
        </w:rPr>
        <w:t>硫酸钾15kg</w:t>
      </w:r>
      <w:r>
        <w:rPr>
          <w:rFonts w:hint="eastAsia" w:ascii="Times New Roman"/>
        </w:rPr>
        <w:t>，肥料使用应符合</w:t>
      </w:r>
      <w:r>
        <w:t>NY/T 496</w:t>
      </w:r>
      <w:r>
        <w:rPr>
          <w:rFonts w:hint="eastAsia"/>
        </w:rPr>
        <w:t>的规定</w:t>
      </w:r>
      <w:r>
        <w:rPr>
          <w:rFonts w:hint="eastAsia"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4.4.3  定植番茄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4.4.3.1  定植时间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hint="eastAsia" w:ascii="Times New Roman"/>
        </w:rPr>
        <w:t>定植时间为八月中下旬</w:t>
      </w:r>
      <w:r>
        <w:rPr>
          <w:rFonts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4.4.3.2  方法和密度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</w:rPr>
      </w:pPr>
      <w:r>
        <w:rPr>
          <w:rFonts w:hint="eastAsia" w:ascii="Times New Roman"/>
        </w:rPr>
        <w:t>畦作或垄作，株距30</w:t>
      </w:r>
      <w:r>
        <w:rPr>
          <w:rFonts w:ascii="Times New Roman"/>
        </w:rPr>
        <w:t>cm~3</w:t>
      </w:r>
      <w:r>
        <w:rPr>
          <w:rFonts w:hint="eastAsia" w:ascii="Times New Roman"/>
        </w:rPr>
        <w:t>5</w:t>
      </w:r>
      <w:r>
        <w:rPr>
          <w:rFonts w:ascii="Times New Roman"/>
        </w:rPr>
        <w:t>cm</w:t>
      </w:r>
      <w:r>
        <w:rPr>
          <w:rFonts w:hint="eastAsia" w:ascii="Times New Roman"/>
        </w:rPr>
        <w:t>，行距100cm，</w:t>
      </w:r>
      <w:r>
        <w:rPr>
          <w:rFonts w:ascii="Times New Roman"/>
        </w:rPr>
        <w:t>定植深度为6</w:t>
      </w:r>
      <w:r>
        <w:rPr>
          <w:rFonts w:hint="eastAsia" w:ascii="Times New Roman"/>
        </w:rPr>
        <w:t>cm</w:t>
      </w:r>
      <w:r>
        <w:rPr>
          <w:rFonts w:ascii="Times New Roman"/>
        </w:rPr>
        <w:t>~8cm</w:t>
      </w:r>
      <w:r>
        <w:rPr>
          <w:rFonts w:hint="eastAsia" w:ascii="Times New Roman"/>
        </w:rPr>
        <w:t>，每667m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保苗1800</w:t>
      </w:r>
      <w:r>
        <w:rPr>
          <w:rFonts w:ascii="Times New Roman"/>
        </w:rPr>
        <w:t>株</w:t>
      </w:r>
      <w:r>
        <w:rPr>
          <w:rFonts w:hint="eastAsia" w:ascii="Times New Roman"/>
        </w:rPr>
        <w:t>~2200</w:t>
      </w:r>
      <w:r>
        <w:rPr>
          <w:rFonts w:ascii="Times New Roman"/>
        </w:rPr>
        <w:t>株</w:t>
      </w:r>
      <w:r>
        <w:rPr>
          <w:rFonts w:hint="eastAsia"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4.4.4  定植后管理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 xml:space="preserve">4.4.4.1  温度     </w:t>
      </w: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  <w:r>
        <w:rPr>
          <w:rFonts w:hint="eastAsia" w:ascii="Times New Roman"/>
        </w:rPr>
        <w:t>各阶段的温度管理指标见表2。</w:t>
      </w: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p>
      <w:pPr>
        <w:pStyle w:val="52"/>
        <w:tabs>
          <w:tab w:val="center" w:pos="4201"/>
          <w:tab w:val="right" w:leader="dot" w:pos="9298"/>
        </w:tabs>
        <w:adjustRightInd w:val="0"/>
        <w:snapToGrid w:val="0"/>
        <w:ind w:firstLine="840" w:firstLineChars="400"/>
        <w:rPr>
          <w:rFonts w:hint="eastAsia" w:ascii="Times New Roman"/>
        </w:rPr>
      </w:pPr>
    </w:p>
    <w:tbl>
      <w:tblPr>
        <w:tblStyle w:val="28"/>
        <w:tblpPr w:leftFromText="180" w:rightFromText="180" w:vertAnchor="text" w:horzAnchor="page" w:tblpX="1540" w:tblpY="468"/>
        <w:tblOverlap w:val="never"/>
        <w:tblW w:w="93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875"/>
        <w:gridCol w:w="1875"/>
        <w:gridCol w:w="27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气温（℃）</w:t>
            </w:r>
          </w:p>
        </w:tc>
        <w:tc>
          <w:tcPr>
            <w:tcW w:w="2790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地温（℃）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05" w:type="dxa"/>
            <w:vMerge w:val="continue"/>
            <w:tcBorders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昼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夜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bottom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缓苗期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12℃以上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幼苗生长期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20~25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13~15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15℃以上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开花坐果期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22~30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15~18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果实膨大期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25~28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15~18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20~</w:t>
            </w:r>
            <w:bookmarkStart w:id="6" w:name="_GoBack"/>
            <w:bookmarkEnd w:id="6"/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</w:tbl>
    <w:p>
      <w:pPr>
        <w:pStyle w:val="52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表2  番茄定植后温度管理指标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</w:p>
    <w:p>
      <w:pPr>
        <w:pStyle w:val="52"/>
        <w:tabs>
          <w:tab w:val="center" w:pos="4201"/>
          <w:tab w:val="right" w:leader="dot" w:pos="9298"/>
        </w:tabs>
        <w:ind w:firstLine="0" w:firstLineChars="0"/>
        <w:rPr>
          <w:rFonts w:ascii="Times New Roman"/>
        </w:rPr>
      </w:pPr>
      <w:r>
        <w:rPr>
          <w:rFonts w:hint="eastAsia" w:ascii="Times New Roman"/>
        </w:rPr>
        <w:t xml:space="preserve">     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 xml:space="preserve">4.4.4.2  肥水   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  <w:color w:val="FF0000"/>
        </w:rPr>
      </w:pPr>
      <w:r>
        <w:rPr>
          <w:rFonts w:ascii="Times New Roman"/>
        </w:rPr>
        <w:t>浇</w:t>
      </w:r>
      <w:r>
        <w:rPr>
          <w:rFonts w:hint="eastAsia" w:ascii="Times New Roman"/>
        </w:rPr>
        <w:t>透</w:t>
      </w:r>
      <w:r>
        <w:rPr>
          <w:rFonts w:ascii="Times New Roman"/>
        </w:rPr>
        <w:t>缓苗水，第</w:t>
      </w:r>
      <w:r>
        <w:rPr>
          <w:rFonts w:hint="eastAsia" w:ascii="Times New Roman"/>
        </w:rPr>
        <w:t>一</w:t>
      </w:r>
      <w:r>
        <w:rPr>
          <w:rFonts w:ascii="Times New Roman"/>
        </w:rPr>
        <w:t>穗果</w:t>
      </w:r>
      <w:r>
        <w:rPr>
          <w:rFonts w:hint="eastAsia" w:ascii="Times New Roman"/>
        </w:rPr>
        <w:t>座果15d左右时</w:t>
      </w:r>
      <w:r>
        <w:rPr>
          <w:rFonts w:ascii="Times New Roman"/>
        </w:rPr>
        <w:t>，浇</w:t>
      </w:r>
      <w:r>
        <w:rPr>
          <w:rFonts w:hint="eastAsia" w:ascii="Times New Roman"/>
        </w:rPr>
        <w:t>第一次大水，</w:t>
      </w:r>
      <w:r>
        <w:rPr>
          <w:rFonts w:ascii="Times New Roman"/>
        </w:rPr>
        <w:t>第</w:t>
      </w:r>
      <w:r>
        <w:rPr>
          <w:rFonts w:hint="eastAsia" w:ascii="Times New Roman"/>
        </w:rPr>
        <w:t>一</w:t>
      </w:r>
      <w:r>
        <w:rPr>
          <w:rFonts w:ascii="Times New Roman"/>
        </w:rPr>
        <w:t>穗果</w:t>
      </w:r>
      <w:r>
        <w:rPr>
          <w:rFonts w:hint="eastAsia" w:ascii="Times New Roman"/>
        </w:rPr>
        <w:t>变</w:t>
      </w:r>
      <w:r>
        <w:rPr>
          <w:rFonts w:ascii="Times New Roman"/>
        </w:rPr>
        <w:t>白时，浇第</w:t>
      </w:r>
      <w:r>
        <w:rPr>
          <w:rFonts w:hint="eastAsia" w:ascii="Times New Roman"/>
        </w:rPr>
        <w:t>二</w:t>
      </w:r>
      <w:r>
        <w:rPr>
          <w:rFonts w:ascii="Times New Roman"/>
        </w:rPr>
        <w:t>次</w:t>
      </w:r>
      <w:r>
        <w:rPr>
          <w:rFonts w:hint="eastAsia" w:ascii="Times New Roman"/>
        </w:rPr>
        <w:t>大</w:t>
      </w:r>
      <w:r>
        <w:rPr>
          <w:rFonts w:ascii="Times New Roman"/>
        </w:rPr>
        <w:t xml:space="preserve">水。 </w:t>
      </w:r>
      <w:r>
        <w:rPr>
          <w:rFonts w:hint="eastAsia" w:ascii="Times New Roman"/>
        </w:rPr>
        <w:t>结合浇水追肥2次，高钾水溶性冲施肥10</w:t>
      </w:r>
      <w:r>
        <w:rPr>
          <w:rFonts w:hint="eastAsia" w:ascii="Times New Roman"/>
          <w:lang w:val="en-US" w:eastAsia="zh-CN"/>
        </w:rPr>
        <w:t>kg</w:t>
      </w:r>
      <w:r>
        <w:rPr>
          <w:rFonts w:hint="eastAsia" w:ascii="Times New Roman"/>
        </w:rPr>
        <w:t>~20kg，肥料应符合</w:t>
      </w:r>
      <w:r>
        <w:t>NY/T 496</w:t>
      </w:r>
      <w:r>
        <w:rPr>
          <w:rFonts w:hint="eastAsia"/>
        </w:rPr>
        <w:t>的规定</w:t>
      </w:r>
      <w:r>
        <w:rPr>
          <w:rFonts w:hint="eastAsia" w:ascii="Times New Roman"/>
        </w:rPr>
        <w:t>，可采用二氧化碳气体施肥。</w:t>
      </w:r>
      <w:r>
        <w:rPr>
          <w:rFonts w:hint="eastAsia" w:ascii="Times New Roman"/>
          <w:color w:val="FF0000"/>
        </w:rPr>
        <w:t xml:space="preserve">    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4.4.4.3  光照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采取悬挂反光幕、清洁棚膜等措施保证充足的光照</w:t>
      </w:r>
      <w:r>
        <w:rPr>
          <w:rFonts w:hint="eastAsia" w:ascii="Times New Roman"/>
        </w:rPr>
        <w:t>，必要时采取补光措施</w:t>
      </w:r>
      <w:r>
        <w:rPr>
          <w:rFonts w:ascii="Times New Roma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4.4.4.4  植株调整</w:t>
      </w:r>
    </w:p>
    <w:p>
      <w:pPr>
        <w:pStyle w:val="52"/>
        <w:tabs>
          <w:tab w:val="center" w:pos="4201"/>
          <w:tab w:val="right" w:leader="dot" w:pos="9298"/>
        </w:tabs>
        <w:rPr>
          <w:rFonts w:hint="eastAsia" w:ascii="Times New Roman"/>
        </w:rPr>
      </w:pPr>
      <w:r>
        <w:rPr>
          <w:rFonts w:hint="eastAsia" w:ascii="Times New Roman"/>
        </w:rPr>
        <w:t>单干整枝，及时疏花、摘叶。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4.4.4.5  防落花落果、降低畸形果率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hint="eastAsia" w:ascii="Times New Roman"/>
        </w:rPr>
        <w:t>用</w:t>
      </w:r>
      <w:r>
        <w:rPr>
          <w:rFonts w:hint="eastAsia" w:ascii="Times New Roman"/>
          <w:lang w:eastAsia="zh-CN"/>
        </w:rPr>
        <w:t>番茄灵（对</w:t>
      </w:r>
      <w:r>
        <w:rPr>
          <w:rFonts w:hint="eastAsia" w:ascii="Times New Roman"/>
          <w:lang w:val="en-US" w:eastAsia="zh-CN"/>
        </w:rPr>
        <w:t>-氯苯氧乙酸</w:t>
      </w:r>
      <w:r>
        <w:rPr>
          <w:rFonts w:hint="eastAsia" w:ascii="Times New Roman"/>
          <w:lang w:eastAsia="zh-CN"/>
        </w:rPr>
        <w:t>）</w:t>
      </w:r>
      <w:r>
        <w:rPr>
          <w:rFonts w:hint="eastAsia" w:ascii="Times New Roman"/>
        </w:rPr>
        <w:t>保花，浓度为20mg/L~30mg/L，药剂使用应符合</w:t>
      </w:r>
      <w:r>
        <w:t>GB/T 8321</w:t>
      </w:r>
      <w:r>
        <w:rPr>
          <w:rFonts w:hint="eastAsia"/>
        </w:rPr>
        <w:t>、</w:t>
      </w: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rFonts w:hint="eastAsia" w:ascii="Times New Roman"/>
        </w:rPr>
        <w:t>的规定。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eastAsia"/>
        </w:rPr>
        <w:t>5  主要</w:t>
      </w:r>
      <w:r>
        <w:t>病</w:t>
      </w:r>
      <w:r>
        <w:rPr>
          <w:rFonts w:hint="eastAsia"/>
        </w:rPr>
        <w:t>虫</w:t>
      </w:r>
      <w:r>
        <w:t>害防治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5.1  农业综合防治 </w:t>
      </w:r>
    </w:p>
    <w:p>
      <w:pPr>
        <w:pStyle w:val="52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与非茄科作物实行三年以上轮作。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5.2  物理防治</w:t>
      </w:r>
    </w:p>
    <w:p>
      <w:pPr>
        <w:pStyle w:val="55"/>
        <w:numPr>
          <w:ilvl w:val="2"/>
          <w:numId w:val="0"/>
        </w:numPr>
        <w:spacing w:before="156" w:after="156"/>
        <w:ind w:firstLine="420" w:firstLineChars="200"/>
        <w:rPr>
          <w:rFonts w:hint="eastAsia"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可采用黄蓝板诱杀、银灰膜驱避、设施防护、设施消毒等方法。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5.3  化学防治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5.3.1  基本要求</w:t>
      </w:r>
    </w:p>
    <w:p>
      <w:pPr>
        <w:snapToGrid w:val="0"/>
        <w:ind w:firstLine="420" w:firstLineChars="200"/>
        <w:rPr>
          <w:rFonts w:hint="eastAsia"/>
          <w:szCs w:val="21"/>
        </w:rPr>
      </w:pPr>
      <w:r>
        <w:rPr>
          <w:szCs w:val="21"/>
        </w:rPr>
        <w:t>使用药剂应符合</w:t>
      </w:r>
      <w:r>
        <w:t>GB/T 8321</w:t>
      </w:r>
      <w:r>
        <w:rPr>
          <w:rFonts w:hint="eastAsia"/>
        </w:rPr>
        <w:t>、</w:t>
      </w:r>
      <w:r>
        <w:t xml:space="preserve">NY/T </w:t>
      </w:r>
      <w:r>
        <w:rPr>
          <w:rFonts w:hint="eastAsia"/>
        </w:rPr>
        <w:t>127</w:t>
      </w:r>
      <w:r>
        <w:t>6</w:t>
      </w:r>
      <w:r>
        <w:rPr>
          <w:szCs w:val="21"/>
        </w:rPr>
        <w:t>的要求</w:t>
      </w:r>
      <w:r>
        <w:rPr>
          <w:rFonts w:hint="eastAsia"/>
          <w:szCs w:val="21"/>
        </w:rPr>
        <w:t xml:space="preserve">。 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5.3.2  真菌性病害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5.3.2.1  番茄晚疫病</w:t>
      </w:r>
    </w:p>
    <w:p>
      <w:pPr>
        <w:snapToGrid w:val="0"/>
        <w:ind w:firstLine="420" w:firstLineChars="200"/>
        <w:rPr>
          <w:rFonts w:hint="eastAsia"/>
        </w:rPr>
      </w:pPr>
      <w:r>
        <w:rPr>
          <w:rFonts w:hint="eastAsia"/>
        </w:rPr>
        <w:t>使用精甲霜灵·锰锌可湿性粉剂</w:t>
      </w:r>
      <w:r>
        <w:rPr>
          <w:rFonts w:hint="eastAsia"/>
          <w:lang w:eastAsia="zh-CN"/>
        </w:rPr>
        <w:t>或</w:t>
      </w:r>
      <w:r>
        <w:rPr>
          <w:rFonts w:hint="eastAsia"/>
        </w:rPr>
        <w:t>烯酰吗啉·锰锌可湿</w:t>
      </w:r>
      <w:r>
        <w:rPr>
          <w:rFonts w:hint="eastAsia"/>
          <w:lang w:eastAsia="zh-CN"/>
        </w:rPr>
        <w:t>性粉剂</w:t>
      </w:r>
      <w:r>
        <w:rPr>
          <w:rFonts w:hint="eastAsia"/>
        </w:rPr>
        <w:t>叶面喷雾。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5.3.2.2  番茄早疫病</w:t>
      </w:r>
    </w:p>
    <w:p>
      <w:pPr>
        <w:pStyle w:val="55"/>
        <w:numPr>
          <w:ilvl w:val="2"/>
          <w:numId w:val="0"/>
        </w:numPr>
        <w:spacing w:before="0" w:beforeLines="0" w:after="0" w:afterLines="0"/>
        <w:ind w:firstLine="420" w:firstLineChars="200"/>
        <w:rPr>
          <w:rFonts w:hint="eastAsia"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使用异菌脲可湿性粉剂叶面喷雾，发病初期喷药。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</w:rPr>
      </w:pPr>
      <w:r>
        <w:rPr>
          <w:rFonts w:hint="eastAsia"/>
          <w:szCs w:val="22"/>
        </w:rPr>
        <w:t>5.3.2.3  番茄灰霉病</w:t>
      </w:r>
    </w:p>
    <w:p>
      <w:pPr>
        <w:snapToGrid w:val="0"/>
        <w:ind w:firstLine="420" w:firstLineChars="200"/>
        <w:rPr>
          <w:rFonts w:hint="eastAsia"/>
          <w:kern w:val="0"/>
          <w:szCs w:val="22"/>
        </w:rPr>
      </w:pPr>
      <w:r>
        <w:rPr>
          <w:rFonts w:hint="eastAsia"/>
          <w:kern w:val="0"/>
          <w:szCs w:val="22"/>
        </w:rPr>
        <w:t>用啶酰菌胺+菌核净叶面喷雾或嘧霉安悬浮剂喷雾防治。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5.3.2.4  番茄叶霉病</w:t>
      </w:r>
    </w:p>
    <w:p>
      <w:pPr>
        <w:snapToGrid w:val="0"/>
        <w:ind w:firstLine="420" w:firstLineChars="200"/>
        <w:rPr>
          <w:rFonts w:hint="eastAsia"/>
          <w:kern w:val="0"/>
          <w:szCs w:val="22"/>
          <w:lang w:val="en-US" w:eastAsia="zh-CN"/>
        </w:rPr>
      </w:pPr>
      <w:r>
        <w:rPr>
          <w:rFonts w:hint="eastAsia"/>
          <w:kern w:val="0"/>
          <w:szCs w:val="22"/>
          <w:lang w:val="en-US" w:eastAsia="zh-CN"/>
        </w:rPr>
        <w:t>用力克悬浮剂或扑海因悬浮剂喷雾。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5.3.3  细菌性病害</w:t>
      </w:r>
    </w:p>
    <w:p>
      <w:pPr>
        <w:pStyle w:val="55"/>
        <w:numPr>
          <w:ilvl w:val="2"/>
          <w:numId w:val="0"/>
        </w:numPr>
        <w:spacing w:before="0" w:beforeLines="0" w:after="0" w:afterLines="0"/>
        <w:ind w:firstLine="420" w:firstLineChars="200"/>
        <w:rPr>
          <w:rFonts w:hint="eastAsia" w:ascii="Times New Roman" w:eastAsia="宋体"/>
          <w:color w:val="FF0000"/>
          <w:szCs w:val="22"/>
        </w:rPr>
      </w:pPr>
      <w:r>
        <w:rPr>
          <w:rFonts w:hint="eastAsia" w:ascii="Times New Roman" w:eastAsia="宋体"/>
          <w:szCs w:val="22"/>
        </w:rPr>
        <w:t>用噻菌铜悬浮剂</w:t>
      </w:r>
      <w:r>
        <w:rPr>
          <w:rFonts w:hint="eastAsia" w:eastAsia="宋体"/>
          <w:szCs w:val="22"/>
          <w:lang w:eastAsia="zh-CN"/>
        </w:rPr>
        <w:t>或</w:t>
      </w:r>
      <w:r>
        <w:rPr>
          <w:rFonts w:hint="eastAsia" w:ascii="Times New Roman" w:eastAsia="宋体"/>
          <w:szCs w:val="22"/>
        </w:rPr>
        <w:t>中生菌素水剂</w:t>
      </w:r>
      <w:r>
        <w:rPr>
          <w:rFonts w:hint="eastAsia" w:eastAsia="宋体"/>
          <w:szCs w:val="22"/>
          <w:lang w:eastAsia="zh-CN"/>
        </w:rPr>
        <w:t>或</w:t>
      </w:r>
      <w:r>
        <w:rPr>
          <w:rFonts w:hint="eastAsia" w:ascii="Times New Roman" w:eastAsia="宋体"/>
          <w:szCs w:val="22"/>
        </w:rPr>
        <w:t>辛菌胺醋酸盐水剂喷雾。</w:t>
      </w:r>
      <w:r>
        <w:rPr>
          <w:rFonts w:hint="eastAsia" w:ascii="Times New Roman" w:eastAsia="宋体"/>
          <w:color w:val="FF0000"/>
          <w:szCs w:val="22"/>
        </w:rPr>
        <w:t xml:space="preserve">  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5.3.4 虫害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color w:val="auto"/>
          <w:kern w:val="0"/>
          <w:szCs w:val="22"/>
          <w:lang w:eastAsia="zh-CN"/>
        </w:rPr>
      </w:pPr>
      <w:r>
        <w:rPr>
          <w:rFonts w:hint="eastAsia" w:cs="Times New Roman"/>
          <w:kern w:val="0"/>
          <w:sz w:val="21"/>
          <w:szCs w:val="22"/>
          <w:lang w:val="en-US" w:eastAsia="zh-CN" w:bidi="ar-SA"/>
        </w:rPr>
        <w:t>防治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蚜虫</w:t>
      </w:r>
      <w:r>
        <w:rPr>
          <w:rFonts w:hint="eastAsia" w:cs="Times New Roman"/>
          <w:kern w:val="0"/>
          <w:sz w:val="21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使用</w:t>
      </w:r>
      <w:r>
        <w:rPr>
          <w:rFonts w:hint="eastAsia"/>
          <w:kern w:val="0"/>
          <w:szCs w:val="22"/>
        </w:rPr>
        <w:t>苦参碱水剂喷雾或吡虫啉可湿性粉剂喷雾</w:t>
      </w:r>
      <w:r>
        <w:rPr>
          <w:rFonts w:hint="eastAsia"/>
          <w:color w:val="auto"/>
          <w:kern w:val="0"/>
          <w:szCs w:val="22"/>
        </w:rPr>
        <w:t>；</w:t>
      </w:r>
      <w:r>
        <w:rPr>
          <w:rFonts w:hint="eastAsia"/>
          <w:color w:val="auto"/>
          <w:kern w:val="0"/>
          <w:szCs w:val="22"/>
          <w:lang w:eastAsia="zh-CN"/>
        </w:rPr>
        <w:t>防治</w:t>
      </w:r>
      <w:r>
        <w:rPr>
          <w:rFonts w:hint="eastAsia"/>
          <w:color w:val="auto"/>
          <w:kern w:val="0"/>
          <w:szCs w:val="22"/>
        </w:rPr>
        <w:t>潜叶蝇</w:t>
      </w:r>
      <w:r>
        <w:rPr>
          <w:rFonts w:hint="eastAsia"/>
          <w:color w:val="auto"/>
          <w:kern w:val="0"/>
          <w:szCs w:val="22"/>
          <w:lang w:eastAsia="zh-CN"/>
        </w:rPr>
        <w:t>，使</w:t>
      </w:r>
      <w:r>
        <w:rPr>
          <w:rFonts w:hint="eastAsia"/>
          <w:color w:val="auto"/>
          <w:kern w:val="0"/>
          <w:szCs w:val="22"/>
        </w:rPr>
        <w:t>用灭蝇胺可湿性粉剂喷施</w:t>
      </w:r>
      <w:r>
        <w:rPr>
          <w:rFonts w:hint="eastAsia"/>
          <w:color w:val="auto"/>
          <w:kern w:val="0"/>
          <w:szCs w:val="22"/>
          <w:lang w:eastAsia="zh-CN"/>
        </w:rPr>
        <w:t>；防治</w:t>
      </w:r>
      <w:r>
        <w:rPr>
          <w:rFonts w:hint="eastAsia"/>
          <w:color w:val="auto"/>
          <w:kern w:val="0"/>
          <w:szCs w:val="22"/>
        </w:rPr>
        <w:t>白粉虱</w:t>
      </w:r>
      <w:r>
        <w:rPr>
          <w:rFonts w:hint="eastAsia"/>
          <w:color w:val="auto"/>
          <w:kern w:val="0"/>
          <w:szCs w:val="22"/>
          <w:lang w:eastAsia="zh-CN"/>
        </w:rPr>
        <w:t>，使</w:t>
      </w:r>
      <w:r>
        <w:rPr>
          <w:rFonts w:hint="eastAsia"/>
          <w:color w:val="auto"/>
          <w:kern w:val="0"/>
          <w:szCs w:val="22"/>
        </w:rPr>
        <w:t>用阿维菌素乳油或吡虫啉可湿性粉剂喷雾</w:t>
      </w:r>
      <w:r>
        <w:rPr>
          <w:rFonts w:hint="eastAsia"/>
          <w:color w:val="auto"/>
          <w:kern w:val="0"/>
          <w:szCs w:val="22"/>
          <w:lang w:eastAsia="zh-CN"/>
        </w:rPr>
        <w:t>。</w:t>
      </w:r>
    </w:p>
    <w:p>
      <w:pPr>
        <w:pStyle w:val="53"/>
        <w:numPr>
          <w:ilvl w:val="0"/>
          <w:numId w:val="0"/>
        </w:numPr>
        <w:spacing w:before="156" w:beforeLines="50" w:after="156" w:afterLines="5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5.3.5  病毒病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使用盐酸吗啉胍可湿性粉剂或宁南霉素水剂</w:t>
      </w:r>
      <w:r>
        <w:rPr>
          <w:rFonts w:hint="eastAsia"/>
          <w:szCs w:val="22"/>
        </w:rPr>
        <w:t>叶面喷雾</w:t>
      </w:r>
      <w:r>
        <w:rPr>
          <w:rFonts w:hint="eastAsia"/>
        </w:rPr>
        <w:t>。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  采收</w:t>
      </w:r>
    </w:p>
    <w:p>
      <w:pPr>
        <w:pStyle w:val="54"/>
        <w:numPr>
          <w:ilvl w:val="0"/>
          <w:numId w:val="0"/>
        </w:numPr>
        <w:spacing w:before="0" w:beforeLines="0" w:after="0" w:afterLines="0"/>
        <w:ind w:firstLine="420" w:firstLineChars="200"/>
        <w:rPr>
          <w:rFonts w:hint="eastAsia"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适时采收。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eastAsia"/>
        </w:rPr>
        <w:t>7  生产档案</w:t>
      </w:r>
    </w:p>
    <w:p>
      <w:pPr>
        <w:pStyle w:val="52"/>
        <w:tabs>
          <w:tab w:val="center" w:pos="4201"/>
          <w:tab w:val="right" w:leader="dot" w:pos="9298"/>
        </w:tabs>
      </w:pPr>
      <w:r>
        <w:rPr>
          <w:rFonts w:ascii="Times New Roman"/>
        </w:rPr>
        <w:t>建立生产档案，</w:t>
      </w:r>
      <w:r>
        <w:rPr>
          <w:rFonts w:hint="eastAsia" w:ascii="Times New Roman"/>
        </w:rPr>
        <w:t>内容包括农药使用规范、肥料使用规范等，并对产地环境、设施的选择、品种的选择、育苗、定植时期、定植及定植后管理、病虫害防治</w:t>
      </w:r>
      <w:r>
        <w:rPr>
          <w:rFonts w:ascii="Times New Roman"/>
        </w:rPr>
        <w:t>等环节所采取的措施进行详细记录</w:t>
      </w:r>
      <w:r>
        <w:rPr>
          <w:rFonts w:hint="eastAsia" w:ascii="Times New Roman"/>
        </w:rPr>
        <w:t>。</w:t>
      </w:r>
    </w:p>
    <w:p>
      <w:pPr>
        <w:pStyle w:val="52"/>
        <w:tabs>
          <w:tab w:val="center" w:pos="4201"/>
          <w:tab w:val="right" w:leader="dot" w:pos="9298"/>
        </w:tabs>
        <w:jc w:val="center"/>
        <w:rPr>
          <w:rFonts w:hint="eastAsia"/>
        </w:rPr>
      </w:pPr>
    </w:p>
    <w:bookmarkEnd w:id="2"/>
    <w:p>
      <w:pPr>
        <w:pStyle w:val="52"/>
        <w:ind w:left="0" w:leftChars="0" w:firstLine="0" w:firstLineChars="0"/>
        <w:jc w:val="center"/>
      </w:pPr>
      <w:r>
        <w:rPr>
          <w:rFonts w:hAnsi="宋体"/>
          <w:kern w:val="2"/>
          <w:szCs w:val="21"/>
        </w:rPr>
        <w:pict>
          <v:shape id="_x0000_s1040" o:spid="_x0000_s1040" o:spt="32" type="#_x0000_t32" style="position:absolute;left:0pt;margin-left:156.65pt;margin-top:6.15pt;height:0pt;width:157.5pt;z-index:251670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pStyle w:val="52"/>
        <w:ind w:firstLine="420"/>
        <w:jc w:val="center"/>
      </w:pPr>
    </w:p>
    <w:p>
      <w:pPr>
        <w:pStyle w:val="52"/>
        <w:ind w:firstLine="420"/>
      </w:pPr>
    </w:p>
    <w:p>
      <w:pPr>
        <w:pStyle w:val="52"/>
        <w:ind w:firstLine="420"/>
      </w:pPr>
    </w:p>
    <w:p>
      <w:pPr>
        <w:pStyle w:val="52"/>
        <w:ind w:firstLine="420"/>
      </w:pPr>
    </w:p>
    <w:p>
      <w:pPr>
        <w:pStyle w:val="52"/>
        <w:ind w:firstLine="420"/>
      </w:pPr>
    </w:p>
    <w:p>
      <w:pPr>
        <w:pStyle w:val="52"/>
        <w:ind w:firstLine="420"/>
      </w:pPr>
    </w:p>
    <w:p>
      <w:pPr>
        <w:pStyle w:val="52"/>
        <w:ind w:firstLine="420"/>
      </w:pPr>
    </w:p>
    <w:p>
      <w:pPr>
        <w:pStyle w:val="52"/>
        <w:ind w:firstLine="420"/>
      </w:pPr>
    </w:p>
    <w:sectPr>
      <w:footerReference r:id="rId11" w:type="default"/>
      <w:pgSz w:w="11907" w:h="16839"/>
      <w:pgMar w:top="1418" w:right="1134" w:bottom="1134" w:left="1418" w:header="1418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1</w:t>
    </w:r>
    <w:r>
      <w:rPr>
        <w:rStyle w:val="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I</w:t>
    </w:r>
    <w:r>
      <w:rPr>
        <w:rStyle w:val="3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4</w:t>
    </w:r>
    <w:r>
      <w:rPr>
        <w:rStyle w:val="31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</w:pPr>
    <w:r>
      <w:t>DB23/T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Fonts w:ascii="黑体" w:hAnsi="黑体" w:eastAsia="黑体"/>
      </w:rPr>
    </w:pPr>
    <w:r>
      <w:rPr>
        <w:rFonts w:ascii="黑体" w:hAnsi="黑体" w:eastAsia="黑体"/>
      </w:rPr>
      <w:t>DB23/T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F7D"/>
    <w:multiLevelType w:val="multilevel"/>
    <w:tmpl w:val="46806F7D"/>
    <w:lvl w:ilvl="0" w:tentative="0">
      <w:start w:val="1"/>
      <w:numFmt w:val="none"/>
      <w:pStyle w:val="7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D22D8F"/>
    <w:multiLevelType w:val="multilevel"/>
    <w:tmpl w:val="46D22D8F"/>
    <w:lvl w:ilvl="0" w:tentative="0">
      <w:start w:val="1"/>
      <w:numFmt w:val="none"/>
      <w:pStyle w:val="99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302902"/>
    <w:multiLevelType w:val="multilevel"/>
    <w:tmpl w:val="4F302902"/>
    <w:lvl w:ilvl="0" w:tentative="0">
      <w:start w:val="1"/>
      <w:numFmt w:val="none"/>
      <w:pStyle w:val="6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350366A"/>
    <w:multiLevelType w:val="multilevel"/>
    <w:tmpl w:val="6350366A"/>
    <w:lvl w:ilvl="0" w:tentative="0">
      <w:start w:val="1"/>
      <w:numFmt w:val="none"/>
      <w:pStyle w:val="80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4"/>
      <w:suff w:val="nothing"/>
      <w:lvlText w:val="%1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7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78E"/>
    <w:rsid w:val="00027883"/>
    <w:rsid w:val="000578B1"/>
    <w:rsid w:val="000937EC"/>
    <w:rsid w:val="00097120"/>
    <w:rsid w:val="000A7046"/>
    <w:rsid w:val="000B2C4A"/>
    <w:rsid w:val="000C0E2F"/>
    <w:rsid w:val="000E6146"/>
    <w:rsid w:val="000E6A91"/>
    <w:rsid w:val="0011438F"/>
    <w:rsid w:val="00152C06"/>
    <w:rsid w:val="001A1CF9"/>
    <w:rsid w:val="001A7A07"/>
    <w:rsid w:val="001B4445"/>
    <w:rsid w:val="001C3AF4"/>
    <w:rsid w:val="001C54C7"/>
    <w:rsid w:val="001E115A"/>
    <w:rsid w:val="001E4B1E"/>
    <w:rsid w:val="001F0397"/>
    <w:rsid w:val="00234A82"/>
    <w:rsid w:val="00236E84"/>
    <w:rsid w:val="00250311"/>
    <w:rsid w:val="00294A72"/>
    <w:rsid w:val="002A5876"/>
    <w:rsid w:val="002B2FE2"/>
    <w:rsid w:val="002B7C93"/>
    <w:rsid w:val="003112A1"/>
    <w:rsid w:val="003366AF"/>
    <w:rsid w:val="00341854"/>
    <w:rsid w:val="0036321B"/>
    <w:rsid w:val="003E7697"/>
    <w:rsid w:val="003E78BA"/>
    <w:rsid w:val="00407322"/>
    <w:rsid w:val="00414F89"/>
    <w:rsid w:val="00417B78"/>
    <w:rsid w:val="00423700"/>
    <w:rsid w:val="00424C89"/>
    <w:rsid w:val="00430BF2"/>
    <w:rsid w:val="00445D92"/>
    <w:rsid w:val="00461A03"/>
    <w:rsid w:val="0046785A"/>
    <w:rsid w:val="0047100B"/>
    <w:rsid w:val="00497544"/>
    <w:rsid w:val="004A2AB9"/>
    <w:rsid w:val="004A4D6D"/>
    <w:rsid w:val="004B5781"/>
    <w:rsid w:val="004C39FB"/>
    <w:rsid w:val="00500BD0"/>
    <w:rsid w:val="00502F31"/>
    <w:rsid w:val="00503AC1"/>
    <w:rsid w:val="00506DEF"/>
    <w:rsid w:val="00516317"/>
    <w:rsid w:val="00517AC1"/>
    <w:rsid w:val="00521AB9"/>
    <w:rsid w:val="00551D1C"/>
    <w:rsid w:val="00555CBD"/>
    <w:rsid w:val="005777CB"/>
    <w:rsid w:val="0058012F"/>
    <w:rsid w:val="0058187C"/>
    <w:rsid w:val="00585E73"/>
    <w:rsid w:val="005B4186"/>
    <w:rsid w:val="005C53FA"/>
    <w:rsid w:val="005D2915"/>
    <w:rsid w:val="005F51F1"/>
    <w:rsid w:val="005F7CA8"/>
    <w:rsid w:val="00614AC8"/>
    <w:rsid w:val="00626B39"/>
    <w:rsid w:val="00657557"/>
    <w:rsid w:val="006649DC"/>
    <w:rsid w:val="006B074F"/>
    <w:rsid w:val="006C20E9"/>
    <w:rsid w:val="006C2451"/>
    <w:rsid w:val="006D1EAE"/>
    <w:rsid w:val="006D25AF"/>
    <w:rsid w:val="006D6665"/>
    <w:rsid w:val="006E1295"/>
    <w:rsid w:val="006F507C"/>
    <w:rsid w:val="00714380"/>
    <w:rsid w:val="00721DC6"/>
    <w:rsid w:val="007361BC"/>
    <w:rsid w:val="0075389E"/>
    <w:rsid w:val="00782C91"/>
    <w:rsid w:val="00782EA8"/>
    <w:rsid w:val="00784F6A"/>
    <w:rsid w:val="007A3471"/>
    <w:rsid w:val="007A3935"/>
    <w:rsid w:val="007A39EE"/>
    <w:rsid w:val="007C6CE4"/>
    <w:rsid w:val="007D0005"/>
    <w:rsid w:val="00806F81"/>
    <w:rsid w:val="0083093F"/>
    <w:rsid w:val="0083178E"/>
    <w:rsid w:val="00852E0C"/>
    <w:rsid w:val="0086158D"/>
    <w:rsid w:val="00864CEB"/>
    <w:rsid w:val="00876981"/>
    <w:rsid w:val="00894A55"/>
    <w:rsid w:val="00897CA0"/>
    <w:rsid w:val="008A79A2"/>
    <w:rsid w:val="008C330C"/>
    <w:rsid w:val="008C7E4F"/>
    <w:rsid w:val="008D5BD9"/>
    <w:rsid w:val="008E0EE5"/>
    <w:rsid w:val="008F65AC"/>
    <w:rsid w:val="00907D57"/>
    <w:rsid w:val="00921801"/>
    <w:rsid w:val="00943739"/>
    <w:rsid w:val="00951E7B"/>
    <w:rsid w:val="00954EA0"/>
    <w:rsid w:val="0099558C"/>
    <w:rsid w:val="009966C7"/>
    <w:rsid w:val="009A17B8"/>
    <w:rsid w:val="009B0E19"/>
    <w:rsid w:val="009C5EA5"/>
    <w:rsid w:val="009C6A49"/>
    <w:rsid w:val="009F117F"/>
    <w:rsid w:val="00A04219"/>
    <w:rsid w:val="00A12359"/>
    <w:rsid w:val="00A2780D"/>
    <w:rsid w:val="00A31AA7"/>
    <w:rsid w:val="00A35CD5"/>
    <w:rsid w:val="00A56B87"/>
    <w:rsid w:val="00A65305"/>
    <w:rsid w:val="00AA58FF"/>
    <w:rsid w:val="00AD2D45"/>
    <w:rsid w:val="00AF2701"/>
    <w:rsid w:val="00B06CB4"/>
    <w:rsid w:val="00B22BC7"/>
    <w:rsid w:val="00B30CF1"/>
    <w:rsid w:val="00B368E3"/>
    <w:rsid w:val="00B46CBE"/>
    <w:rsid w:val="00B77DC5"/>
    <w:rsid w:val="00B80D03"/>
    <w:rsid w:val="00B82A67"/>
    <w:rsid w:val="00BB4802"/>
    <w:rsid w:val="00BB7D97"/>
    <w:rsid w:val="00BD0935"/>
    <w:rsid w:val="00BE641E"/>
    <w:rsid w:val="00BF4936"/>
    <w:rsid w:val="00C2128B"/>
    <w:rsid w:val="00C36E56"/>
    <w:rsid w:val="00C5573B"/>
    <w:rsid w:val="00C903E3"/>
    <w:rsid w:val="00CC1268"/>
    <w:rsid w:val="00CC6532"/>
    <w:rsid w:val="00CD39BC"/>
    <w:rsid w:val="00CD7AB4"/>
    <w:rsid w:val="00CE0F5B"/>
    <w:rsid w:val="00CF3518"/>
    <w:rsid w:val="00CF62CB"/>
    <w:rsid w:val="00D01A63"/>
    <w:rsid w:val="00D331FC"/>
    <w:rsid w:val="00D36A7F"/>
    <w:rsid w:val="00D54ECD"/>
    <w:rsid w:val="00D67A9F"/>
    <w:rsid w:val="00DA0DB5"/>
    <w:rsid w:val="00DB25FC"/>
    <w:rsid w:val="00DB5850"/>
    <w:rsid w:val="00DF56ED"/>
    <w:rsid w:val="00E07B21"/>
    <w:rsid w:val="00E157EB"/>
    <w:rsid w:val="00E177DD"/>
    <w:rsid w:val="00E4042B"/>
    <w:rsid w:val="00E61F51"/>
    <w:rsid w:val="00E63D04"/>
    <w:rsid w:val="00E75D22"/>
    <w:rsid w:val="00E766A6"/>
    <w:rsid w:val="00E76E96"/>
    <w:rsid w:val="00EA2427"/>
    <w:rsid w:val="00EA7E8B"/>
    <w:rsid w:val="00EB06AD"/>
    <w:rsid w:val="00EC2BD8"/>
    <w:rsid w:val="00ED7952"/>
    <w:rsid w:val="00EE60C3"/>
    <w:rsid w:val="00EE6E8A"/>
    <w:rsid w:val="00F05AAC"/>
    <w:rsid w:val="00F52786"/>
    <w:rsid w:val="00FC30CD"/>
    <w:rsid w:val="00FF2504"/>
    <w:rsid w:val="03E30533"/>
    <w:rsid w:val="0D1B03D8"/>
    <w:rsid w:val="12C070E5"/>
    <w:rsid w:val="1534079A"/>
    <w:rsid w:val="1551485E"/>
    <w:rsid w:val="1810562F"/>
    <w:rsid w:val="1ABA5681"/>
    <w:rsid w:val="1B1B6F6B"/>
    <w:rsid w:val="261A409E"/>
    <w:rsid w:val="27207C78"/>
    <w:rsid w:val="28CF07EC"/>
    <w:rsid w:val="32460D67"/>
    <w:rsid w:val="3501252E"/>
    <w:rsid w:val="362F7261"/>
    <w:rsid w:val="36B40A84"/>
    <w:rsid w:val="3D6D75EE"/>
    <w:rsid w:val="3FE430CF"/>
    <w:rsid w:val="449A2FBA"/>
    <w:rsid w:val="44D65AAB"/>
    <w:rsid w:val="45681ED3"/>
    <w:rsid w:val="473303ED"/>
    <w:rsid w:val="48010161"/>
    <w:rsid w:val="4CC60A08"/>
    <w:rsid w:val="4E3B788B"/>
    <w:rsid w:val="514F7FF5"/>
    <w:rsid w:val="5566000C"/>
    <w:rsid w:val="58C71802"/>
    <w:rsid w:val="593003F6"/>
    <w:rsid w:val="5A821585"/>
    <w:rsid w:val="5B32599B"/>
    <w:rsid w:val="5C4F5C6E"/>
    <w:rsid w:val="6138537E"/>
    <w:rsid w:val="635961DD"/>
    <w:rsid w:val="63C12CBE"/>
    <w:rsid w:val="675C70C2"/>
    <w:rsid w:val="6BA05C3B"/>
    <w:rsid w:val="6D703A2C"/>
    <w:rsid w:val="6DB246F2"/>
    <w:rsid w:val="6FA02276"/>
    <w:rsid w:val="70A734C9"/>
    <w:rsid w:val="71804C4E"/>
    <w:rsid w:val="72332CFB"/>
    <w:rsid w:val="754E739D"/>
    <w:rsid w:val="7B372ECF"/>
    <w:rsid w:val="7C7E6E04"/>
    <w:rsid w:val="7D3C0DF5"/>
    <w:rsid w:val="7DD25631"/>
    <w:rsid w:val="7F18699D"/>
    <w:rsid w:val="7FBE7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qFormat/>
    <w:uiPriority w:val="0"/>
  </w:style>
  <w:style w:type="paragraph" w:styleId="20">
    <w:name w:val="Balloon Text"/>
    <w:basedOn w:val="1"/>
    <w:link w:val="102"/>
    <w:qFormat/>
    <w:uiPriority w:val="0"/>
    <w:rPr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4">
    <w:name w:val="toc 9"/>
    <w:basedOn w:val="19"/>
    <w:next w:val="1"/>
    <w:semiHidden/>
    <w:qFormat/>
    <w:uiPriority w:val="0"/>
  </w:style>
  <w:style w:type="paragraph" w:styleId="25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26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basedOn w:val="30"/>
    <w:uiPriority w:val="0"/>
    <w:rPr>
      <w:rFonts w:ascii="Times New Roman" w:hAnsi="Times New Roman" w:eastAsia="宋体"/>
      <w:sz w:val="18"/>
    </w:rPr>
  </w:style>
  <w:style w:type="character" w:styleId="32">
    <w:name w:val="HTML Definition"/>
    <w:basedOn w:val="30"/>
    <w:qFormat/>
    <w:uiPriority w:val="0"/>
    <w:rPr>
      <w:i/>
      <w:iCs/>
    </w:rPr>
  </w:style>
  <w:style w:type="character" w:styleId="33">
    <w:name w:val="HTML Typewriter"/>
    <w:basedOn w:val="30"/>
    <w:qFormat/>
    <w:uiPriority w:val="0"/>
    <w:rPr>
      <w:rFonts w:ascii="Courier New" w:hAnsi="Courier New"/>
      <w:sz w:val="20"/>
      <w:szCs w:val="20"/>
    </w:rPr>
  </w:style>
  <w:style w:type="character" w:styleId="34">
    <w:name w:val="HTML Acronym"/>
    <w:basedOn w:val="30"/>
    <w:qFormat/>
    <w:uiPriority w:val="0"/>
  </w:style>
  <w:style w:type="character" w:styleId="35">
    <w:name w:val="HTML Variable"/>
    <w:basedOn w:val="30"/>
    <w:qFormat/>
    <w:uiPriority w:val="0"/>
    <w:rPr>
      <w:i/>
      <w:iCs/>
    </w:rPr>
  </w:style>
  <w:style w:type="character" w:styleId="36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7">
    <w:name w:val="HTML Code"/>
    <w:basedOn w:val="30"/>
    <w:qFormat/>
    <w:uiPriority w:val="0"/>
    <w:rPr>
      <w:rFonts w:ascii="Courier New" w:hAnsi="Courier New"/>
      <w:sz w:val="20"/>
      <w:szCs w:val="20"/>
    </w:rPr>
  </w:style>
  <w:style w:type="character" w:styleId="38">
    <w:name w:val="HTML Cite"/>
    <w:basedOn w:val="30"/>
    <w:qFormat/>
    <w:uiPriority w:val="0"/>
    <w:rPr>
      <w:i/>
      <w:iCs/>
    </w:rPr>
  </w:style>
  <w:style w:type="character" w:styleId="39">
    <w:name w:val="footnote reference"/>
    <w:basedOn w:val="30"/>
    <w:semiHidden/>
    <w:qFormat/>
    <w:uiPriority w:val="0"/>
    <w:rPr>
      <w:vertAlign w:val="superscript"/>
    </w:rPr>
  </w:style>
  <w:style w:type="character" w:styleId="40">
    <w:name w:val="HTML Keyboard"/>
    <w:basedOn w:val="30"/>
    <w:qFormat/>
    <w:uiPriority w:val="0"/>
    <w:rPr>
      <w:rFonts w:ascii="Courier New" w:hAnsi="Courier New"/>
      <w:sz w:val="20"/>
      <w:szCs w:val="20"/>
    </w:rPr>
  </w:style>
  <w:style w:type="character" w:styleId="41">
    <w:name w:val="HTML Sample"/>
    <w:basedOn w:val="30"/>
    <w:qFormat/>
    <w:uiPriority w:val="0"/>
    <w:rPr>
      <w:rFonts w:ascii="Courier New" w:hAnsi="Courier New"/>
    </w:rPr>
  </w:style>
  <w:style w:type="character" w:customStyle="1" w:styleId="4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4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5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8">
    <w:name w:val="标准书眉_偶数页"/>
    <w:basedOn w:val="47"/>
    <w:next w:val="1"/>
    <w:qFormat/>
    <w:uiPriority w:val="0"/>
    <w:pPr>
      <w:jc w:val="left"/>
    </w:pPr>
  </w:style>
  <w:style w:type="paragraph" w:customStyle="1" w:styleId="4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1">
    <w:name w:val="参考文献、索引标题"/>
    <w:basedOn w:val="50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2">
    <w:name w:val="段"/>
    <w:link w:val="10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章标题"/>
    <w:next w:val="52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4">
    <w:name w:val="一级条标题"/>
    <w:next w:val="5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5">
    <w:name w:val="二级条标题"/>
    <w:basedOn w:val="54"/>
    <w:next w:val="52"/>
    <w:qFormat/>
    <w:uiPriority w:val="0"/>
    <w:pPr>
      <w:numPr>
        <w:ilvl w:val="3"/>
      </w:numPr>
      <w:outlineLvl w:val="3"/>
    </w:pPr>
  </w:style>
  <w:style w:type="character" w:customStyle="1" w:styleId="56">
    <w:name w:val="发布"/>
    <w:basedOn w:val="30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7">
    <w:name w:val="发布部门"/>
    <w:next w:val="5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0">
    <w:name w:val="封面标准号2"/>
    <w:basedOn w:val="5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1">
    <w:name w:val="封面标准代替信息"/>
    <w:basedOn w:val="60"/>
    <w:qFormat/>
    <w:uiPriority w:val="0"/>
    <w:pPr>
      <w:spacing w:before="57"/>
    </w:pPr>
    <w:rPr>
      <w:rFonts w:ascii="宋体"/>
      <w:sz w:val="21"/>
    </w:rPr>
  </w:style>
  <w:style w:type="paragraph" w:customStyle="1" w:styleId="6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6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附录标识"/>
    <w:basedOn w:val="50"/>
    <w:qFormat/>
    <w:uiPriority w:val="0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69">
    <w:name w:val="附录表标题"/>
    <w:next w:val="52"/>
    <w:qFormat/>
    <w:uiPriority w:val="0"/>
    <w:pPr>
      <w:numPr>
        <w:ilvl w:val="0"/>
        <w:numId w:val="2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0">
    <w:name w:val="附录章标题"/>
    <w:next w:val="52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附录一级条标题"/>
    <w:basedOn w:val="70"/>
    <w:next w:val="52"/>
    <w:qFormat/>
    <w:uiPriority w:val="0"/>
    <w:pPr>
      <w:autoSpaceDN w:val="0"/>
      <w:spacing w:beforeLines="0" w:afterLines="0"/>
      <w:outlineLvl w:val="2"/>
    </w:pPr>
  </w:style>
  <w:style w:type="paragraph" w:customStyle="1" w:styleId="72">
    <w:name w:val="附录二级条标题"/>
    <w:basedOn w:val="71"/>
    <w:next w:val="52"/>
    <w:qFormat/>
    <w:uiPriority w:val="0"/>
    <w:pPr>
      <w:outlineLvl w:val="3"/>
    </w:pPr>
  </w:style>
  <w:style w:type="paragraph" w:customStyle="1" w:styleId="73">
    <w:name w:val="附录三级条标题"/>
    <w:basedOn w:val="72"/>
    <w:next w:val="52"/>
    <w:qFormat/>
    <w:uiPriority w:val="0"/>
    <w:pPr>
      <w:outlineLvl w:val="4"/>
    </w:pPr>
  </w:style>
  <w:style w:type="paragraph" w:customStyle="1" w:styleId="74">
    <w:name w:val="附录四级条标题"/>
    <w:basedOn w:val="73"/>
    <w:next w:val="52"/>
    <w:qFormat/>
    <w:uiPriority w:val="0"/>
    <w:pPr>
      <w:outlineLvl w:val="5"/>
    </w:pPr>
  </w:style>
  <w:style w:type="paragraph" w:customStyle="1" w:styleId="75">
    <w:name w:val="附录图标题"/>
    <w:next w:val="52"/>
    <w:qFormat/>
    <w:uiPriority w:val="0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附录五级条标题"/>
    <w:basedOn w:val="74"/>
    <w:next w:val="52"/>
    <w:qFormat/>
    <w:uiPriority w:val="0"/>
    <w:pPr>
      <w:outlineLvl w:val="6"/>
    </w:pPr>
  </w:style>
  <w:style w:type="character" w:customStyle="1" w:styleId="77">
    <w:name w:val="EmailStyle61"/>
    <w:basedOn w:val="30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8">
    <w:name w:val="EmailStyle62"/>
    <w:basedOn w:val="30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79">
    <w:name w:val="列项——（一级）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0">
    <w:name w:val="列项●（二级）"/>
    <w:qFormat/>
    <w:uiPriority w:val="0"/>
    <w:pPr>
      <w:numPr>
        <w:ilvl w:val="0"/>
        <w:numId w:val="5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目次、标准名称标题"/>
    <w:basedOn w:val="50"/>
    <w:next w:val="52"/>
    <w:qFormat/>
    <w:uiPriority w:val="0"/>
    <w:pPr>
      <w:numPr>
        <w:numId w:val="0"/>
      </w:numPr>
      <w:spacing w:line="460" w:lineRule="exact"/>
    </w:pPr>
  </w:style>
  <w:style w:type="paragraph" w:customStyle="1" w:styleId="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4">
    <w:name w:val="其他发布部门"/>
    <w:basedOn w:val="5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5">
    <w:name w:val="三级条标题"/>
    <w:basedOn w:val="55"/>
    <w:next w:val="52"/>
    <w:qFormat/>
    <w:uiPriority w:val="0"/>
    <w:pPr>
      <w:numPr>
        <w:ilvl w:val="0"/>
        <w:numId w:val="0"/>
      </w:numPr>
      <w:outlineLvl w:val="4"/>
    </w:pPr>
  </w:style>
  <w:style w:type="paragraph" w:customStyle="1" w:styleId="86">
    <w:name w:val="实施日期"/>
    <w:basedOn w:val="58"/>
    <w:qFormat/>
    <w:uiPriority w:val="0"/>
    <w:pPr>
      <w:framePr w:hSpace="0" w:xAlign="right"/>
      <w:jc w:val="right"/>
    </w:pPr>
  </w:style>
  <w:style w:type="paragraph" w:customStyle="1" w:styleId="87">
    <w:name w:val="示例"/>
    <w:next w:val="52"/>
    <w:qFormat/>
    <w:uiPriority w:val="0"/>
    <w:p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四级条标题"/>
    <w:basedOn w:val="85"/>
    <w:next w:val="52"/>
    <w:qFormat/>
    <w:uiPriority w:val="0"/>
    <w:pPr>
      <w:outlineLvl w:val="5"/>
    </w:pPr>
  </w:style>
  <w:style w:type="paragraph" w:customStyle="1" w:styleId="90">
    <w:name w:val="条文脚注"/>
    <w:basedOn w:val="23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1">
    <w:name w:val="图表脚注"/>
    <w:next w:val="52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3">
    <w:name w:val="五级条标题"/>
    <w:basedOn w:val="89"/>
    <w:next w:val="52"/>
    <w:qFormat/>
    <w:uiPriority w:val="0"/>
    <w:pPr>
      <w:outlineLvl w:val="6"/>
    </w:pPr>
  </w:style>
  <w:style w:type="paragraph" w:customStyle="1" w:styleId="94">
    <w:name w:val="正文表标题"/>
    <w:next w:val="52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正文图标题"/>
    <w:next w:val="52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注："/>
    <w:next w:val="52"/>
    <w:qFormat/>
    <w:uiPriority w:val="0"/>
    <w:pPr>
      <w:widowControl w:val="0"/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注×："/>
    <w:qFormat/>
    <w:uiPriority w:val="0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列项◆（三级）"/>
    <w:qFormat/>
    <w:uiPriority w:val="0"/>
    <w:pPr>
      <w:numPr>
        <w:ilvl w:val="0"/>
        <w:numId w:val="6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1">
    <w:name w:val="段 Char"/>
    <w:link w:val="52"/>
    <w:qFormat/>
    <w:uiPriority w:val="0"/>
    <w:rPr>
      <w:rFonts w:ascii="宋体"/>
      <w:sz w:val="21"/>
    </w:rPr>
  </w:style>
  <w:style w:type="character" w:customStyle="1" w:styleId="102">
    <w:name w:val="批注框文本 Char"/>
    <w:basedOn w:val="30"/>
    <w:link w:val="20"/>
    <w:qFormat/>
    <w:uiPriority w:val="0"/>
    <w:rPr>
      <w:kern w:val="2"/>
      <w:sz w:val="18"/>
      <w:szCs w:val="18"/>
    </w:rPr>
  </w:style>
  <w:style w:type="character" w:styleId="103">
    <w:name w:val="Placeholder Text"/>
    <w:basedOn w:val="30"/>
    <w:semiHidden/>
    <w:qFormat/>
    <w:uiPriority w:val="99"/>
    <w:rPr>
      <w:color w:val="808080"/>
    </w:rPr>
  </w:style>
  <w:style w:type="character" w:customStyle="1" w:styleId="104">
    <w:name w:val="MSG_EN_FONT_STYLE_NAME_TEMPLATE_ROLE_NUMBER MSG_EN_FONT_STYLE_NAME_BY_ROLE_TEXT 7_"/>
    <w:link w:val="105"/>
    <w:unhideWhenUsed/>
    <w:qFormat/>
    <w:uiPriority w:val="99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105">
    <w:name w:val="MSG_EN_FONT_STYLE_NAME_TEMPLATE_ROLE_NUMBER MSG_EN_FONT_STYLE_NAME_BY_ROLE_TEXT 7"/>
    <w:basedOn w:val="1"/>
    <w:link w:val="104"/>
    <w:unhideWhenUsed/>
    <w:qFormat/>
    <w:uiPriority w:val="99"/>
    <w:pPr>
      <w:shd w:val="clear" w:color="auto" w:fill="FFFFFF"/>
      <w:spacing w:before="720" w:line="312" w:lineRule="exact"/>
      <w:ind w:hanging="440"/>
    </w:pPr>
    <w:rPr>
      <w:rFonts w:ascii="宋体" w:hAnsi="宋体"/>
      <w:sz w:val="18"/>
      <w:szCs w:val="24"/>
    </w:rPr>
  </w:style>
  <w:style w:type="character" w:customStyle="1" w:styleId="106">
    <w:name w:val="MSG_EN_FONT_STYLE_NAME_TEMPLATE_ROLE MSG_EN_FONT_STYLE_NAME_BY_ROLE_TEXT_"/>
    <w:link w:val="107"/>
    <w:unhideWhenUsed/>
    <w:qFormat/>
    <w:uiPriority w:val="99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107">
    <w:name w:val="MSG_EN_FONT_STYLE_NAME_TEMPLATE_ROLE MSG_EN_FONT_STYLE_NAME_BY_ROLE_TEXT"/>
    <w:basedOn w:val="1"/>
    <w:link w:val="106"/>
    <w:unhideWhenUsed/>
    <w:qFormat/>
    <w:uiPriority w:val="99"/>
    <w:pPr>
      <w:shd w:val="clear" w:color="auto" w:fill="FFFFFF"/>
      <w:spacing w:before="660" w:line="312" w:lineRule="exact"/>
    </w:pPr>
    <w:rPr>
      <w:rFonts w:ascii="宋体" w:hAnsi="宋体"/>
      <w:sz w:val="18"/>
      <w:szCs w:val="24"/>
    </w:rPr>
  </w:style>
  <w:style w:type="character" w:customStyle="1" w:styleId="108">
    <w:name w:val="MSG_EN_FONT_STYLE_NAME_TEMPLATE_ROLE_NUMBER MSG_EN_FONT_STYLE_NAME_BY_ROLE_TEXT 10_"/>
    <w:link w:val="109"/>
    <w:unhideWhenUsed/>
    <w:qFormat/>
    <w:uiPriority w:val="99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109">
    <w:name w:val="MSG_EN_FONT_STYLE_NAME_TEMPLATE_ROLE_NUMBER MSG_EN_FONT_STYLE_NAME_BY_ROLE_TEXT 10"/>
    <w:basedOn w:val="1"/>
    <w:link w:val="108"/>
    <w:unhideWhenUsed/>
    <w:qFormat/>
    <w:uiPriority w:val="99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110">
    <w:name w:val="MSG_EN_FONT_STYLE_NAME_TEMPLATE_ROLE_NUMBER MSG_EN_FONT_STYLE_NAME_BY_ROLE_TEXT 9_"/>
    <w:link w:val="111"/>
    <w:unhideWhenUsed/>
    <w:qFormat/>
    <w:uiPriority w:val="99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111">
    <w:name w:val="MSG_EN_FONT_STYLE_NAME_TEMPLATE_ROLE_NUMBER MSG_EN_FONT_STYLE_NAME_BY_ROLE_TEXT 9"/>
    <w:basedOn w:val="1"/>
    <w:link w:val="110"/>
    <w:unhideWhenUsed/>
    <w:qFormat/>
    <w:uiPriority w:val="99"/>
    <w:pPr>
      <w:shd w:val="clear" w:color="auto" w:fill="FFFFFF"/>
      <w:spacing w:line="312" w:lineRule="exact"/>
    </w:pPr>
    <w:rPr>
      <w:rFonts w:ascii="宋体" w:hAnsi="宋体"/>
      <w:sz w:val="18"/>
      <w:szCs w:val="24"/>
    </w:rPr>
  </w:style>
  <w:style w:type="character" w:customStyle="1" w:styleId="112">
    <w:name w:val="MSG_EN_FONT_STYLE_NAME_TEMPLATE_ROLE_NUMBER MSG_EN_FONT_STYLE_NAME_BY_ROLE_TEXT 11_"/>
    <w:link w:val="113"/>
    <w:unhideWhenUsed/>
    <w:qFormat/>
    <w:uiPriority w:val="99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113">
    <w:name w:val="MSG_EN_FONT_STYLE_NAME_TEMPLATE_ROLE_NUMBER MSG_EN_FONT_STYLE_NAME_BY_ROLE_TEXT 11"/>
    <w:basedOn w:val="1"/>
    <w:link w:val="112"/>
    <w:unhideWhenUsed/>
    <w:qFormat/>
    <w:uiPriority w:val="99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114">
    <w:name w:val="段 Char Char"/>
    <w:qFormat/>
    <w:uiPriority w:val="0"/>
    <w:rPr>
      <w:rFonts w:ascii="宋体"/>
      <w:sz w:val="21"/>
      <w:lang w:val="en-US" w:eastAsia="zh-CN" w:bidi="ar-SA"/>
    </w:rPr>
  </w:style>
  <w:style w:type="paragraph" w:customStyle="1" w:styleId="115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DS2008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8"/>
    <customShpInfo spid="_x0000_s1035"/>
    <customShpInfo spid="_x0000_s1037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CNIS</Company>
  <Pages>6</Pages>
  <Words>418</Words>
  <Characters>2385</Characters>
  <Lines>19</Lines>
  <Paragraphs>5</Paragraphs>
  <TotalTime>0</TotalTime>
  <ScaleCrop>false</ScaleCrop>
  <LinksUpToDate>false</LinksUpToDate>
  <CharactersWithSpaces>2798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2017-10-11T05:41:00Z</dcterms:created>
  <dc:creator>Sky123.Org</dc:creator>
  <cp:lastModifiedBy>Administrator</cp:lastModifiedBy>
  <cp:lastPrinted>2019-05-09T03:14:00Z</cp:lastPrinted>
  <dcterms:modified xsi:type="dcterms:W3CDTF">2019-05-09T03:53:21Z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2052-11.1.0.8696</vt:lpwstr>
  </property>
</Properties>
</file>