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44"/>
          <w:szCs w:val="44"/>
        </w:rPr>
      </w:pPr>
      <w:r>
        <w:rPr>
          <w:rFonts w:hint="eastAsia" w:ascii="仿宋" w:hAnsi="仿宋" w:eastAsia="仿宋" w:cs="仿宋"/>
          <w:b/>
          <w:bCs/>
          <w:sz w:val="44"/>
          <w:szCs w:val="44"/>
        </w:rPr>
        <w:t>2019年广东省电热电动食品加工设备</w:t>
      </w:r>
    </w:p>
    <w:p>
      <w:pPr>
        <w:spacing w:line="660" w:lineRule="exact"/>
        <w:jc w:val="center"/>
        <w:rPr>
          <w:rFonts w:asciiTheme="minorEastAsia" w:hAnsiTheme="minorEastAsia" w:eastAsiaTheme="minorEastAsia" w:cstheme="minorEastAsia"/>
          <w:b/>
          <w:bCs/>
          <w:sz w:val="36"/>
          <w:szCs w:val="36"/>
        </w:rPr>
      </w:pPr>
      <w:r>
        <w:rPr>
          <w:rFonts w:hint="eastAsia" w:ascii="仿宋" w:hAnsi="仿宋" w:eastAsia="仿宋" w:cs="仿宋"/>
          <w:b/>
          <w:bCs/>
          <w:sz w:val="44"/>
          <w:szCs w:val="44"/>
        </w:rPr>
        <w:t>省级监督抽查实施细则</w:t>
      </w:r>
    </w:p>
    <w:p>
      <w:pPr>
        <w:spacing w:line="360" w:lineRule="auto"/>
        <w:rPr>
          <w:rFonts w:ascii="黑体" w:hAnsi="黑体" w:eastAsia="黑体"/>
          <w:b w:val="0"/>
          <w:bCs w:val="0"/>
          <w:sz w:val="28"/>
          <w:szCs w:val="28"/>
        </w:rPr>
      </w:pPr>
      <w:r>
        <w:rPr>
          <w:rFonts w:hint="eastAsia" w:ascii="黑体" w:hAnsi="黑体" w:eastAsia="黑体" w:cstheme="minorEastAsia"/>
          <w:b w:val="0"/>
          <w:bCs w:val="0"/>
          <w:sz w:val="28"/>
          <w:szCs w:val="28"/>
        </w:rPr>
        <w:t>1 范围</w:t>
      </w:r>
    </w:p>
    <w:p>
      <w:pPr>
        <w:snapToGrid w:val="0"/>
        <w:spacing w:line="360" w:lineRule="auto"/>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本细则适用于广东省食品相关产品</w:t>
      </w:r>
      <w:r>
        <w:rPr>
          <w:rFonts w:hint="eastAsia" w:ascii="仿宋_GB2312" w:hAnsi="仿宋_GB2312" w:eastAsia="仿宋_GB2312" w:cs="仿宋_GB2312"/>
          <w:sz w:val="28"/>
          <w:szCs w:val="28"/>
          <w:lang w:eastAsia="zh-CN"/>
        </w:rPr>
        <w:t>省级</w:t>
      </w:r>
      <w:bookmarkStart w:id="0" w:name="_GoBack"/>
      <w:bookmarkEnd w:id="0"/>
      <w:r>
        <w:rPr>
          <w:rFonts w:hint="eastAsia" w:ascii="仿宋_GB2312" w:hAnsi="仿宋_GB2312" w:eastAsia="仿宋_GB2312" w:cs="仿宋_GB2312"/>
          <w:sz w:val="28"/>
          <w:szCs w:val="28"/>
        </w:rPr>
        <w:t>监督抽查，监督抽查产品范围为广东省内生产环节的电热电动食品加工设备。</w:t>
      </w:r>
    </w:p>
    <w:p>
      <w:pPr>
        <w:snapToGrid w:val="0"/>
        <w:spacing w:line="360" w:lineRule="auto"/>
        <w:outlineLvl w:val="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.1 产品分类及代码</w:t>
      </w:r>
    </w:p>
    <w:p>
      <w:pPr>
        <w:snapToGrid w:val="0"/>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产品分类及代码见表1。</w:t>
      </w:r>
    </w:p>
    <w:p>
      <w:pPr>
        <w:snapToGrid w:val="0"/>
        <w:spacing w:line="360" w:lineRule="auto"/>
        <w:ind w:firstLine="420"/>
        <w:jc w:val="center"/>
        <w:rPr>
          <w:rFonts w:ascii="黑体" w:hAnsi="黑体" w:eastAsia="黑体" w:cstheme="minorEastAsia"/>
          <w:szCs w:val="21"/>
        </w:rPr>
      </w:pPr>
      <w:r>
        <w:rPr>
          <w:rFonts w:hint="eastAsia" w:ascii="黑体" w:hAnsi="黑体" w:eastAsia="黑体" w:cstheme="minorEastAsia"/>
          <w:szCs w:val="21"/>
        </w:rPr>
        <w:t>表1  产品分类及代码</w:t>
      </w:r>
    </w:p>
    <w:tbl>
      <w:tblPr>
        <w:tblStyle w:val="12"/>
        <w:tblW w:w="7245" w:type="dxa"/>
        <w:jc w:val="center"/>
        <w:tblInd w:w="-1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800"/>
        <w:gridCol w:w="1800"/>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产品分类</w:t>
            </w:r>
          </w:p>
        </w:tc>
        <w:tc>
          <w:tcPr>
            <w:tcW w:w="1800"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一级分类</w:t>
            </w:r>
          </w:p>
        </w:tc>
        <w:tc>
          <w:tcPr>
            <w:tcW w:w="1800"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二级分类</w:t>
            </w:r>
          </w:p>
        </w:tc>
        <w:tc>
          <w:tcPr>
            <w:tcW w:w="2505"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分类代码</w:t>
            </w:r>
          </w:p>
        </w:tc>
        <w:tc>
          <w:tcPr>
            <w:tcW w:w="1800"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00"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w:t>
            </w:r>
          </w:p>
        </w:tc>
        <w:tc>
          <w:tcPr>
            <w:tcW w:w="2505"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分类名称</w:t>
            </w:r>
          </w:p>
        </w:tc>
        <w:tc>
          <w:tcPr>
            <w:tcW w:w="1800"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电子电器</w:t>
            </w:r>
          </w:p>
        </w:tc>
        <w:tc>
          <w:tcPr>
            <w:tcW w:w="1800"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家用电器</w:t>
            </w:r>
          </w:p>
        </w:tc>
        <w:tc>
          <w:tcPr>
            <w:tcW w:w="2505" w:type="dxa"/>
            <w:vAlign w:val="center"/>
          </w:tcPr>
          <w:p>
            <w:pPr>
              <w:snapToGrid w:val="0"/>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厨房机械、液体加热器</w:t>
            </w:r>
          </w:p>
        </w:tc>
      </w:tr>
    </w:tbl>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 产品种类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电热电动食品加工设备，包括：厨房机械和液体加热器产品，具体如下：</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厨房机械包括有：食物混合器、奶油搅打器、搅拌器、筛分器、冰淇淋机、柑桔果汁压榨器、离心取汁器、绞肉机、面条机、果浆汁榨取器、切片机、磨碎器与切碎器、食品加工器、漏斗容量不超过500g的咖啡碾碎器、漏斗容量不超过3L的谷类磨碎器、豆浆机等</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液体加热器包括：电饭锅、电压力锅、电炖锅、电蒸锅、电水壶、开水器、咖啡壶等。</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1.3 </w:t>
      </w:r>
      <w:r>
        <w:rPr>
          <w:rFonts w:hint="eastAsia" w:ascii="仿宋_GB2312" w:hAnsi="仿宋_GB2312" w:eastAsia="仿宋_GB2312" w:cs="仿宋_GB2312"/>
          <w:sz w:val="28"/>
          <w:szCs w:val="28"/>
        </w:rPr>
        <w:t>本规范中未列出的术语和定义同相关引用标准。</w:t>
      </w:r>
    </w:p>
    <w:p>
      <w:pPr>
        <w:spacing w:line="360" w:lineRule="auto"/>
        <w:rPr>
          <w:rFonts w:ascii="黑体" w:hAnsi="黑体" w:eastAsia="黑体" w:cstheme="minorEastAsia"/>
          <w:b w:val="0"/>
          <w:bCs w:val="0"/>
          <w:sz w:val="28"/>
          <w:szCs w:val="28"/>
        </w:rPr>
      </w:pPr>
      <w:r>
        <w:rPr>
          <w:rFonts w:hint="eastAsia" w:ascii="黑体" w:hAnsi="黑体" w:eastAsia="黑体" w:cstheme="minorEastAsia"/>
          <w:b w:val="0"/>
          <w:bCs w:val="0"/>
          <w:sz w:val="28"/>
          <w:szCs w:val="28"/>
          <w:lang w:val="en-US" w:eastAsia="zh-CN"/>
        </w:rPr>
        <w:t>2</w:t>
      </w:r>
      <w:r>
        <w:rPr>
          <w:rFonts w:hint="eastAsia" w:ascii="黑体" w:hAnsi="黑体" w:eastAsia="黑体" w:cstheme="minorEastAsia"/>
          <w:b w:val="0"/>
          <w:bCs w:val="0"/>
          <w:sz w:val="28"/>
          <w:szCs w:val="28"/>
        </w:rPr>
        <w:t xml:space="preserve">  检验依据</w:t>
      </w:r>
    </w:p>
    <w:p>
      <w:pPr>
        <w:snapToGrid w:val="0"/>
        <w:spacing w:line="360" w:lineRule="auto"/>
        <w:ind w:firstLine="537" w:firstLineChars="192"/>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凡是注日期的文件，其随后所有的修改单（不包括勘误的内容）或修订版不适用于本规范。凡是不注明日期的文件，其最新版本适用于本规范。</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4706.1-2005《家用和类似用途电器的安全 第1部分：通用要求》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4706.19-2008《家用和类似用途电器的安全 液体加热器的特殊要求》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4706.30-2008《家用和类似用途电器的安全 厨房机械的特殊要求》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4806.9-2016《食品安全国家标准 食品接触用金属材料及制品》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4806.7-2016《食品安全国家标准 食品接触用塑料材料及制品》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4806.6-2016《食品安全国家标准 食品接触用塑料树脂》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4806.11-2016《食品安全国家标准 食品接触用橡胶材料及制品》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4806.5-2016《食品安全国家标准 玻璃制品》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4806.10-2016《食品安全国家标准 食品接触用涂料及涂层》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GB 4806.4-2016《食品安全国家标准 陶瓷制品》</w:t>
      </w:r>
    </w:p>
    <w:p>
      <w:pPr>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其他现行有效的企业标准及产品明示质量要求</w:t>
      </w:r>
    </w:p>
    <w:p>
      <w:pPr>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相关的法律法规、部门规章和规范</w:t>
      </w:r>
    </w:p>
    <w:p>
      <w:pPr>
        <w:spacing w:line="360" w:lineRule="auto"/>
        <w:rPr>
          <w:rFonts w:ascii="黑体" w:hAnsi="黑体" w:eastAsia="黑体" w:cstheme="minorEastAsia"/>
          <w:b w:val="0"/>
          <w:bCs w:val="0"/>
          <w:sz w:val="28"/>
          <w:szCs w:val="28"/>
        </w:rPr>
      </w:pPr>
      <w:r>
        <w:rPr>
          <w:rFonts w:hint="eastAsia" w:ascii="黑体" w:hAnsi="黑体" w:eastAsia="黑体" w:cstheme="minorEastAsia"/>
          <w:b w:val="0"/>
          <w:bCs w:val="0"/>
          <w:sz w:val="28"/>
          <w:szCs w:val="28"/>
          <w:lang w:val="en-US" w:eastAsia="zh-CN"/>
        </w:rPr>
        <w:t>3</w:t>
      </w:r>
      <w:r>
        <w:rPr>
          <w:rFonts w:hint="eastAsia" w:ascii="黑体" w:hAnsi="黑体" w:eastAsia="黑体" w:cstheme="minorEastAsia"/>
          <w:b w:val="0"/>
          <w:bCs w:val="0"/>
          <w:sz w:val="28"/>
          <w:szCs w:val="28"/>
        </w:rPr>
        <w:t xml:space="preserve"> 抽样</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.1抽样地点：企业成品库随机抽取产品。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.2抽样方法：每家生产企业最多抽取两种不同型号的产品，被抽取样品应是2018年7月1日以后生产的、经企业出厂检验合格并允许销售的产品。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.3抽样基数：抽查样品基数满足抽样数量即可。</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.4样品数量和要求：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对同一批产品（同一品牌、同一型号的产品）随机抽取3台样品（其中2台作为检验样品，另外1台作为备用样品，封存于承检机构）。</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注意，同时抽取该型号使用的与食品接触主体产品10个作为食品相关产品安全检测的样品，其中8个作为检验样品，2个作为备用样品；需在抽样单备注栏体现与食品接触主体产品的材质。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.5封样要求: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被抽查产品的样品应有密封和防拆封措施，以保证其完整性、真实性，包括附在样品上的使用说明及其他信息；检验样品和备用样品必须分别封样。</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.6其他说明:</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检验机构接收样品应当有专人负责检查、记录样品的外观、状态、封条有无破损及其他可能对检测结果或者综合判定产生影响的情况，并确认样品与抽样单的记录是否相符，对检测和备用样品分别加贴相应标识后入库。</w:t>
      </w:r>
    </w:p>
    <w:p>
      <w:pPr>
        <w:spacing w:line="360" w:lineRule="auto"/>
        <w:rPr>
          <w:rFonts w:ascii="黑体" w:hAnsi="黑体" w:eastAsia="黑体" w:cstheme="minorEastAsia"/>
          <w:b w:val="0"/>
          <w:bCs w:val="0"/>
          <w:sz w:val="28"/>
          <w:szCs w:val="28"/>
        </w:rPr>
      </w:pPr>
      <w:r>
        <w:rPr>
          <w:rFonts w:hint="eastAsia" w:ascii="黑体" w:hAnsi="黑体" w:eastAsia="黑体" w:cstheme="minorEastAsia"/>
          <w:b w:val="0"/>
          <w:bCs w:val="0"/>
          <w:sz w:val="28"/>
          <w:szCs w:val="28"/>
          <w:lang w:val="en-US" w:eastAsia="zh-CN"/>
        </w:rPr>
        <w:t>4</w:t>
      </w:r>
      <w:r>
        <w:rPr>
          <w:rFonts w:hint="eastAsia" w:ascii="黑体" w:hAnsi="黑体" w:eastAsia="黑体" w:cstheme="minorEastAsia"/>
          <w:b w:val="0"/>
          <w:bCs w:val="0"/>
          <w:sz w:val="28"/>
          <w:szCs w:val="28"/>
        </w:rPr>
        <w:t xml:space="preserve"> 检验要求</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.1 检验项目及重要程度分类</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电热电动食品加工设备检验项目及重要程度分类见表3。</w:t>
      </w:r>
    </w:p>
    <w:p>
      <w:pPr>
        <w:spacing w:line="560" w:lineRule="exact"/>
        <w:ind w:firstLine="420" w:firstLineChars="200"/>
        <w:jc w:val="center"/>
        <w:rPr>
          <w:rFonts w:ascii="黑体" w:hAnsi="黑体" w:eastAsia="黑体" w:cstheme="minorEastAsia"/>
          <w:szCs w:val="21"/>
        </w:rPr>
      </w:pPr>
      <w:r>
        <w:rPr>
          <w:rFonts w:hint="eastAsia" w:ascii="黑体" w:hAnsi="黑体" w:eastAsia="黑体" w:cstheme="minorEastAsia"/>
          <w:szCs w:val="21"/>
        </w:rPr>
        <w:t>表3电热电动食品加工设备的检验项目及重要程度分类</w:t>
      </w:r>
    </w:p>
    <w:tbl>
      <w:tblPr>
        <w:tblStyle w:val="12"/>
        <w:tblW w:w="8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92"/>
        <w:gridCol w:w="1237"/>
        <w:gridCol w:w="507"/>
        <w:gridCol w:w="1714"/>
        <w:gridCol w:w="1052"/>
        <w:gridCol w:w="1238"/>
        <w:gridCol w:w="568"/>
        <w:gridCol w:w="67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528" w:hRule="atLeast"/>
          <w:tblHeader/>
        </w:trPr>
        <w:tc>
          <w:tcPr>
            <w:tcW w:w="492"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rPr>
              <w:t>项目</w:t>
            </w:r>
          </w:p>
        </w:tc>
        <w:tc>
          <w:tcPr>
            <w:tcW w:w="1237"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sz w:val="18"/>
                <w:szCs w:val="18"/>
              </w:rPr>
              <w:t>与食品接触部分对应的产品材质卫生标准要求</w:t>
            </w:r>
          </w:p>
        </w:tc>
        <w:tc>
          <w:tcPr>
            <w:tcW w:w="507"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rPr>
              <w:t>序号</w:t>
            </w:r>
          </w:p>
        </w:tc>
        <w:tc>
          <w:tcPr>
            <w:tcW w:w="1714"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color w:val="000000"/>
                <w:sz w:val="18"/>
                <w:szCs w:val="18"/>
              </w:rPr>
            </w:pPr>
            <w:r>
              <w:rPr>
                <w:rFonts w:hint="eastAsia" w:asciiTheme="minorEastAsia" w:hAnsiTheme="minorEastAsia" w:eastAsiaTheme="minorEastAsia" w:cstheme="minorEastAsia"/>
                <w:b/>
                <w:color w:val="000000"/>
                <w:sz w:val="18"/>
                <w:szCs w:val="18"/>
              </w:rPr>
              <w:t>检验项目</w:t>
            </w:r>
          </w:p>
        </w:tc>
        <w:tc>
          <w:tcPr>
            <w:tcW w:w="1052"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依据法律法规或标准</w:t>
            </w:r>
          </w:p>
        </w:tc>
        <w:tc>
          <w:tcPr>
            <w:tcW w:w="1238"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检测方法</w:t>
            </w:r>
          </w:p>
        </w:tc>
        <w:tc>
          <w:tcPr>
            <w:tcW w:w="1243" w:type="dxa"/>
            <w:gridSpan w:val="2"/>
            <w:tcBorders>
              <w:bottom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color w:val="000000"/>
                <w:sz w:val="18"/>
                <w:szCs w:val="18"/>
              </w:rPr>
              <w:t>重要程度分类</w:t>
            </w:r>
          </w:p>
        </w:tc>
        <w:tc>
          <w:tcPr>
            <w:tcW w:w="957"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72" w:hRule="atLeast"/>
          <w:tblHeader/>
        </w:trPr>
        <w:tc>
          <w:tcPr>
            <w:tcW w:w="492"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sz w:val="18"/>
                <w:szCs w:val="18"/>
              </w:rPr>
            </w:pPr>
          </w:p>
        </w:tc>
        <w:tc>
          <w:tcPr>
            <w:tcW w:w="50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color w:val="000000"/>
                <w:sz w:val="18"/>
                <w:szCs w:val="18"/>
              </w:rPr>
            </w:pPr>
          </w:p>
        </w:tc>
        <w:tc>
          <w:tcPr>
            <w:tcW w:w="1714"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color w:val="000000"/>
                <w:sz w:val="18"/>
                <w:szCs w:val="18"/>
              </w:rPr>
            </w:pPr>
          </w:p>
        </w:tc>
        <w:tc>
          <w:tcPr>
            <w:tcW w:w="1052"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sz w:val="18"/>
                <w:szCs w:val="18"/>
              </w:rPr>
            </w:pPr>
          </w:p>
        </w:tc>
        <w:tc>
          <w:tcPr>
            <w:tcW w:w="1238"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sz w:val="18"/>
                <w:szCs w:val="18"/>
              </w:rPr>
            </w:pPr>
          </w:p>
        </w:tc>
        <w:tc>
          <w:tcPr>
            <w:tcW w:w="568" w:type="dxa"/>
            <w:tcBorders>
              <w:top w:val="single" w:color="auto" w:sz="4" w:space="0"/>
              <w:righ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18"/>
                <w:szCs w:val="18"/>
              </w:rPr>
              <w:t>A类</w:t>
            </w:r>
            <w:r>
              <w:rPr>
                <w:rFonts w:hint="eastAsia" w:asciiTheme="minorEastAsia" w:hAnsiTheme="minorEastAsia" w:eastAsiaTheme="minorEastAsia" w:cstheme="minorEastAsia"/>
                <w:sz w:val="28"/>
                <w:szCs w:val="28"/>
                <w:vertAlign w:val="superscript"/>
              </w:rPr>
              <w:t>a</w:t>
            </w:r>
          </w:p>
        </w:tc>
        <w:tc>
          <w:tcPr>
            <w:tcW w:w="675" w:type="dxa"/>
            <w:tcBorders>
              <w:top w:val="single" w:color="auto" w:sz="4" w:space="0"/>
              <w:lef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18"/>
                <w:szCs w:val="18"/>
              </w:rPr>
              <w:t>B类</w:t>
            </w:r>
            <w:r>
              <w:rPr>
                <w:rFonts w:hint="eastAsia" w:asciiTheme="minorEastAsia" w:hAnsiTheme="minorEastAsia" w:eastAsiaTheme="minorEastAsia" w:cstheme="minorEastAsia"/>
                <w:sz w:val="28"/>
                <w:szCs w:val="28"/>
                <w:vertAlign w:val="superscript"/>
              </w:rPr>
              <w:t>b</w:t>
            </w:r>
          </w:p>
        </w:tc>
        <w:tc>
          <w:tcPr>
            <w:tcW w:w="95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237"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食品用塑料</w:t>
            </w:r>
          </w:p>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制品</w:t>
            </w: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高锰酸钾消耗量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4806.7-2016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31604.2-2016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4806.7-2016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31604.8-2016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重金属</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4806.7-2016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31604.9-2016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脱色试验</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4806.7-2016</w:t>
            </w:r>
          </w:p>
        </w:tc>
        <w:tc>
          <w:tcPr>
            <w:tcW w:w="1238"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31604.7-2016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仅适用添加了着色剂的产品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氯乙烯单体特定迁移量、最大残留量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4806.6-2016</w:t>
            </w:r>
          </w:p>
        </w:tc>
        <w:tc>
          <w:tcPr>
            <w:tcW w:w="1238"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31604.31-2016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957"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视产品标识或符合性声明而定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锑特定迁移量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4806.6-2016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31604.41-2016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己内酰胺特定迁移量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4806.6-2016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31604.19-2016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乙苯类化合物（以苯乙烯计）最大残留量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4806.6-2016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31604.16-2016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丙烯腈单体特定迁移量、最大残留量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4806.6-2016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31604.17-2016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游离酚特定迁移量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4806.6-2016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31604.46-2016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1714"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其他单体及其他起始物的特定迁移限量、特定迁移总量限量、最大残留量</w:t>
            </w:r>
          </w:p>
        </w:tc>
        <w:tc>
          <w:tcPr>
            <w:tcW w:w="1052"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4806.6-2016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31604.40-2016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714"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052"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31604.43-2016等</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橡胶制品</w:t>
            </w: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4806.11-2016</w:t>
            </w:r>
          </w:p>
        </w:tc>
        <w:tc>
          <w:tcPr>
            <w:tcW w:w="1238"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31604.8-2016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高锰酸钾消耗量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4806.11-2016</w:t>
            </w:r>
          </w:p>
        </w:tc>
        <w:tc>
          <w:tcPr>
            <w:tcW w:w="1238"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31604.2-2016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重金属</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4806.11-2016</w:t>
            </w:r>
          </w:p>
        </w:tc>
        <w:tc>
          <w:tcPr>
            <w:tcW w:w="1238"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31604.9-2016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textAlignment w:val="center"/>
              <w:rPr>
                <w:rFonts w:asciiTheme="minorEastAsia" w:hAnsiTheme="minorEastAsia" w:eastAsiaTheme="minorEastAsia" w:cstheme="minorEastAsia"/>
                <w:color w:val="000000"/>
                <w:sz w:val="15"/>
                <w:szCs w:val="15"/>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天然橡胶、合成橡胶、硅橡胶单体及其他起始物的特定迁移限量、特定迁移总量限量、最大残留量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4806.11-2016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31604.17-2016 等</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rPr>
                <w:rFonts w:asciiTheme="minorEastAsia" w:hAnsiTheme="minorEastAsia" w:eastAsiaTheme="minorEastAsia" w:cstheme="minorEastAsia"/>
                <w:color w:val="000000"/>
                <w:sz w:val="15"/>
                <w:szCs w:val="15"/>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视产品标识或符合性声明而定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7"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玻璃制品</w:t>
            </w: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铅迁移量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4806.5-2016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31604.34-2016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rPr>
                <w:rFonts w:asciiTheme="minorEastAsia" w:hAnsiTheme="minorEastAsia" w:eastAsiaTheme="minorEastAsia" w:cstheme="minorEastAsia"/>
                <w:color w:val="000000"/>
                <w:sz w:val="15"/>
                <w:szCs w:val="15"/>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镉迁移量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4806.5-2016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31604.24-2016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rPr>
                <w:rFonts w:asciiTheme="minorEastAsia" w:hAnsiTheme="minorEastAsia" w:eastAsiaTheme="minorEastAsia" w:cstheme="minorEastAsia"/>
                <w:color w:val="000000"/>
                <w:sz w:val="15"/>
                <w:szCs w:val="15"/>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7"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食品用金属制品</w:t>
            </w: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砷（As）迁移量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4806.9-2016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31604.38-2016第二部分，或GB 31604.49-2016第二部分</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镉（Cd）迁移量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4806.9-2016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31604.24，或GB 31604.49-2016第二部分</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铅（Pb）迁移量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4806.9-2016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31604.34-2016第二部分，或GB 31604.49-2016第二部分</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铬（Cr）迁移量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4806.9-2016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31604.25，或GB 31604.49-2016第二部分</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镍（Ni）迁移量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4806.9-2016</w:t>
            </w:r>
          </w:p>
        </w:tc>
        <w:tc>
          <w:tcPr>
            <w:tcW w:w="1238" w:type="dxa"/>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31604.33，或GB 31604.49-2016第二部分</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食品用聚四氟乙烯涂层制品</w:t>
            </w: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总迁移量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4806.10-2016</w:t>
            </w:r>
          </w:p>
        </w:tc>
        <w:tc>
          <w:tcPr>
            <w:tcW w:w="1238"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31604.8-2016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高锰酸钾消耗量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4806.10-2016</w:t>
            </w:r>
          </w:p>
        </w:tc>
        <w:tc>
          <w:tcPr>
            <w:tcW w:w="1238"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31604.2-2016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重金属</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4806.10-2016</w:t>
            </w:r>
          </w:p>
        </w:tc>
        <w:tc>
          <w:tcPr>
            <w:tcW w:w="1238"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31604.9-2016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其他单体及其他起始物的特定迁移限量、特定迁移总量限量、最大残留量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4806.10-2016</w:t>
            </w:r>
          </w:p>
        </w:tc>
        <w:tc>
          <w:tcPr>
            <w:tcW w:w="1238"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SN/T 2257-2015等</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视产品标识或符合性声明而定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restart"/>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陶瓷制品</w:t>
            </w: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铅迁移量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4806.4-2016</w:t>
            </w:r>
          </w:p>
        </w:tc>
        <w:tc>
          <w:tcPr>
            <w:tcW w:w="1238"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31604.34-2016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cantSplit/>
          <w:trHeight w:val="454" w:hRule="atLeast"/>
        </w:trPr>
        <w:tc>
          <w:tcPr>
            <w:tcW w:w="492" w:type="dxa"/>
            <w:vMerge w:val="continue"/>
            <w:tcBorders>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8"/>
                <w:szCs w:val="18"/>
              </w:rPr>
            </w:pPr>
          </w:p>
        </w:tc>
        <w:tc>
          <w:tcPr>
            <w:tcW w:w="1237" w:type="dxa"/>
            <w:vMerge w:val="continue"/>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50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1714"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镉迁移量</w:t>
            </w:r>
          </w:p>
        </w:tc>
        <w:tc>
          <w:tcPr>
            <w:tcW w:w="1052"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4806.4-2016</w:t>
            </w:r>
          </w:p>
        </w:tc>
        <w:tc>
          <w:tcPr>
            <w:tcW w:w="1238"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31604.24-2016</w:t>
            </w:r>
          </w:p>
        </w:tc>
        <w:tc>
          <w:tcPr>
            <w:tcW w:w="568" w:type="dxa"/>
            <w:tcBorders>
              <w:right w:val="single" w:color="auto" w:sz="4" w:space="0"/>
              <w:tl2br w:val="nil"/>
              <w:tr2bl w:val="nil"/>
            </w:tcBorders>
            <w:shd w:val="clear" w:color="auto" w:fill="FFFFFF"/>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957" w:type="dxa"/>
            <w:tcBorders>
              <w:tl2br w:val="nil"/>
              <w:tr2bl w:val="nil"/>
            </w:tcBorders>
            <w:shd w:val="clear" w:color="auto" w:fill="FFFFFF"/>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2</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对触及带电部件的防护</w:t>
            </w:r>
          </w:p>
        </w:tc>
        <w:tc>
          <w:tcPr>
            <w:tcW w:w="1052" w:type="dxa"/>
            <w:vMerge w:val="restart"/>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4706.1-2005</w:t>
            </w:r>
          </w:p>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4706.19-2008</w:t>
            </w:r>
          </w:p>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4706.30-2008</w:t>
            </w:r>
          </w:p>
        </w:tc>
        <w:tc>
          <w:tcPr>
            <w:tcW w:w="1238" w:type="dxa"/>
            <w:vMerge w:val="restart"/>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4706.1-2005</w:t>
            </w:r>
          </w:p>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GB 4706.19-2008</w:t>
            </w:r>
          </w:p>
          <w:p>
            <w:pPr>
              <w:spacing w:line="240" w:lineRule="exact"/>
              <w:jc w:val="center"/>
              <w:textAlignment w:val="center"/>
              <w:rPr>
                <w:rFonts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000000"/>
                <w:sz w:val="18"/>
                <w:szCs w:val="18"/>
              </w:rPr>
              <w:t>GB 4706.30-2008</w:t>
            </w:r>
          </w:p>
        </w:tc>
        <w:tc>
          <w:tcPr>
            <w:tcW w:w="568" w:type="dxa"/>
            <w:tcBorders>
              <w:tl2br w:val="nil"/>
              <w:tr2bl w:val="nil"/>
            </w:tcBorders>
            <w:vAlign w:val="center"/>
          </w:tcPr>
          <w:p>
            <w:pPr>
              <w:spacing w:line="240" w:lineRule="exact"/>
              <w:jc w:val="center"/>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957" w:type="dxa"/>
            <w:vMerge w:val="restart"/>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3</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输入功率和电流</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tl2br w:val="nil"/>
              <w:tr2bl w:val="nil"/>
            </w:tcBorders>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4</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发热</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tl2br w:val="nil"/>
              <w:tr2bl w:val="nil"/>
            </w:tcBorders>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5</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工作温度下的泄漏电流和电气强度</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tl2br w:val="nil"/>
              <w:tr2bl w:val="nil"/>
            </w:tcBorders>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耐潮湿</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tl2br w:val="nil"/>
              <w:tr2bl w:val="nil"/>
            </w:tcBorders>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7</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泄漏电流和电气强度</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tl2br w:val="nil"/>
              <w:tr2bl w:val="nil"/>
            </w:tcBorders>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8</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非正常工作</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tl2br w:val="nil"/>
              <w:tr2bl w:val="nil"/>
            </w:tcBorders>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9</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稳定性和机械危险</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right w:val="single" w:color="auto" w:sz="4" w:space="0"/>
              <w:tl2br w:val="nil"/>
              <w:tr2bl w:val="nil"/>
            </w:tcBorders>
            <w:tcMar>
              <w:top w:w="15" w:type="dxa"/>
              <w:left w:w="15" w:type="dxa"/>
              <w:right w:w="15" w:type="dxa"/>
            </w:tcMar>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10</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机械强度</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right w:val="single" w:color="auto" w:sz="4" w:space="0"/>
              <w:tl2br w:val="nil"/>
              <w:tr2bl w:val="nil"/>
            </w:tcBorders>
            <w:tcMar>
              <w:top w:w="15" w:type="dxa"/>
              <w:left w:w="15" w:type="dxa"/>
              <w:right w:w="15" w:type="dxa"/>
            </w:tcMar>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11</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结构</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right w:val="single" w:color="auto" w:sz="4" w:space="0"/>
              <w:tl2br w:val="nil"/>
              <w:tr2bl w:val="nil"/>
            </w:tcBorders>
            <w:tcMar>
              <w:top w:w="15" w:type="dxa"/>
              <w:left w:w="15" w:type="dxa"/>
              <w:right w:w="15" w:type="dxa"/>
            </w:tcMar>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12</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内部布线</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right w:val="single" w:color="auto" w:sz="4" w:space="0"/>
              <w:tl2br w:val="nil"/>
              <w:tr2bl w:val="nil"/>
            </w:tcBorders>
            <w:tcMar>
              <w:top w:w="15" w:type="dxa"/>
              <w:left w:w="15" w:type="dxa"/>
              <w:right w:w="15" w:type="dxa"/>
            </w:tcMar>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13</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电源连接和外部软线</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right w:val="single" w:color="auto" w:sz="4" w:space="0"/>
              <w:tl2br w:val="nil"/>
              <w:tr2bl w:val="nil"/>
            </w:tcBorders>
            <w:tcMar>
              <w:top w:w="15" w:type="dxa"/>
              <w:left w:w="15" w:type="dxa"/>
              <w:right w:w="15" w:type="dxa"/>
            </w:tcMar>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14</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外部导线用接线端子</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right w:val="single" w:color="auto" w:sz="4" w:space="0"/>
              <w:tl2br w:val="nil"/>
              <w:tr2bl w:val="nil"/>
            </w:tcBorders>
            <w:tcMar>
              <w:top w:w="15" w:type="dxa"/>
              <w:left w:w="15" w:type="dxa"/>
              <w:right w:w="15" w:type="dxa"/>
            </w:tcMar>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15</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接地措施</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right w:val="single" w:color="auto" w:sz="4" w:space="0"/>
              <w:tl2br w:val="nil"/>
              <w:tr2bl w:val="nil"/>
            </w:tcBorders>
            <w:tcMar>
              <w:top w:w="15" w:type="dxa"/>
              <w:left w:w="15" w:type="dxa"/>
              <w:right w:w="15" w:type="dxa"/>
            </w:tcMar>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16</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螺钉和连接</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right w:val="single" w:color="auto" w:sz="4" w:space="0"/>
              <w:tl2br w:val="nil"/>
              <w:tr2bl w:val="nil"/>
            </w:tcBorders>
            <w:tcMar>
              <w:top w:w="15" w:type="dxa"/>
              <w:left w:w="15" w:type="dxa"/>
              <w:right w:w="15" w:type="dxa"/>
            </w:tcMar>
            <w:vAlign w:val="center"/>
          </w:tcPr>
          <w:p>
            <w:pPr>
              <w:spacing w:line="240" w:lineRule="exact"/>
              <w:jc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492" w:type="dxa"/>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17</w:t>
            </w:r>
          </w:p>
        </w:tc>
        <w:tc>
          <w:tcPr>
            <w:tcW w:w="3458" w:type="dxa"/>
            <w:gridSpan w:val="3"/>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电气间隙、爬电距离和固体绝缘</w:t>
            </w:r>
          </w:p>
        </w:tc>
        <w:tc>
          <w:tcPr>
            <w:tcW w:w="1052" w:type="dxa"/>
            <w:vMerge w:val="continue"/>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000000"/>
                <w:sz w:val="18"/>
                <w:szCs w:val="18"/>
              </w:rPr>
            </w:pPr>
          </w:p>
        </w:tc>
        <w:tc>
          <w:tcPr>
            <w:tcW w:w="1238" w:type="dxa"/>
            <w:vMerge w:val="continue"/>
            <w:tcBorders>
              <w:tl2br w:val="nil"/>
              <w:tr2bl w:val="nil"/>
            </w:tcBorders>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568" w:type="dxa"/>
            <w:tcBorders>
              <w:righ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5"/>
                <w:szCs w:val="15"/>
              </w:rPr>
            </w:pPr>
            <w:r>
              <w:rPr>
                <w:rFonts w:hint="eastAsia" w:asciiTheme="minorEastAsia" w:hAnsiTheme="minorEastAsia" w:eastAsiaTheme="minorEastAsia" w:cstheme="minorEastAsia"/>
                <w:color w:val="000000"/>
                <w:sz w:val="15"/>
                <w:szCs w:val="15"/>
              </w:rPr>
              <w:t>●</w:t>
            </w:r>
          </w:p>
        </w:tc>
        <w:tc>
          <w:tcPr>
            <w:tcW w:w="675" w:type="dxa"/>
            <w:tcBorders>
              <w:left w:val="single" w:color="auto" w:sz="4" w:space="0"/>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c>
          <w:tcPr>
            <w:tcW w:w="957" w:type="dxa"/>
            <w:tcBorders>
              <w:tl2br w:val="nil"/>
              <w:tr2bl w:val="nil"/>
            </w:tcBorders>
            <w:tcMar>
              <w:top w:w="15" w:type="dxa"/>
              <w:left w:w="15" w:type="dxa"/>
              <w:right w:w="15" w:type="dxa"/>
            </w:tcMar>
            <w:vAlign w:val="center"/>
          </w:tcPr>
          <w:p>
            <w:pPr>
              <w:spacing w:line="240" w:lineRule="exact"/>
              <w:jc w:val="center"/>
              <w:textAlignment w:val="center"/>
              <w:rPr>
                <w:rFonts w:asciiTheme="minorEastAsia" w:hAnsiTheme="minorEastAsia" w:eastAsiaTheme="minorEastAsia" w:cstheme="minorEastAsia"/>
                <w:color w:val="FF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54" w:hRule="atLeast"/>
        </w:trPr>
        <w:tc>
          <w:tcPr>
            <w:tcW w:w="8440" w:type="dxa"/>
            <w:gridSpan w:val="9"/>
            <w:tcBorders>
              <w:tl2br w:val="nil"/>
              <w:tr2bl w:val="nil"/>
            </w:tcBorders>
            <w:vAlign w:val="center"/>
          </w:tcPr>
          <w:p>
            <w:pPr>
              <w:spacing w:line="400" w:lineRule="exact"/>
              <w:ind w:firstLine="210" w:firstLineChars="100"/>
              <w:rPr>
                <w:rFonts w:asciiTheme="minorEastAsia" w:hAnsiTheme="minorEastAsia" w:eastAsiaTheme="minorEastAsia" w:cstheme="minorEastAsia"/>
              </w:rPr>
            </w:pPr>
            <w:r>
              <w:rPr>
                <w:rFonts w:hint="eastAsia" w:asciiTheme="minorEastAsia" w:hAnsiTheme="minorEastAsia" w:eastAsiaTheme="minorEastAsia" w:cstheme="minorEastAsia"/>
                <w:vertAlign w:val="superscript"/>
              </w:rPr>
              <w:t xml:space="preserve">a </w:t>
            </w:r>
            <w:r>
              <w:rPr>
                <w:rFonts w:hint="eastAsia" w:asciiTheme="minorEastAsia" w:hAnsiTheme="minorEastAsia" w:eastAsiaTheme="minorEastAsia" w:cstheme="minorEastAsia"/>
              </w:rPr>
              <w:t>极重要质量项目</w:t>
            </w:r>
          </w:p>
          <w:p>
            <w:pPr>
              <w:spacing w:line="240" w:lineRule="exact"/>
              <w:ind w:firstLine="210" w:firstLineChars="100"/>
              <w:textAlignment w:val="center"/>
              <w:rPr>
                <w:rFonts w:asciiTheme="minorEastAsia" w:hAnsiTheme="minorEastAsia" w:eastAsiaTheme="minorEastAsia" w:cstheme="minorEastAsia"/>
                <w:vertAlign w:val="superscript"/>
              </w:rPr>
            </w:pPr>
            <w:r>
              <w:rPr>
                <w:rFonts w:hint="eastAsia" w:asciiTheme="minorEastAsia" w:hAnsiTheme="minorEastAsia" w:eastAsiaTheme="minorEastAsia" w:cstheme="minorEastAsia"/>
                <w:vertAlign w:val="superscript"/>
              </w:rPr>
              <w:t>b</w:t>
            </w:r>
            <w:r>
              <w:rPr>
                <w:rFonts w:hint="eastAsia" w:asciiTheme="minorEastAsia" w:hAnsiTheme="minorEastAsia" w:eastAsiaTheme="minorEastAsia" w:cstheme="minorEastAsia"/>
              </w:rPr>
              <w:t xml:space="preserve"> 重要质量项目</w:t>
            </w:r>
          </w:p>
        </w:tc>
      </w:tr>
    </w:tbl>
    <w:p>
      <w:pPr>
        <w:snapToGrid w:val="0"/>
        <w:spacing w:line="360" w:lineRule="auto"/>
        <w:ind w:firstLine="420" w:firstLineChars="200"/>
        <w:jc w:val="left"/>
        <w:rPr>
          <w:rFonts w:ascii="宋体" w:cs="宋体"/>
        </w:rPr>
      </w:pPr>
      <w:r>
        <w:rPr>
          <w:rFonts w:hint="eastAsia" w:ascii="宋体" w:hAnsi="宋体" w:cs="宋体"/>
        </w:rPr>
        <w:t>注：①极重要质量项目是指直接涉及人体健康、使用安全的指标；重要质量项目是指产品涉及环保、能效、关键性能或特征值的指标。</w:t>
      </w:r>
    </w:p>
    <w:p>
      <w:pPr>
        <w:snapToGrid w:val="0"/>
        <w:spacing w:line="360" w:lineRule="auto"/>
        <w:ind w:firstLine="420" w:firstLineChars="200"/>
        <w:jc w:val="left"/>
        <w:rPr>
          <w:rFonts w:ascii="宋体" w:cs="宋体"/>
        </w:rPr>
      </w:pPr>
      <w:r>
        <w:rPr>
          <w:rFonts w:hint="eastAsia" w:ascii="宋体" w:hAnsi="宋体" w:cs="宋体"/>
        </w:rPr>
        <w:t>②上表所列检验项目是有关法律法规、标准等规定的，重点涉及健康、安全、节能、环保以及消费者、有关组织反映有质量问题的重要项目。</w:t>
      </w:r>
    </w:p>
    <w:p>
      <w:pPr>
        <w:snapToGrid w:val="0"/>
        <w:spacing w:line="360" w:lineRule="auto"/>
        <w:rPr>
          <w:b/>
          <w:bCs/>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.2 检验应注意的问题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若被检产品明示的质量要求高于本规范中检验项目依据的标准要求时，应按被检产品明示的质量要求判定。</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若被检产品明示的质量要求低于本规范中检验项目依据的强制性标准要求时，应按照强制性标准要求判定。</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若被检产品明示的质量要求低于或包含本规范中检验项目依据的推荐性标准要求时，应以被检产品明示的质量要求判定。</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若被检产品明示的质量要求缺少本规范中检验项目依据的强制性标准要求时，应按照强制性标准要求判定。</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若被检产品明示的质量要求缺少本规范中检验项目依据的推荐性标准要求时，该项目不参与判定，但应在检验报告备注中进行说明。</w:t>
      </w:r>
    </w:p>
    <w:p>
      <w:pPr>
        <w:spacing w:line="360" w:lineRule="auto"/>
        <w:rPr>
          <w:rFonts w:ascii="黑体" w:hAnsi="黑体" w:eastAsia="黑体" w:cstheme="minorEastAsia"/>
          <w:b w:val="0"/>
          <w:bCs w:val="0"/>
          <w:sz w:val="28"/>
          <w:szCs w:val="28"/>
        </w:rPr>
      </w:pPr>
      <w:r>
        <w:rPr>
          <w:rFonts w:hint="eastAsia" w:ascii="黑体" w:hAnsi="黑体" w:eastAsia="黑体" w:cstheme="minorEastAsia"/>
          <w:b w:val="0"/>
          <w:bCs w:val="0"/>
          <w:sz w:val="28"/>
          <w:szCs w:val="28"/>
          <w:lang w:val="en-US" w:eastAsia="zh-CN"/>
        </w:rPr>
        <w:t>5</w:t>
      </w:r>
      <w:r>
        <w:rPr>
          <w:rFonts w:hint="eastAsia" w:ascii="黑体" w:hAnsi="黑体" w:eastAsia="黑体" w:cstheme="minorEastAsia"/>
          <w:b w:val="0"/>
          <w:bCs w:val="0"/>
          <w:sz w:val="28"/>
          <w:szCs w:val="28"/>
        </w:rPr>
        <w:t xml:space="preserve"> 判定原则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经检验，检验项目全部合格，判定为被抽查产品合格；检验项目中任一项或一项以上不合格，判定为被抽查产品不合格。其中，当产品存在A类项目不合格时，属于严重不合格。</w:t>
      </w:r>
    </w:p>
    <w:p>
      <w:pPr>
        <w:spacing w:line="360" w:lineRule="auto"/>
        <w:rPr>
          <w:rFonts w:ascii="黑体" w:hAnsi="黑体" w:eastAsia="黑体" w:cstheme="minorEastAsia"/>
          <w:b w:val="0"/>
          <w:bCs w:val="0"/>
          <w:sz w:val="28"/>
          <w:szCs w:val="28"/>
        </w:rPr>
      </w:pPr>
      <w:r>
        <w:rPr>
          <w:rFonts w:hint="eastAsia" w:ascii="黑体" w:hAnsi="黑体" w:eastAsia="黑体" w:cstheme="minorEastAsia"/>
          <w:b w:val="0"/>
          <w:bCs w:val="0"/>
          <w:sz w:val="28"/>
          <w:szCs w:val="28"/>
          <w:lang w:val="en-US" w:eastAsia="zh-CN"/>
        </w:rPr>
        <w:t>6</w:t>
      </w:r>
      <w:r>
        <w:rPr>
          <w:rFonts w:hint="eastAsia" w:ascii="黑体" w:hAnsi="黑体" w:eastAsia="黑体" w:cstheme="minorEastAsia"/>
          <w:b w:val="0"/>
          <w:bCs w:val="0"/>
          <w:sz w:val="28"/>
          <w:szCs w:val="28"/>
        </w:rPr>
        <w:t xml:space="preserve"> 异议处理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对判定不合格产品进行复检时，按以下方式进行：</w:t>
      </w:r>
    </w:p>
    <w:p>
      <w:pPr>
        <w:widowControl w:val="0"/>
        <w:spacing w:line="360" w:lineRule="auto"/>
        <w:ind w:firstLine="560" w:firstLineChars="20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lang w:val="en-US" w:eastAsia="zh-CN"/>
        </w:rPr>
        <w:t>对不合格项目复检时，可以在原样上检验的在原样上复检，不可以在原样上检验的采用备用样复检。</w:t>
      </w:r>
      <w:r>
        <w:rPr>
          <w:rFonts w:hint="eastAsia" w:ascii="仿宋_GB2312" w:hAnsi="仿宋_GB2312" w:eastAsia="仿宋_GB2312" w:cs="仿宋_GB2312"/>
          <w:kern w:val="0"/>
          <w:sz w:val="28"/>
          <w:szCs w:val="28"/>
        </w:rPr>
        <w:t>复检结论为最终</w:t>
      </w:r>
      <w:r>
        <w:rPr>
          <w:rFonts w:hint="eastAsia" w:ascii="仿宋_GB2312" w:hAnsi="仿宋_GB2312" w:eastAsia="仿宋_GB2312" w:cs="仿宋_GB2312"/>
          <w:kern w:val="0"/>
          <w:sz w:val="28"/>
          <w:szCs w:val="28"/>
          <w:lang w:eastAsia="zh-CN"/>
        </w:rPr>
        <w:t>检验</w:t>
      </w:r>
      <w:r>
        <w:rPr>
          <w:rFonts w:hint="eastAsia" w:ascii="仿宋_GB2312" w:hAnsi="仿宋_GB2312" w:eastAsia="仿宋_GB2312" w:cs="仿宋_GB2312"/>
          <w:kern w:val="0"/>
          <w:sz w:val="28"/>
          <w:szCs w:val="28"/>
        </w:rPr>
        <w:t>结论</w:t>
      </w:r>
      <w:r>
        <w:rPr>
          <w:rFonts w:hint="eastAsia" w:ascii="仿宋_GB2312" w:hAnsi="仿宋_GB2312" w:eastAsia="仿宋_GB2312" w:cs="仿宋_GB2312"/>
          <w:kern w:val="2"/>
          <w:sz w:val="28"/>
          <w:szCs w:val="28"/>
        </w:rPr>
        <w:t>。</w:t>
      </w:r>
    </w:p>
    <w:p>
      <w:pPr>
        <w:spacing w:line="560" w:lineRule="exact"/>
        <w:ind w:firstLine="560" w:firstLineChars="200"/>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法律、法规规定不得复检的其他情况</w:t>
      </w:r>
      <w:r>
        <w:rPr>
          <w:rFonts w:hint="eastAsia" w:ascii="仿宋_GB2312" w:hAnsi="仿宋_GB2312" w:eastAsia="仿宋_GB2312" w:cs="仿宋_GB2312"/>
          <w:sz w:val="28"/>
          <w:szCs w:val="28"/>
          <w:lang w:eastAsia="zh-CN"/>
        </w:rPr>
        <w:t>除外</w:t>
      </w:r>
      <w:r>
        <w:rPr>
          <w:rFonts w:hint="eastAsia" w:ascii="仿宋_GB2312" w:hAnsi="仿宋_GB2312" w:eastAsia="仿宋_GB2312" w:cs="仿宋_GB2312"/>
          <w:sz w:val="28"/>
          <w:szCs w:val="28"/>
        </w:rPr>
        <w:t>。</w:t>
      </w:r>
    </w:p>
    <w:p>
      <w:pPr>
        <w:spacing w:line="360" w:lineRule="auto"/>
        <w:ind w:firstLine="560" w:firstLineChars="200"/>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文鼎小标宋简">
    <w:panose1 w:val="02010609010101010101"/>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文鼎小标宋简">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6</w:t>
    </w:r>
    <w:r>
      <w:rPr>
        <w:kern w:val="0"/>
        <w:szCs w:val="21"/>
      </w:rPr>
      <w:fldChar w:fldCharType="end"/>
    </w:r>
    <w:r>
      <w:rPr>
        <w:rFonts w:hint="eastAsia"/>
        <w:kern w:val="0"/>
        <w:szCs w:val="21"/>
      </w:rPr>
      <w:t xml:space="preserve"> 页</w:t>
    </w:r>
  </w:p>
  <w:p>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E6"/>
    <w:rsid w:val="0000323D"/>
    <w:rsid w:val="00003631"/>
    <w:rsid w:val="00004990"/>
    <w:rsid w:val="00013D4F"/>
    <w:rsid w:val="00016DB6"/>
    <w:rsid w:val="00021189"/>
    <w:rsid w:val="00024894"/>
    <w:rsid w:val="000249C7"/>
    <w:rsid w:val="00043AE6"/>
    <w:rsid w:val="000442CD"/>
    <w:rsid w:val="00054062"/>
    <w:rsid w:val="0005672E"/>
    <w:rsid w:val="000651CE"/>
    <w:rsid w:val="00066CD0"/>
    <w:rsid w:val="00067325"/>
    <w:rsid w:val="00072879"/>
    <w:rsid w:val="00082C69"/>
    <w:rsid w:val="00083EC4"/>
    <w:rsid w:val="0008425F"/>
    <w:rsid w:val="00086AE8"/>
    <w:rsid w:val="00093A3E"/>
    <w:rsid w:val="00095FD3"/>
    <w:rsid w:val="000978CE"/>
    <w:rsid w:val="000A49FF"/>
    <w:rsid w:val="000B5334"/>
    <w:rsid w:val="000B59E2"/>
    <w:rsid w:val="000D091A"/>
    <w:rsid w:val="000D0DF9"/>
    <w:rsid w:val="000D5E81"/>
    <w:rsid w:val="000E4C67"/>
    <w:rsid w:val="000E6DA2"/>
    <w:rsid w:val="000F5F8D"/>
    <w:rsid w:val="00111E95"/>
    <w:rsid w:val="0011542D"/>
    <w:rsid w:val="00121286"/>
    <w:rsid w:val="00121C1B"/>
    <w:rsid w:val="00122408"/>
    <w:rsid w:val="0012422D"/>
    <w:rsid w:val="001258EB"/>
    <w:rsid w:val="0012609E"/>
    <w:rsid w:val="00133218"/>
    <w:rsid w:val="00134BA2"/>
    <w:rsid w:val="001375E2"/>
    <w:rsid w:val="00147512"/>
    <w:rsid w:val="00153865"/>
    <w:rsid w:val="00160059"/>
    <w:rsid w:val="00162E85"/>
    <w:rsid w:val="00166479"/>
    <w:rsid w:val="00174996"/>
    <w:rsid w:val="0018234C"/>
    <w:rsid w:val="00192FEB"/>
    <w:rsid w:val="001A3F93"/>
    <w:rsid w:val="001A4B62"/>
    <w:rsid w:val="001A7B48"/>
    <w:rsid w:val="001B3BB7"/>
    <w:rsid w:val="001B4148"/>
    <w:rsid w:val="001B5D43"/>
    <w:rsid w:val="001B7723"/>
    <w:rsid w:val="001C5C58"/>
    <w:rsid w:val="001C6B14"/>
    <w:rsid w:val="001C7C9A"/>
    <w:rsid w:val="001D025B"/>
    <w:rsid w:val="001D586B"/>
    <w:rsid w:val="001D6C8E"/>
    <w:rsid w:val="001E014E"/>
    <w:rsid w:val="001E71C9"/>
    <w:rsid w:val="002022E4"/>
    <w:rsid w:val="00203BDF"/>
    <w:rsid w:val="00206707"/>
    <w:rsid w:val="0020683D"/>
    <w:rsid w:val="00210AB6"/>
    <w:rsid w:val="00234493"/>
    <w:rsid w:val="0023490D"/>
    <w:rsid w:val="00237BBC"/>
    <w:rsid w:val="0024525B"/>
    <w:rsid w:val="0024609D"/>
    <w:rsid w:val="00246554"/>
    <w:rsid w:val="002469A8"/>
    <w:rsid w:val="002479D8"/>
    <w:rsid w:val="00247FD5"/>
    <w:rsid w:val="00254ABA"/>
    <w:rsid w:val="00256641"/>
    <w:rsid w:val="00265CE6"/>
    <w:rsid w:val="00265EE8"/>
    <w:rsid w:val="0026672B"/>
    <w:rsid w:val="002741EC"/>
    <w:rsid w:val="002744FE"/>
    <w:rsid w:val="002777D7"/>
    <w:rsid w:val="00282352"/>
    <w:rsid w:val="00285C6A"/>
    <w:rsid w:val="00286B7E"/>
    <w:rsid w:val="00290652"/>
    <w:rsid w:val="002948BA"/>
    <w:rsid w:val="00294B61"/>
    <w:rsid w:val="002A447C"/>
    <w:rsid w:val="002B5B54"/>
    <w:rsid w:val="002C0EE8"/>
    <w:rsid w:val="002C1F95"/>
    <w:rsid w:val="002C4DE9"/>
    <w:rsid w:val="002C5463"/>
    <w:rsid w:val="002C6E60"/>
    <w:rsid w:val="002D3E44"/>
    <w:rsid w:val="002D68AE"/>
    <w:rsid w:val="002D68C3"/>
    <w:rsid w:val="002E239C"/>
    <w:rsid w:val="002E2AB5"/>
    <w:rsid w:val="002F3B86"/>
    <w:rsid w:val="002F4C73"/>
    <w:rsid w:val="002F5AB3"/>
    <w:rsid w:val="003066EB"/>
    <w:rsid w:val="003206B0"/>
    <w:rsid w:val="00324F41"/>
    <w:rsid w:val="00330E0C"/>
    <w:rsid w:val="00342BDA"/>
    <w:rsid w:val="00346307"/>
    <w:rsid w:val="00346BFA"/>
    <w:rsid w:val="00353A85"/>
    <w:rsid w:val="00353FF3"/>
    <w:rsid w:val="00355808"/>
    <w:rsid w:val="0035749C"/>
    <w:rsid w:val="00360F40"/>
    <w:rsid w:val="00361945"/>
    <w:rsid w:val="00366B18"/>
    <w:rsid w:val="00376CE9"/>
    <w:rsid w:val="00377589"/>
    <w:rsid w:val="00377F26"/>
    <w:rsid w:val="003810F7"/>
    <w:rsid w:val="00385133"/>
    <w:rsid w:val="0039085B"/>
    <w:rsid w:val="00390A86"/>
    <w:rsid w:val="00392D72"/>
    <w:rsid w:val="003964D3"/>
    <w:rsid w:val="003A0613"/>
    <w:rsid w:val="003A359B"/>
    <w:rsid w:val="003A448E"/>
    <w:rsid w:val="003A5822"/>
    <w:rsid w:val="003A7BE1"/>
    <w:rsid w:val="003C0F2D"/>
    <w:rsid w:val="003C3F84"/>
    <w:rsid w:val="003C4ECD"/>
    <w:rsid w:val="003C4F31"/>
    <w:rsid w:val="003D2DF6"/>
    <w:rsid w:val="003D5579"/>
    <w:rsid w:val="003E1ECD"/>
    <w:rsid w:val="003E222B"/>
    <w:rsid w:val="003E5476"/>
    <w:rsid w:val="003E576B"/>
    <w:rsid w:val="003F2AD4"/>
    <w:rsid w:val="003F2EE0"/>
    <w:rsid w:val="0040662C"/>
    <w:rsid w:val="004144E3"/>
    <w:rsid w:val="00421AFC"/>
    <w:rsid w:val="00425698"/>
    <w:rsid w:val="0043467B"/>
    <w:rsid w:val="00437601"/>
    <w:rsid w:val="004448C6"/>
    <w:rsid w:val="00446600"/>
    <w:rsid w:val="00452BCF"/>
    <w:rsid w:val="004550BE"/>
    <w:rsid w:val="00461C5B"/>
    <w:rsid w:val="00471B52"/>
    <w:rsid w:val="00473603"/>
    <w:rsid w:val="004807E0"/>
    <w:rsid w:val="0048653A"/>
    <w:rsid w:val="0048740E"/>
    <w:rsid w:val="004A4669"/>
    <w:rsid w:val="004A5C88"/>
    <w:rsid w:val="004B21C8"/>
    <w:rsid w:val="004C2354"/>
    <w:rsid w:val="004C3E4A"/>
    <w:rsid w:val="004C4310"/>
    <w:rsid w:val="004D4392"/>
    <w:rsid w:val="004E1814"/>
    <w:rsid w:val="004E313E"/>
    <w:rsid w:val="004E488A"/>
    <w:rsid w:val="004E5154"/>
    <w:rsid w:val="004F2351"/>
    <w:rsid w:val="004F52C1"/>
    <w:rsid w:val="004F57C0"/>
    <w:rsid w:val="004F6D53"/>
    <w:rsid w:val="004F72F1"/>
    <w:rsid w:val="00500137"/>
    <w:rsid w:val="00504A41"/>
    <w:rsid w:val="00507DBA"/>
    <w:rsid w:val="005141B5"/>
    <w:rsid w:val="00514752"/>
    <w:rsid w:val="00520998"/>
    <w:rsid w:val="00522FB0"/>
    <w:rsid w:val="005301A1"/>
    <w:rsid w:val="00534051"/>
    <w:rsid w:val="00541515"/>
    <w:rsid w:val="00550E56"/>
    <w:rsid w:val="00551AA5"/>
    <w:rsid w:val="00552921"/>
    <w:rsid w:val="005572D6"/>
    <w:rsid w:val="00557D63"/>
    <w:rsid w:val="00557D9B"/>
    <w:rsid w:val="0056191D"/>
    <w:rsid w:val="005628F1"/>
    <w:rsid w:val="00563F14"/>
    <w:rsid w:val="0056600C"/>
    <w:rsid w:val="00571C83"/>
    <w:rsid w:val="005728DA"/>
    <w:rsid w:val="00575CCC"/>
    <w:rsid w:val="0059284C"/>
    <w:rsid w:val="00592A0A"/>
    <w:rsid w:val="00594516"/>
    <w:rsid w:val="00595F36"/>
    <w:rsid w:val="005A0A60"/>
    <w:rsid w:val="005A57C4"/>
    <w:rsid w:val="005B106E"/>
    <w:rsid w:val="005B3D4F"/>
    <w:rsid w:val="005B7617"/>
    <w:rsid w:val="005C0F7E"/>
    <w:rsid w:val="005C1DF5"/>
    <w:rsid w:val="005D73D2"/>
    <w:rsid w:val="005E0762"/>
    <w:rsid w:val="005E26F3"/>
    <w:rsid w:val="00600543"/>
    <w:rsid w:val="00601D02"/>
    <w:rsid w:val="006062EA"/>
    <w:rsid w:val="00611F8F"/>
    <w:rsid w:val="006123AA"/>
    <w:rsid w:val="00623491"/>
    <w:rsid w:val="00624242"/>
    <w:rsid w:val="00624289"/>
    <w:rsid w:val="00641FF6"/>
    <w:rsid w:val="006512A5"/>
    <w:rsid w:val="006533C5"/>
    <w:rsid w:val="00654C69"/>
    <w:rsid w:val="00656D69"/>
    <w:rsid w:val="00660B91"/>
    <w:rsid w:val="006647E1"/>
    <w:rsid w:val="00664E50"/>
    <w:rsid w:val="006659EB"/>
    <w:rsid w:val="00666807"/>
    <w:rsid w:val="00672127"/>
    <w:rsid w:val="00674A07"/>
    <w:rsid w:val="00694D8A"/>
    <w:rsid w:val="00695D54"/>
    <w:rsid w:val="006A05CF"/>
    <w:rsid w:val="006A7219"/>
    <w:rsid w:val="006B2CD0"/>
    <w:rsid w:val="006C2038"/>
    <w:rsid w:val="006C55D3"/>
    <w:rsid w:val="006D204B"/>
    <w:rsid w:val="006D4242"/>
    <w:rsid w:val="006D6D81"/>
    <w:rsid w:val="006E6F67"/>
    <w:rsid w:val="006F07A1"/>
    <w:rsid w:val="006F28E0"/>
    <w:rsid w:val="006F38A9"/>
    <w:rsid w:val="006F4E40"/>
    <w:rsid w:val="006F5B84"/>
    <w:rsid w:val="006F7E8C"/>
    <w:rsid w:val="0070012A"/>
    <w:rsid w:val="00702C1E"/>
    <w:rsid w:val="007222B7"/>
    <w:rsid w:val="007243FC"/>
    <w:rsid w:val="007248DE"/>
    <w:rsid w:val="0073413F"/>
    <w:rsid w:val="00744A50"/>
    <w:rsid w:val="00744AD9"/>
    <w:rsid w:val="00744BB7"/>
    <w:rsid w:val="00756641"/>
    <w:rsid w:val="007656D7"/>
    <w:rsid w:val="00767821"/>
    <w:rsid w:val="007714FD"/>
    <w:rsid w:val="00782A1B"/>
    <w:rsid w:val="00783366"/>
    <w:rsid w:val="0078737D"/>
    <w:rsid w:val="0079002A"/>
    <w:rsid w:val="00791B0F"/>
    <w:rsid w:val="007A4E3C"/>
    <w:rsid w:val="007B7FEB"/>
    <w:rsid w:val="007D2A33"/>
    <w:rsid w:val="007D743D"/>
    <w:rsid w:val="007E1E14"/>
    <w:rsid w:val="007E703B"/>
    <w:rsid w:val="007F12A0"/>
    <w:rsid w:val="00801750"/>
    <w:rsid w:val="008055A5"/>
    <w:rsid w:val="008127EF"/>
    <w:rsid w:val="00814044"/>
    <w:rsid w:val="008142B4"/>
    <w:rsid w:val="00815154"/>
    <w:rsid w:val="008205A8"/>
    <w:rsid w:val="008238F7"/>
    <w:rsid w:val="00823F8A"/>
    <w:rsid w:val="00825918"/>
    <w:rsid w:val="00830B60"/>
    <w:rsid w:val="008358A7"/>
    <w:rsid w:val="00835BE7"/>
    <w:rsid w:val="00836820"/>
    <w:rsid w:val="00837419"/>
    <w:rsid w:val="008400FE"/>
    <w:rsid w:val="0084704E"/>
    <w:rsid w:val="00852ECB"/>
    <w:rsid w:val="00853555"/>
    <w:rsid w:val="00856859"/>
    <w:rsid w:val="008642D4"/>
    <w:rsid w:val="00864B85"/>
    <w:rsid w:val="008739CC"/>
    <w:rsid w:val="00874976"/>
    <w:rsid w:val="008753BA"/>
    <w:rsid w:val="00890246"/>
    <w:rsid w:val="008B12F1"/>
    <w:rsid w:val="008B1DB4"/>
    <w:rsid w:val="008B66BC"/>
    <w:rsid w:val="008B6FD3"/>
    <w:rsid w:val="008B7FAB"/>
    <w:rsid w:val="008C11F5"/>
    <w:rsid w:val="008D2C04"/>
    <w:rsid w:val="008D6EB6"/>
    <w:rsid w:val="008D7CE4"/>
    <w:rsid w:val="009068B1"/>
    <w:rsid w:val="0090770B"/>
    <w:rsid w:val="009141B8"/>
    <w:rsid w:val="0092157B"/>
    <w:rsid w:val="009215B9"/>
    <w:rsid w:val="00921A53"/>
    <w:rsid w:val="0093223F"/>
    <w:rsid w:val="00933B24"/>
    <w:rsid w:val="009351ED"/>
    <w:rsid w:val="009363E3"/>
    <w:rsid w:val="00936B0E"/>
    <w:rsid w:val="009539E0"/>
    <w:rsid w:val="009543AA"/>
    <w:rsid w:val="00960A57"/>
    <w:rsid w:val="009734DB"/>
    <w:rsid w:val="00973E59"/>
    <w:rsid w:val="00974132"/>
    <w:rsid w:val="00985008"/>
    <w:rsid w:val="00986735"/>
    <w:rsid w:val="00986E52"/>
    <w:rsid w:val="0099031D"/>
    <w:rsid w:val="00993DFD"/>
    <w:rsid w:val="00994F8C"/>
    <w:rsid w:val="00997A8A"/>
    <w:rsid w:val="00997F45"/>
    <w:rsid w:val="009A2411"/>
    <w:rsid w:val="009B179D"/>
    <w:rsid w:val="009B6018"/>
    <w:rsid w:val="009B636C"/>
    <w:rsid w:val="009B66AC"/>
    <w:rsid w:val="009C3342"/>
    <w:rsid w:val="009C6B29"/>
    <w:rsid w:val="009D2C31"/>
    <w:rsid w:val="009D51F0"/>
    <w:rsid w:val="009D7192"/>
    <w:rsid w:val="009E44DC"/>
    <w:rsid w:val="009E4585"/>
    <w:rsid w:val="009F3408"/>
    <w:rsid w:val="00A00289"/>
    <w:rsid w:val="00A06F4E"/>
    <w:rsid w:val="00A15065"/>
    <w:rsid w:val="00A15D9C"/>
    <w:rsid w:val="00A26086"/>
    <w:rsid w:val="00A26220"/>
    <w:rsid w:val="00A27EA5"/>
    <w:rsid w:val="00A3179B"/>
    <w:rsid w:val="00A35B25"/>
    <w:rsid w:val="00A36701"/>
    <w:rsid w:val="00A4628C"/>
    <w:rsid w:val="00A47A4E"/>
    <w:rsid w:val="00A5640C"/>
    <w:rsid w:val="00A615B7"/>
    <w:rsid w:val="00A625D6"/>
    <w:rsid w:val="00A62ACF"/>
    <w:rsid w:val="00A70214"/>
    <w:rsid w:val="00A74821"/>
    <w:rsid w:val="00A76246"/>
    <w:rsid w:val="00A84523"/>
    <w:rsid w:val="00A928CB"/>
    <w:rsid w:val="00AA20E3"/>
    <w:rsid w:val="00AA4BC6"/>
    <w:rsid w:val="00AB570B"/>
    <w:rsid w:val="00AB77F4"/>
    <w:rsid w:val="00AC396D"/>
    <w:rsid w:val="00AC5730"/>
    <w:rsid w:val="00AC7B31"/>
    <w:rsid w:val="00AD104F"/>
    <w:rsid w:val="00AD43DE"/>
    <w:rsid w:val="00AF0C2F"/>
    <w:rsid w:val="00B03805"/>
    <w:rsid w:val="00B118A8"/>
    <w:rsid w:val="00B15151"/>
    <w:rsid w:val="00B16862"/>
    <w:rsid w:val="00B43039"/>
    <w:rsid w:val="00B44ECC"/>
    <w:rsid w:val="00B460FB"/>
    <w:rsid w:val="00B46E0C"/>
    <w:rsid w:val="00B60498"/>
    <w:rsid w:val="00B65EC6"/>
    <w:rsid w:val="00B71551"/>
    <w:rsid w:val="00B71658"/>
    <w:rsid w:val="00B84F5A"/>
    <w:rsid w:val="00B87FC6"/>
    <w:rsid w:val="00B907B2"/>
    <w:rsid w:val="00B909D3"/>
    <w:rsid w:val="00B92645"/>
    <w:rsid w:val="00BA29B9"/>
    <w:rsid w:val="00BA7F25"/>
    <w:rsid w:val="00BB0DC7"/>
    <w:rsid w:val="00BB4DDA"/>
    <w:rsid w:val="00BB7127"/>
    <w:rsid w:val="00BC0489"/>
    <w:rsid w:val="00BC1588"/>
    <w:rsid w:val="00BC5730"/>
    <w:rsid w:val="00BD6880"/>
    <w:rsid w:val="00BE3756"/>
    <w:rsid w:val="00BE41E2"/>
    <w:rsid w:val="00BE58E3"/>
    <w:rsid w:val="00BE768F"/>
    <w:rsid w:val="00BF4F2C"/>
    <w:rsid w:val="00C0368A"/>
    <w:rsid w:val="00C050A7"/>
    <w:rsid w:val="00C05D1F"/>
    <w:rsid w:val="00C10D74"/>
    <w:rsid w:val="00C17070"/>
    <w:rsid w:val="00C30192"/>
    <w:rsid w:val="00C307F0"/>
    <w:rsid w:val="00C3530D"/>
    <w:rsid w:val="00C44B10"/>
    <w:rsid w:val="00C5052D"/>
    <w:rsid w:val="00C52C19"/>
    <w:rsid w:val="00C67ADD"/>
    <w:rsid w:val="00C718A9"/>
    <w:rsid w:val="00C72CDE"/>
    <w:rsid w:val="00C9561D"/>
    <w:rsid w:val="00C96F06"/>
    <w:rsid w:val="00CA200C"/>
    <w:rsid w:val="00CA62EB"/>
    <w:rsid w:val="00CA6A3E"/>
    <w:rsid w:val="00CB60A0"/>
    <w:rsid w:val="00CB61B8"/>
    <w:rsid w:val="00CC2806"/>
    <w:rsid w:val="00CC7028"/>
    <w:rsid w:val="00CD0ADB"/>
    <w:rsid w:val="00CD375D"/>
    <w:rsid w:val="00CE61CC"/>
    <w:rsid w:val="00CF506B"/>
    <w:rsid w:val="00D00BC2"/>
    <w:rsid w:val="00D0296C"/>
    <w:rsid w:val="00D040CA"/>
    <w:rsid w:val="00D0475E"/>
    <w:rsid w:val="00D058FE"/>
    <w:rsid w:val="00D05F25"/>
    <w:rsid w:val="00D10388"/>
    <w:rsid w:val="00D12496"/>
    <w:rsid w:val="00D24A7F"/>
    <w:rsid w:val="00D31538"/>
    <w:rsid w:val="00D51F67"/>
    <w:rsid w:val="00D54839"/>
    <w:rsid w:val="00D56882"/>
    <w:rsid w:val="00D6082C"/>
    <w:rsid w:val="00D60E16"/>
    <w:rsid w:val="00D62BAC"/>
    <w:rsid w:val="00D672DF"/>
    <w:rsid w:val="00D70BA3"/>
    <w:rsid w:val="00D775D6"/>
    <w:rsid w:val="00D82F03"/>
    <w:rsid w:val="00D9368F"/>
    <w:rsid w:val="00D95EE0"/>
    <w:rsid w:val="00D97318"/>
    <w:rsid w:val="00DA3462"/>
    <w:rsid w:val="00DA3B02"/>
    <w:rsid w:val="00DB1208"/>
    <w:rsid w:val="00DB3D8D"/>
    <w:rsid w:val="00DC3B87"/>
    <w:rsid w:val="00DC66BE"/>
    <w:rsid w:val="00DD2115"/>
    <w:rsid w:val="00DD4BB1"/>
    <w:rsid w:val="00DD59C2"/>
    <w:rsid w:val="00DD6D2C"/>
    <w:rsid w:val="00DE3FE5"/>
    <w:rsid w:val="00DE6B0F"/>
    <w:rsid w:val="00DF1338"/>
    <w:rsid w:val="00DF50B3"/>
    <w:rsid w:val="00E054E4"/>
    <w:rsid w:val="00E06069"/>
    <w:rsid w:val="00E10BA4"/>
    <w:rsid w:val="00E15DE2"/>
    <w:rsid w:val="00E238EA"/>
    <w:rsid w:val="00E23E87"/>
    <w:rsid w:val="00E336E9"/>
    <w:rsid w:val="00E36D0E"/>
    <w:rsid w:val="00E36DE1"/>
    <w:rsid w:val="00E40864"/>
    <w:rsid w:val="00E41B40"/>
    <w:rsid w:val="00E4208A"/>
    <w:rsid w:val="00E45231"/>
    <w:rsid w:val="00E462F1"/>
    <w:rsid w:val="00E612F7"/>
    <w:rsid w:val="00E62B04"/>
    <w:rsid w:val="00E63789"/>
    <w:rsid w:val="00E67E1C"/>
    <w:rsid w:val="00E81795"/>
    <w:rsid w:val="00E81A23"/>
    <w:rsid w:val="00E87BF1"/>
    <w:rsid w:val="00E94097"/>
    <w:rsid w:val="00EA1489"/>
    <w:rsid w:val="00EB0CDD"/>
    <w:rsid w:val="00EB0E15"/>
    <w:rsid w:val="00EB1D03"/>
    <w:rsid w:val="00EC3AE4"/>
    <w:rsid w:val="00EC79D2"/>
    <w:rsid w:val="00ED63BB"/>
    <w:rsid w:val="00ED7B6E"/>
    <w:rsid w:val="00EF392D"/>
    <w:rsid w:val="00EF4C61"/>
    <w:rsid w:val="00F03919"/>
    <w:rsid w:val="00F10A09"/>
    <w:rsid w:val="00F139BE"/>
    <w:rsid w:val="00F21E38"/>
    <w:rsid w:val="00F4172E"/>
    <w:rsid w:val="00F41DC1"/>
    <w:rsid w:val="00F42049"/>
    <w:rsid w:val="00F45246"/>
    <w:rsid w:val="00F50618"/>
    <w:rsid w:val="00F52902"/>
    <w:rsid w:val="00F53168"/>
    <w:rsid w:val="00F626B8"/>
    <w:rsid w:val="00F64449"/>
    <w:rsid w:val="00F710E9"/>
    <w:rsid w:val="00F75A7F"/>
    <w:rsid w:val="00F76E0B"/>
    <w:rsid w:val="00F86DE1"/>
    <w:rsid w:val="00F87CAD"/>
    <w:rsid w:val="00F94238"/>
    <w:rsid w:val="00FA3096"/>
    <w:rsid w:val="00FA3D9E"/>
    <w:rsid w:val="00FA423F"/>
    <w:rsid w:val="00FA58E6"/>
    <w:rsid w:val="00FB26D8"/>
    <w:rsid w:val="00FD032C"/>
    <w:rsid w:val="00FD0B12"/>
    <w:rsid w:val="00FF0855"/>
    <w:rsid w:val="00FF0B05"/>
    <w:rsid w:val="00FF41A6"/>
    <w:rsid w:val="00FF499D"/>
    <w:rsid w:val="03E222DB"/>
    <w:rsid w:val="0585619B"/>
    <w:rsid w:val="076B02DA"/>
    <w:rsid w:val="09C42890"/>
    <w:rsid w:val="0B1E642F"/>
    <w:rsid w:val="14561E58"/>
    <w:rsid w:val="17DC466D"/>
    <w:rsid w:val="1C29050B"/>
    <w:rsid w:val="20863940"/>
    <w:rsid w:val="22901CC2"/>
    <w:rsid w:val="25E1711D"/>
    <w:rsid w:val="333B706E"/>
    <w:rsid w:val="35B8407F"/>
    <w:rsid w:val="3AB1218A"/>
    <w:rsid w:val="3DE94B1D"/>
    <w:rsid w:val="3F463C0E"/>
    <w:rsid w:val="41FB78BB"/>
    <w:rsid w:val="473D13EE"/>
    <w:rsid w:val="4A6E4281"/>
    <w:rsid w:val="538347FC"/>
    <w:rsid w:val="5623203A"/>
    <w:rsid w:val="57424DBB"/>
    <w:rsid w:val="59081F74"/>
    <w:rsid w:val="608F4CB6"/>
    <w:rsid w:val="62D923F5"/>
    <w:rsid w:val="71111CAC"/>
    <w:rsid w:val="715C6129"/>
    <w:rsid w:val="73226885"/>
    <w:rsid w:val="7C7A4529"/>
    <w:rsid w:val="7E7129AC"/>
    <w:rsid w:val="7FFD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20"/>
    <w:qFormat/>
    <w:uiPriority w:val="0"/>
    <w:pPr>
      <w:widowControl/>
      <w:spacing w:after="120"/>
      <w:ind w:left="420" w:leftChars="200"/>
      <w:jc w:val="left"/>
    </w:pPr>
    <w:rPr>
      <w:kern w:val="0"/>
      <w:sz w:val="24"/>
    </w:rPr>
  </w:style>
  <w:style w:type="paragraph" w:styleId="3">
    <w:name w:val="Plain Text"/>
    <w:basedOn w:val="1"/>
    <w:link w:val="16"/>
    <w:qFormat/>
    <w:uiPriority w:val="0"/>
    <w:rPr>
      <w:rFonts w:ascii="宋体" w:hAnsi="Courier New"/>
      <w:szCs w:val="2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22337D"/>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link w:val="6"/>
    <w:qFormat/>
    <w:uiPriority w:val="0"/>
    <w:rPr>
      <w:kern w:val="2"/>
      <w:sz w:val="18"/>
      <w:szCs w:val="18"/>
    </w:rPr>
  </w:style>
  <w:style w:type="character" w:customStyle="1" w:styleId="15">
    <w:name w:val="style21"/>
    <w:qFormat/>
    <w:uiPriority w:val="0"/>
    <w:rPr>
      <w:sz w:val="18"/>
      <w:szCs w:val="18"/>
    </w:rPr>
  </w:style>
  <w:style w:type="character" w:customStyle="1" w:styleId="16">
    <w:name w:val="纯文本 Char"/>
    <w:link w:val="3"/>
    <w:qFormat/>
    <w:uiPriority w:val="0"/>
    <w:rPr>
      <w:rFonts w:ascii="宋体" w:hAnsi="Courier New" w:eastAsia="宋体"/>
      <w:kern w:val="2"/>
      <w:sz w:val="21"/>
      <w:lang w:val="en-US" w:eastAsia="zh-CN" w:bidi="ar-SA"/>
    </w:rPr>
  </w:style>
  <w:style w:type="paragraph" w:customStyle="1" w:styleId="17">
    <w:name w:val="Char"/>
    <w:basedOn w:val="1"/>
    <w:qFormat/>
    <w:uiPriority w:val="0"/>
    <w:pPr>
      <w:spacing w:line="240" w:lineRule="exact"/>
    </w:pPr>
    <w:rPr>
      <w:szCs w:val="20"/>
    </w:rPr>
  </w:style>
  <w:style w:type="paragraph" w:customStyle="1" w:styleId="18">
    <w:name w:val="Char Char Char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character" w:customStyle="1" w:styleId="19">
    <w:name w:val="正文文本缩进 字符"/>
    <w:qFormat/>
    <w:uiPriority w:val="0"/>
    <w:rPr>
      <w:kern w:val="2"/>
      <w:sz w:val="21"/>
      <w:szCs w:val="24"/>
    </w:rPr>
  </w:style>
  <w:style w:type="character" w:customStyle="1" w:styleId="20">
    <w:name w:val="正文文本缩进 Char"/>
    <w:link w:val="2"/>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5E18B2-0E3E-401F-BAE6-709EB1FF4E8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674</Words>
  <Characters>3844</Characters>
  <Lines>32</Lines>
  <Paragraphs>9</Paragraphs>
  <TotalTime>1</TotalTime>
  <ScaleCrop>false</ScaleCrop>
  <LinksUpToDate>false</LinksUpToDate>
  <CharactersWithSpaces>4509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2019-04-29T06:44:00Z</dcterms:created>
  <dc:creator>hushaoling</dc:creator>
  <cp:lastModifiedBy>冼嘉雯</cp:lastModifiedBy>
  <cp:lastPrinted>2019-06-06T07:42:00Z</cp:lastPrinted>
  <dcterms:modified xsi:type="dcterms:W3CDTF">2019-06-12T08:34:04Z</dcterms:modified>
  <dc:title>2010年广东省        产品质量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