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44"/>
          <w:szCs w:val="44"/>
        </w:rPr>
      </w:pPr>
      <w:r>
        <w:rPr>
          <w:rFonts w:hint="eastAsia"/>
          <w:sz w:val="44"/>
          <w:szCs w:val="44"/>
        </w:rPr>
        <w:t>贵州省地方标准</w:t>
      </w:r>
    </w:p>
    <w:p>
      <w:pPr>
        <w:jc w:val="center"/>
        <w:rPr>
          <w:sz w:val="44"/>
          <w:szCs w:val="44"/>
        </w:rPr>
      </w:pPr>
      <w:r>
        <w:rPr>
          <w:rFonts w:hint="eastAsia"/>
          <w:sz w:val="44"/>
          <w:szCs w:val="44"/>
        </w:rPr>
        <w:t>《乳油类农药中隐性禁用有机磷的检测 气相色谱分析法》</w:t>
      </w:r>
    </w:p>
    <w:p>
      <w:pPr>
        <w:jc w:val="center"/>
        <w:rPr>
          <w:sz w:val="44"/>
          <w:szCs w:val="44"/>
        </w:rPr>
      </w:pPr>
    </w:p>
    <w:p>
      <w:pPr>
        <w:jc w:val="center"/>
        <w:rPr>
          <w:rFonts w:hint="eastAsia"/>
          <w:b/>
          <w:sz w:val="44"/>
          <w:szCs w:val="44"/>
        </w:rPr>
      </w:pPr>
    </w:p>
    <w:p>
      <w:pPr>
        <w:jc w:val="center"/>
        <w:rPr>
          <w:b/>
          <w:sz w:val="44"/>
          <w:szCs w:val="44"/>
        </w:rPr>
      </w:pPr>
    </w:p>
    <w:p>
      <w:pPr>
        <w:jc w:val="center"/>
        <w:rPr>
          <w:b/>
          <w:sz w:val="44"/>
          <w:szCs w:val="44"/>
        </w:rPr>
      </w:pPr>
      <w:r>
        <w:rPr>
          <w:rFonts w:hint="eastAsia"/>
          <w:b/>
          <w:sz w:val="44"/>
          <w:szCs w:val="44"/>
        </w:rPr>
        <w:t>编</w:t>
      </w:r>
      <w:r>
        <w:rPr>
          <w:b/>
          <w:sz w:val="44"/>
          <w:szCs w:val="44"/>
        </w:rPr>
        <w:t xml:space="preserve"> </w:t>
      </w:r>
      <w:r>
        <w:rPr>
          <w:rFonts w:hint="eastAsia"/>
          <w:b/>
          <w:sz w:val="44"/>
          <w:szCs w:val="44"/>
        </w:rPr>
        <w:t>制</w:t>
      </w:r>
      <w:r>
        <w:rPr>
          <w:b/>
          <w:sz w:val="44"/>
          <w:szCs w:val="44"/>
        </w:rPr>
        <w:t xml:space="preserve"> </w:t>
      </w:r>
      <w:r>
        <w:rPr>
          <w:rFonts w:hint="eastAsia"/>
          <w:b/>
          <w:sz w:val="44"/>
          <w:szCs w:val="44"/>
        </w:rPr>
        <w:t>说</w:t>
      </w:r>
      <w:r>
        <w:rPr>
          <w:b/>
          <w:sz w:val="44"/>
          <w:szCs w:val="44"/>
        </w:rPr>
        <w:t xml:space="preserve"> </w:t>
      </w:r>
      <w:r>
        <w:rPr>
          <w:rFonts w:hint="eastAsia"/>
          <w:b/>
          <w:sz w:val="44"/>
          <w:szCs w:val="44"/>
        </w:rPr>
        <w:t>明</w:t>
      </w:r>
    </w:p>
    <w:p>
      <w:pPr>
        <w:jc w:val="center"/>
        <w:rPr>
          <w:b/>
          <w:sz w:val="44"/>
          <w:szCs w:val="44"/>
        </w:rPr>
      </w:pPr>
      <w:r>
        <w:rPr>
          <w:rFonts w:hint="eastAsia"/>
          <w:b/>
          <w:sz w:val="44"/>
          <w:szCs w:val="44"/>
        </w:rPr>
        <w:t>(征求意见稿)</w:t>
      </w:r>
    </w:p>
    <w:p>
      <w:pPr>
        <w:jc w:val="center"/>
        <w:rPr>
          <w:b/>
          <w:sz w:val="96"/>
        </w:rPr>
      </w:pPr>
    </w:p>
    <w:p>
      <w:pPr>
        <w:jc w:val="center"/>
        <w:rPr>
          <w:rFonts w:hint="eastAsia"/>
          <w:b/>
          <w:sz w:val="96"/>
        </w:rPr>
      </w:pPr>
    </w:p>
    <w:p>
      <w:pPr>
        <w:jc w:val="center"/>
        <w:rPr>
          <w:b/>
          <w:sz w:val="96"/>
        </w:rPr>
      </w:pPr>
    </w:p>
    <w:p>
      <w:pPr>
        <w:rPr>
          <w:rFonts w:hint="eastAsia"/>
          <w:sz w:val="36"/>
        </w:rPr>
      </w:pPr>
    </w:p>
    <w:p>
      <w:pPr>
        <w:jc w:val="center"/>
        <w:rPr>
          <w:sz w:val="36"/>
        </w:rPr>
      </w:pPr>
    </w:p>
    <w:p>
      <w:pPr>
        <w:jc w:val="center"/>
        <w:rPr>
          <w:sz w:val="36"/>
        </w:rPr>
      </w:pPr>
      <w:r>
        <w:rPr>
          <w:rFonts w:hint="eastAsia"/>
          <w:sz w:val="36"/>
        </w:rPr>
        <w:t>贵州省农产品质量安全监督检验测试中心</w:t>
      </w:r>
    </w:p>
    <w:p>
      <w:pPr>
        <w:jc w:val="center"/>
        <w:rPr>
          <w:sz w:val="36"/>
        </w:rPr>
      </w:pPr>
    </w:p>
    <w:p>
      <w:pPr>
        <w:jc w:val="center"/>
        <w:rPr>
          <w:sz w:val="36"/>
        </w:rPr>
      </w:pPr>
      <w:r>
        <w:rPr>
          <w:rFonts w:hint="eastAsia"/>
          <w:sz w:val="36"/>
        </w:rPr>
        <w:t>二○一</w:t>
      </w:r>
      <w:r>
        <w:rPr>
          <w:rFonts w:hint="eastAsia"/>
          <w:sz w:val="36"/>
          <w:lang w:val="en-US" w:eastAsia="zh-CN"/>
        </w:rPr>
        <w:t xml:space="preserve">九 </w:t>
      </w:r>
      <w:r>
        <w:rPr>
          <w:rFonts w:hint="eastAsia"/>
          <w:sz w:val="36"/>
        </w:rPr>
        <w:t>年</w:t>
      </w:r>
      <w:r>
        <w:rPr>
          <w:rFonts w:hint="eastAsia"/>
          <w:sz w:val="36"/>
          <w:lang w:val="en-US" w:eastAsia="zh-CN"/>
        </w:rPr>
        <w:t xml:space="preserve"> 三 </w:t>
      </w:r>
      <w:r>
        <w:rPr>
          <w:rFonts w:hint="eastAsia"/>
          <w:sz w:val="36"/>
        </w:rPr>
        <w:t>月</w:t>
      </w:r>
    </w:p>
    <w:p/>
    <w:p>
      <w:pPr>
        <w:sectPr>
          <w:pgSz w:w="11906" w:h="16838"/>
          <w:pgMar w:top="1440" w:right="1800" w:bottom="1440" w:left="1800" w:header="851" w:footer="992" w:gutter="0"/>
          <w:cols w:space="425" w:num="1"/>
          <w:docGrid w:type="lines" w:linePitch="312" w:charSpace="0"/>
        </w:sectPr>
      </w:pPr>
    </w:p>
    <w:sdt>
      <w:sdtPr>
        <w:rPr>
          <w:rFonts w:ascii="宋体" w:hAnsi="宋体" w:eastAsia="宋体" w:cs="Times New Roman"/>
          <w:b/>
          <w:bCs/>
          <w:kern w:val="2"/>
          <w:sz w:val="32"/>
          <w:szCs w:val="32"/>
          <w:lang w:val="en-US" w:eastAsia="zh-CN" w:bidi="ar-SA"/>
        </w:rPr>
        <w:id w:val="147478149"/>
        <w:docPartObj>
          <w:docPartGallery w:val="Table of Contents"/>
          <w:docPartUnique/>
        </w:docPartObj>
      </w:sdtPr>
      <w:sdtEndPr>
        <w:rPr>
          <w:rFonts w:ascii="Times New Roman" w:hAnsi="Times New Roman" w:eastAsia="宋体" w:cs="Times New Roman"/>
          <w:b/>
          <w:bCs/>
          <w:sz w:val="24"/>
          <w:szCs w:val="24"/>
        </w:rPr>
      </w:sdtEndPr>
      <w:sdtContent>
        <w:p>
          <w:pPr>
            <w:spacing w:before="0" w:beforeLines="0" w:after="0" w:afterLines="0" w:line="240" w:lineRule="auto"/>
            <w:ind w:left="0" w:leftChars="0" w:right="0" w:rightChars="0" w:firstLine="0" w:firstLineChars="0"/>
            <w:jc w:val="center"/>
            <w:rPr>
              <w:b/>
              <w:bCs/>
              <w:sz w:val="32"/>
              <w:szCs w:val="32"/>
            </w:rPr>
          </w:pPr>
          <w:bookmarkStart w:id="0" w:name="_Toc6816_WPSOffice_Type2"/>
          <w:r>
            <w:rPr>
              <w:rFonts w:ascii="宋体" w:hAnsi="宋体" w:eastAsia="宋体"/>
              <w:b/>
              <w:bCs/>
              <w:sz w:val="32"/>
              <w:szCs w:val="32"/>
            </w:rPr>
            <w:t>目</w:t>
          </w:r>
          <w:r>
            <w:rPr>
              <w:rFonts w:hint="eastAsia" w:ascii="宋体" w:hAnsi="宋体"/>
              <w:b/>
              <w:bCs/>
              <w:sz w:val="32"/>
              <w:szCs w:val="32"/>
              <w:lang w:val="en-US" w:eastAsia="zh-CN"/>
            </w:rPr>
            <w:t xml:space="preserve">     </w:t>
          </w:r>
          <w:bookmarkStart w:id="133" w:name="_GoBack"/>
          <w:bookmarkEnd w:id="133"/>
          <w:r>
            <w:rPr>
              <w:rFonts w:ascii="宋体" w:hAnsi="宋体" w:eastAsia="宋体"/>
              <w:b/>
              <w:bCs/>
              <w:sz w:val="32"/>
              <w:szCs w:val="32"/>
            </w:rPr>
            <w:t>录</w:t>
          </w:r>
        </w:p>
        <w:p>
          <w:pPr>
            <w:pStyle w:val="12"/>
            <w:tabs>
              <w:tab w:val="right" w:leader="dot" w:pos="8306"/>
            </w:tabs>
          </w:pPr>
        </w:p>
        <w:p>
          <w:pPr>
            <w:pStyle w:val="12"/>
            <w:tabs>
              <w:tab w:val="right" w:leader="dot" w:pos="8306"/>
            </w:tabs>
            <w:rPr>
              <w:sz w:val="24"/>
              <w:szCs w:val="24"/>
            </w:rPr>
          </w:pPr>
          <w:r>
            <w:rPr>
              <w:b/>
              <w:bCs/>
              <w:sz w:val="24"/>
              <w:szCs w:val="24"/>
            </w:rPr>
            <w:fldChar w:fldCharType="begin"/>
          </w:r>
          <w:r>
            <w:rPr>
              <w:sz w:val="24"/>
              <w:szCs w:val="24"/>
            </w:rPr>
            <w:instrText xml:space="preserve"> HYPERLINK \l _Toc8130_WPSOffice_Level1 </w:instrText>
          </w:r>
          <w:r>
            <w:rPr>
              <w:b/>
              <w:bCs/>
              <w:sz w:val="24"/>
              <w:szCs w:val="24"/>
            </w:rPr>
            <w:fldChar w:fldCharType="separate"/>
          </w:r>
          <w:sdt>
            <w:sdtPr>
              <w:rPr>
                <w:rFonts w:ascii="Times New Roman" w:hAnsi="Times New Roman" w:eastAsia="宋体" w:cs="Times New Roman"/>
                <w:b/>
                <w:bCs/>
                <w:sz w:val="24"/>
                <w:szCs w:val="24"/>
              </w:rPr>
              <w:id w:val="147478149"/>
              <w:placeholder>
                <w:docPart w:val="{b3224682-9135-4241-ba0c-985efe8b0c3a}"/>
              </w:placeholder>
            </w:sdtPr>
            <w:sdtEndPr>
              <w:rPr>
                <w:rFonts w:ascii="Times New Roman" w:hAnsi="Times New Roman" w:eastAsia="宋体" w:cs="Times New Roman"/>
                <w:b/>
                <w:bCs/>
                <w:sz w:val="24"/>
                <w:szCs w:val="24"/>
              </w:rPr>
            </w:sdtEndPr>
            <w:sdtContent>
              <w:r>
                <w:rPr>
                  <w:rFonts w:hint="eastAsia" w:ascii="仿宋" w:hAnsi="仿宋" w:eastAsia="仿宋" w:cs="仿宋"/>
                  <w:b/>
                  <w:bCs/>
                  <w:sz w:val="24"/>
                  <w:szCs w:val="24"/>
                </w:rPr>
                <w:t>1 工作简况</w:t>
              </w:r>
            </w:sdtContent>
          </w:sdt>
          <w:r>
            <w:rPr>
              <w:b/>
              <w:bCs/>
              <w:sz w:val="24"/>
              <w:szCs w:val="24"/>
            </w:rPr>
            <w:tab/>
          </w:r>
          <w:bookmarkStart w:id="1" w:name="_Toc8130_WPSOffice_Level1Page"/>
          <w:r>
            <w:rPr>
              <w:b/>
              <w:bCs/>
              <w:sz w:val="24"/>
              <w:szCs w:val="24"/>
            </w:rPr>
            <w:t>3</w:t>
          </w:r>
          <w:bookmarkEnd w:id="1"/>
          <w:r>
            <w:rPr>
              <w:b/>
              <w:bCs/>
              <w:sz w:val="24"/>
              <w:szCs w:val="24"/>
            </w:rPr>
            <w:fldChar w:fldCharType="end"/>
          </w:r>
        </w:p>
        <w:p>
          <w:pPr>
            <w:pStyle w:val="13"/>
            <w:tabs>
              <w:tab w:val="right" w:leader="dot" w:pos="8306"/>
            </w:tabs>
            <w:rPr>
              <w:sz w:val="24"/>
              <w:szCs w:val="24"/>
            </w:rPr>
          </w:pPr>
          <w:r>
            <w:rPr>
              <w:sz w:val="24"/>
              <w:szCs w:val="24"/>
            </w:rPr>
            <w:fldChar w:fldCharType="begin"/>
          </w:r>
          <w:r>
            <w:rPr>
              <w:sz w:val="24"/>
              <w:szCs w:val="24"/>
            </w:rPr>
            <w:instrText xml:space="preserve"> HYPERLINK \l _Toc6816_WPSOffice_Level2 </w:instrText>
          </w:r>
          <w:r>
            <w:rPr>
              <w:sz w:val="24"/>
              <w:szCs w:val="24"/>
            </w:rPr>
            <w:fldChar w:fldCharType="separate"/>
          </w:r>
          <w:sdt>
            <w:sdtPr>
              <w:rPr>
                <w:rFonts w:ascii="Times New Roman" w:hAnsi="Times New Roman" w:eastAsia="宋体" w:cs="Times New Roman"/>
                <w:sz w:val="24"/>
                <w:szCs w:val="24"/>
              </w:rPr>
              <w:id w:val="147478149"/>
              <w:placeholder>
                <w:docPart w:val="{3833c1f3-8635-4bb5-83e9-ffc322bec288}"/>
              </w:placeholder>
            </w:sdtPr>
            <w:sdtEndPr>
              <w:rPr>
                <w:rFonts w:ascii="Times New Roman" w:hAnsi="Times New Roman" w:eastAsia="宋体" w:cs="Times New Roman"/>
                <w:sz w:val="24"/>
                <w:szCs w:val="24"/>
              </w:rPr>
            </w:sdtEndPr>
            <w:sdtContent>
              <w:r>
                <w:rPr>
                  <w:rFonts w:hint="eastAsia" w:ascii="仿宋" w:hAnsi="仿宋" w:eastAsia="仿宋" w:cs="仿宋"/>
                  <w:sz w:val="24"/>
                  <w:szCs w:val="24"/>
                </w:rPr>
                <w:t>1.1 目的意义</w:t>
              </w:r>
            </w:sdtContent>
          </w:sdt>
          <w:r>
            <w:rPr>
              <w:sz w:val="24"/>
              <w:szCs w:val="24"/>
            </w:rPr>
            <w:tab/>
          </w:r>
          <w:bookmarkStart w:id="2" w:name="_Toc6816_WPSOffice_Level2Page"/>
          <w:r>
            <w:rPr>
              <w:sz w:val="24"/>
              <w:szCs w:val="24"/>
            </w:rPr>
            <w:t>3</w:t>
          </w:r>
          <w:bookmarkEnd w:id="2"/>
          <w:r>
            <w:rPr>
              <w:sz w:val="24"/>
              <w:szCs w:val="24"/>
            </w:rPr>
            <w:fldChar w:fldCharType="end"/>
          </w:r>
        </w:p>
        <w:p>
          <w:pPr>
            <w:pStyle w:val="13"/>
            <w:tabs>
              <w:tab w:val="right" w:leader="dot" w:pos="8306"/>
            </w:tabs>
            <w:rPr>
              <w:sz w:val="24"/>
              <w:szCs w:val="24"/>
            </w:rPr>
          </w:pPr>
          <w:r>
            <w:rPr>
              <w:sz w:val="24"/>
              <w:szCs w:val="24"/>
            </w:rPr>
            <w:fldChar w:fldCharType="begin"/>
          </w:r>
          <w:r>
            <w:rPr>
              <w:sz w:val="24"/>
              <w:szCs w:val="24"/>
            </w:rPr>
            <w:instrText xml:space="preserve"> HYPERLINK \l _Toc28779_WPSOffice_Level2 </w:instrText>
          </w:r>
          <w:r>
            <w:rPr>
              <w:sz w:val="24"/>
              <w:szCs w:val="24"/>
            </w:rPr>
            <w:fldChar w:fldCharType="separate"/>
          </w:r>
          <w:sdt>
            <w:sdtPr>
              <w:rPr>
                <w:rFonts w:ascii="Times New Roman" w:hAnsi="Times New Roman" w:eastAsia="宋体" w:cs="Times New Roman"/>
                <w:sz w:val="24"/>
                <w:szCs w:val="24"/>
              </w:rPr>
              <w:id w:val="147478149"/>
              <w:placeholder>
                <w:docPart w:val="{53ee40c7-78b8-4274-bc4d-4579d8861bcb}"/>
              </w:placeholder>
            </w:sdtPr>
            <w:sdtEndPr>
              <w:rPr>
                <w:rFonts w:ascii="Times New Roman" w:hAnsi="Times New Roman" w:eastAsia="宋体" w:cs="Times New Roman"/>
                <w:sz w:val="24"/>
                <w:szCs w:val="24"/>
              </w:rPr>
            </w:sdtEndPr>
            <w:sdtContent>
              <w:r>
                <w:rPr>
                  <w:rFonts w:hint="eastAsia" w:ascii="仿宋" w:hAnsi="仿宋" w:eastAsia="仿宋" w:cs="仿宋"/>
                  <w:sz w:val="24"/>
                  <w:szCs w:val="24"/>
                </w:rPr>
                <w:t>1.2 任务来源</w:t>
              </w:r>
            </w:sdtContent>
          </w:sdt>
          <w:r>
            <w:rPr>
              <w:sz w:val="24"/>
              <w:szCs w:val="24"/>
            </w:rPr>
            <w:tab/>
          </w:r>
          <w:bookmarkStart w:id="3" w:name="_Toc28779_WPSOffice_Level2Page"/>
          <w:r>
            <w:rPr>
              <w:sz w:val="24"/>
              <w:szCs w:val="24"/>
            </w:rPr>
            <w:t>4</w:t>
          </w:r>
          <w:bookmarkEnd w:id="3"/>
          <w:r>
            <w:rPr>
              <w:sz w:val="24"/>
              <w:szCs w:val="24"/>
            </w:rPr>
            <w:fldChar w:fldCharType="end"/>
          </w:r>
        </w:p>
        <w:p>
          <w:pPr>
            <w:pStyle w:val="12"/>
            <w:tabs>
              <w:tab w:val="right" w:leader="dot" w:pos="8306"/>
            </w:tabs>
            <w:rPr>
              <w:sz w:val="24"/>
              <w:szCs w:val="24"/>
            </w:rPr>
          </w:pPr>
          <w:r>
            <w:rPr>
              <w:b/>
              <w:bCs/>
              <w:sz w:val="24"/>
              <w:szCs w:val="24"/>
            </w:rPr>
            <w:fldChar w:fldCharType="begin"/>
          </w:r>
          <w:r>
            <w:rPr>
              <w:sz w:val="24"/>
              <w:szCs w:val="24"/>
            </w:rPr>
            <w:instrText xml:space="preserve"> HYPERLINK \l _Toc7750_WPSOffice_Level1 </w:instrText>
          </w:r>
          <w:r>
            <w:rPr>
              <w:b/>
              <w:bCs/>
              <w:sz w:val="24"/>
              <w:szCs w:val="24"/>
            </w:rPr>
            <w:fldChar w:fldCharType="separate"/>
          </w:r>
          <w:sdt>
            <w:sdtPr>
              <w:rPr>
                <w:rFonts w:ascii="Times New Roman" w:hAnsi="Times New Roman" w:eastAsia="宋体" w:cs="Times New Roman"/>
                <w:b/>
                <w:bCs/>
                <w:sz w:val="24"/>
                <w:szCs w:val="24"/>
              </w:rPr>
              <w:id w:val="147478149"/>
              <w:placeholder>
                <w:docPart w:val="{f634fb59-1006-496c-a32d-46a775e9db8c}"/>
              </w:placeholder>
            </w:sdtPr>
            <w:sdtEndPr>
              <w:rPr>
                <w:rFonts w:ascii="Times New Roman" w:hAnsi="Times New Roman" w:eastAsia="宋体" w:cs="Times New Roman"/>
                <w:b/>
                <w:bCs/>
                <w:sz w:val="24"/>
                <w:szCs w:val="24"/>
              </w:rPr>
            </w:sdtEndPr>
            <w:sdtContent>
              <w:r>
                <w:rPr>
                  <w:rFonts w:hint="eastAsia" w:ascii="仿宋" w:hAnsi="仿宋" w:eastAsia="仿宋" w:cs="仿宋"/>
                  <w:b/>
                  <w:bCs/>
                  <w:sz w:val="24"/>
                  <w:szCs w:val="24"/>
                </w:rPr>
                <w:t>2 主要工作过程</w:t>
              </w:r>
            </w:sdtContent>
          </w:sdt>
          <w:r>
            <w:rPr>
              <w:b/>
              <w:bCs/>
              <w:sz w:val="24"/>
              <w:szCs w:val="24"/>
            </w:rPr>
            <w:tab/>
          </w:r>
          <w:bookmarkStart w:id="4" w:name="_Toc7750_WPSOffice_Level1Page"/>
          <w:r>
            <w:rPr>
              <w:b/>
              <w:bCs/>
              <w:sz w:val="24"/>
              <w:szCs w:val="24"/>
            </w:rPr>
            <w:t>4</w:t>
          </w:r>
          <w:bookmarkEnd w:id="4"/>
          <w:r>
            <w:rPr>
              <w:b/>
              <w:bCs/>
              <w:sz w:val="24"/>
              <w:szCs w:val="24"/>
            </w:rPr>
            <w:fldChar w:fldCharType="end"/>
          </w:r>
        </w:p>
        <w:p>
          <w:pPr>
            <w:pStyle w:val="13"/>
            <w:tabs>
              <w:tab w:val="right" w:leader="dot" w:pos="8306"/>
            </w:tabs>
            <w:rPr>
              <w:sz w:val="24"/>
              <w:szCs w:val="24"/>
            </w:rPr>
          </w:pPr>
          <w:r>
            <w:rPr>
              <w:sz w:val="24"/>
              <w:szCs w:val="24"/>
            </w:rPr>
            <w:fldChar w:fldCharType="begin"/>
          </w:r>
          <w:r>
            <w:rPr>
              <w:sz w:val="24"/>
              <w:szCs w:val="24"/>
            </w:rPr>
            <w:instrText xml:space="preserve"> HYPERLINK \l _Toc8130_WPSOffice_Level2 </w:instrText>
          </w:r>
          <w:r>
            <w:rPr>
              <w:sz w:val="24"/>
              <w:szCs w:val="24"/>
            </w:rPr>
            <w:fldChar w:fldCharType="separate"/>
          </w:r>
          <w:sdt>
            <w:sdtPr>
              <w:rPr>
                <w:rFonts w:ascii="Times New Roman" w:hAnsi="Times New Roman" w:eastAsia="宋体" w:cs="Times New Roman"/>
                <w:sz w:val="24"/>
                <w:szCs w:val="24"/>
              </w:rPr>
              <w:id w:val="147478149"/>
              <w:placeholder>
                <w:docPart w:val="{3fa73359-a33b-49a5-bdaf-545093e1b0cc}"/>
              </w:placeholder>
            </w:sdtPr>
            <w:sdtEndPr>
              <w:rPr>
                <w:rFonts w:ascii="Times New Roman" w:hAnsi="Times New Roman" w:eastAsia="宋体" w:cs="Times New Roman"/>
                <w:sz w:val="24"/>
                <w:szCs w:val="24"/>
              </w:rPr>
            </w:sdtEndPr>
            <w:sdtContent>
              <w:r>
                <w:rPr>
                  <w:rFonts w:hint="eastAsia" w:ascii="仿宋" w:hAnsi="仿宋" w:eastAsia="仿宋" w:cs="仿宋"/>
                  <w:sz w:val="24"/>
                  <w:szCs w:val="24"/>
                </w:rPr>
                <w:t>第一阶段：查阅资料</w:t>
              </w:r>
            </w:sdtContent>
          </w:sdt>
          <w:r>
            <w:rPr>
              <w:sz w:val="24"/>
              <w:szCs w:val="24"/>
            </w:rPr>
            <w:tab/>
          </w:r>
          <w:bookmarkStart w:id="5" w:name="_Toc8130_WPSOffice_Level2Page"/>
          <w:r>
            <w:rPr>
              <w:sz w:val="24"/>
              <w:szCs w:val="24"/>
            </w:rPr>
            <w:t>4</w:t>
          </w:r>
          <w:bookmarkEnd w:id="5"/>
          <w:r>
            <w:rPr>
              <w:sz w:val="24"/>
              <w:szCs w:val="24"/>
            </w:rPr>
            <w:fldChar w:fldCharType="end"/>
          </w:r>
        </w:p>
        <w:p>
          <w:pPr>
            <w:pStyle w:val="13"/>
            <w:tabs>
              <w:tab w:val="right" w:leader="dot" w:pos="8306"/>
            </w:tabs>
            <w:rPr>
              <w:sz w:val="24"/>
              <w:szCs w:val="24"/>
            </w:rPr>
          </w:pPr>
          <w:r>
            <w:rPr>
              <w:sz w:val="24"/>
              <w:szCs w:val="24"/>
            </w:rPr>
            <w:fldChar w:fldCharType="begin"/>
          </w:r>
          <w:r>
            <w:rPr>
              <w:sz w:val="24"/>
              <w:szCs w:val="24"/>
            </w:rPr>
            <w:instrText xml:space="preserve"> HYPERLINK \l _Toc7750_WPSOffice_Level2 </w:instrText>
          </w:r>
          <w:r>
            <w:rPr>
              <w:sz w:val="24"/>
              <w:szCs w:val="24"/>
            </w:rPr>
            <w:fldChar w:fldCharType="separate"/>
          </w:r>
          <w:sdt>
            <w:sdtPr>
              <w:rPr>
                <w:rFonts w:ascii="Times New Roman" w:hAnsi="Times New Roman" w:eastAsia="宋体" w:cs="Times New Roman"/>
                <w:sz w:val="24"/>
                <w:szCs w:val="24"/>
              </w:rPr>
              <w:id w:val="147478149"/>
              <w:placeholder>
                <w:docPart w:val="{b31b76c7-dccf-4f30-a41e-6d99b67ab9f5}"/>
              </w:placeholder>
            </w:sdtPr>
            <w:sdtEndPr>
              <w:rPr>
                <w:rFonts w:ascii="Times New Roman" w:hAnsi="Times New Roman" w:eastAsia="宋体" w:cs="Times New Roman"/>
                <w:sz w:val="24"/>
                <w:szCs w:val="24"/>
              </w:rPr>
            </w:sdtEndPr>
            <w:sdtContent>
              <w:r>
                <w:rPr>
                  <w:rFonts w:hint="eastAsia" w:ascii="仿宋" w:hAnsi="仿宋" w:eastAsia="仿宋" w:cs="仿宋"/>
                  <w:sz w:val="24"/>
                  <w:szCs w:val="24"/>
                </w:rPr>
                <w:t>第二阶段：确定检测参数</w:t>
              </w:r>
            </w:sdtContent>
          </w:sdt>
          <w:r>
            <w:rPr>
              <w:sz w:val="24"/>
              <w:szCs w:val="24"/>
            </w:rPr>
            <w:tab/>
          </w:r>
          <w:bookmarkStart w:id="6" w:name="_Toc7750_WPSOffice_Level2Page"/>
          <w:r>
            <w:rPr>
              <w:sz w:val="24"/>
              <w:szCs w:val="24"/>
            </w:rPr>
            <w:t>4</w:t>
          </w:r>
          <w:bookmarkEnd w:id="6"/>
          <w:r>
            <w:rPr>
              <w:sz w:val="24"/>
              <w:szCs w:val="24"/>
            </w:rPr>
            <w:fldChar w:fldCharType="end"/>
          </w:r>
        </w:p>
        <w:p>
          <w:pPr>
            <w:pStyle w:val="13"/>
            <w:tabs>
              <w:tab w:val="right" w:leader="dot" w:pos="8306"/>
            </w:tabs>
            <w:rPr>
              <w:sz w:val="24"/>
              <w:szCs w:val="24"/>
            </w:rPr>
          </w:pPr>
          <w:r>
            <w:rPr>
              <w:sz w:val="24"/>
              <w:szCs w:val="24"/>
            </w:rPr>
            <w:fldChar w:fldCharType="begin"/>
          </w:r>
          <w:r>
            <w:rPr>
              <w:sz w:val="24"/>
              <w:szCs w:val="24"/>
            </w:rPr>
            <w:instrText xml:space="preserve"> HYPERLINK \l _Toc24849_WPSOffice_Level2 </w:instrText>
          </w:r>
          <w:r>
            <w:rPr>
              <w:sz w:val="24"/>
              <w:szCs w:val="24"/>
            </w:rPr>
            <w:fldChar w:fldCharType="separate"/>
          </w:r>
          <w:sdt>
            <w:sdtPr>
              <w:rPr>
                <w:rFonts w:ascii="Times New Roman" w:hAnsi="Times New Roman" w:eastAsia="宋体" w:cs="Times New Roman"/>
                <w:sz w:val="24"/>
                <w:szCs w:val="24"/>
              </w:rPr>
              <w:id w:val="147478149"/>
              <w:placeholder>
                <w:docPart w:val="{2b724d2c-1f80-4924-ada7-33f8a9f4c697}"/>
              </w:placeholder>
            </w:sdtPr>
            <w:sdtEndPr>
              <w:rPr>
                <w:rFonts w:ascii="Times New Roman" w:hAnsi="Times New Roman" w:eastAsia="宋体" w:cs="Times New Roman"/>
                <w:sz w:val="24"/>
                <w:szCs w:val="24"/>
              </w:rPr>
            </w:sdtEndPr>
            <w:sdtContent>
              <w:r>
                <w:rPr>
                  <w:rFonts w:hint="eastAsia" w:ascii="仿宋" w:hAnsi="仿宋" w:eastAsia="仿宋" w:cs="仿宋"/>
                  <w:sz w:val="24"/>
                  <w:szCs w:val="24"/>
                </w:rPr>
                <w:t>第三阶段：标准起草</w:t>
              </w:r>
            </w:sdtContent>
          </w:sdt>
          <w:r>
            <w:rPr>
              <w:sz w:val="24"/>
              <w:szCs w:val="24"/>
            </w:rPr>
            <w:tab/>
          </w:r>
          <w:bookmarkStart w:id="7" w:name="_Toc24849_WPSOffice_Level2Page"/>
          <w:r>
            <w:rPr>
              <w:sz w:val="24"/>
              <w:szCs w:val="24"/>
            </w:rPr>
            <w:t>4</w:t>
          </w:r>
          <w:bookmarkEnd w:id="7"/>
          <w:r>
            <w:rPr>
              <w:sz w:val="24"/>
              <w:szCs w:val="24"/>
            </w:rPr>
            <w:fldChar w:fldCharType="end"/>
          </w:r>
        </w:p>
        <w:p>
          <w:pPr>
            <w:pStyle w:val="13"/>
            <w:tabs>
              <w:tab w:val="right" w:leader="dot" w:pos="8306"/>
            </w:tabs>
            <w:rPr>
              <w:sz w:val="24"/>
              <w:szCs w:val="24"/>
            </w:rPr>
          </w:pPr>
          <w:r>
            <w:rPr>
              <w:sz w:val="24"/>
              <w:szCs w:val="24"/>
            </w:rPr>
            <w:fldChar w:fldCharType="begin"/>
          </w:r>
          <w:r>
            <w:rPr>
              <w:sz w:val="24"/>
              <w:szCs w:val="24"/>
            </w:rPr>
            <w:instrText xml:space="preserve"> HYPERLINK \l _Toc29147_WPSOffice_Level2 </w:instrText>
          </w:r>
          <w:r>
            <w:rPr>
              <w:sz w:val="24"/>
              <w:szCs w:val="24"/>
            </w:rPr>
            <w:fldChar w:fldCharType="separate"/>
          </w:r>
          <w:sdt>
            <w:sdtPr>
              <w:rPr>
                <w:rFonts w:ascii="Times New Roman" w:hAnsi="Times New Roman" w:eastAsia="宋体" w:cs="Times New Roman"/>
                <w:sz w:val="24"/>
                <w:szCs w:val="24"/>
              </w:rPr>
              <w:id w:val="147478149"/>
              <w:placeholder>
                <w:docPart w:val="{3b7a0966-fc14-4a44-936f-ff26fb9cd251}"/>
              </w:placeholder>
            </w:sdtPr>
            <w:sdtEndPr>
              <w:rPr>
                <w:rFonts w:ascii="Times New Roman" w:hAnsi="Times New Roman" w:eastAsia="宋体" w:cs="Times New Roman"/>
                <w:sz w:val="24"/>
                <w:szCs w:val="24"/>
              </w:rPr>
            </w:sdtEndPr>
            <w:sdtContent>
              <w:r>
                <w:rPr>
                  <w:rFonts w:hint="eastAsia" w:ascii="仿宋" w:hAnsi="仿宋" w:eastAsia="仿宋" w:cs="仿宋"/>
                  <w:sz w:val="24"/>
                  <w:szCs w:val="24"/>
                </w:rPr>
                <w:t>第四阶段：方法验证</w:t>
              </w:r>
            </w:sdtContent>
          </w:sdt>
          <w:r>
            <w:rPr>
              <w:sz w:val="24"/>
              <w:szCs w:val="24"/>
            </w:rPr>
            <w:tab/>
          </w:r>
          <w:bookmarkStart w:id="8" w:name="_Toc29147_WPSOffice_Level2Page"/>
          <w:r>
            <w:rPr>
              <w:sz w:val="24"/>
              <w:szCs w:val="24"/>
            </w:rPr>
            <w:t>5</w:t>
          </w:r>
          <w:bookmarkEnd w:id="8"/>
          <w:r>
            <w:rPr>
              <w:sz w:val="24"/>
              <w:szCs w:val="24"/>
            </w:rPr>
            <w:fldChar w:fldCharType="end"/>
          </w:r>
        </w:p>
        <w:p>
          <w:pPr>
            <w:pStyle w:val="13"/>
            <w:tabs>
              <w:tab w:val="right" w:leader="dot" w:pos="8306"/>
            </w:tabs>
            <w:rPr>
              <w:sz w:val="24"/>
              <w:szCs w:val="24"/>
            </w:rPr>
          </w:pPr>
          <w:r>
            <w:rPr>
              <w:sz w:val="24"/>
              <w:szCs w:val="24"/>
            </w:rPr>
            <w:fldChar w:fldCharType="begin"/>
          </w:r>
          <w:r>
            <w:rPr>
              <w:sz w:val="24"/>
              <w:szCs w:val="24"/>
            </w:rPr>
            <w:instrText xml:space="preserve"> HYPERLINK \l _Toc14190_WPSOffice_Level2 </w:instrText>
          </w:r>
          <w:r>
            <w:rPr>
              <w:sz w:val="24"/>
              <w:szCs w:val="24"/>
            </w:rPr>
            <w:fldChar w:fldCharType="separate"/>
          </w:r>
          <w:sdt>
            <w:sdtPr>
              <w:rPr>
                <w:rFonts w:ascii="Times New Roman" w:hAnsi="Times New Roman" w:eastAsia="宋体" w:cs="Times New Roman"/>
                <w:sz w:val="24"/>
                <w:szCs w:val="24"/>
              </w:rPr>
              <w:id w:val="147478149"/>
              <w:placeholder>
                <w:docPart w:val="{3efeb416-a4e1-4bde-a36e-06f85974aaa6}"/>
              </w:placeholder>
            </w:sdtPr>
            <w:sdtEndPr>
              <w:rPr>
                <w:rFonts w:ascii="Times New Roman" w:hAnsi="Times New Roman" w:eastAsia="宋体" w:cs="Times New Roman"/>
                <w:sz w:val="24"/>
                <w:szCs w:val="24"/>
              </w:rPr>
            </w:sdtEndPr>
            <w:sdtContent>
              <w:r>
                <w:rPr>
                  <w:rFonts w:hint="eastAsia" w:ascii="仿宋" w:hAnsi="仿宋" w:eastAsia="仿宋" w:cs="仿宋"/>
                  <w:sz w:val="24"/>
                  <w:szCs w:val="24"/>
                </w:rPr>
                <w:t>第五阶段：征求意见</w:t>
              </w:r>
            </w:sdtContent>
          </w:sdt>
          <w:r>
            <w:rPr>
              <w:sz w:val="24"/>
              <w:szCs w:val="24"/>
            </w:rPr>
            <w:tab/>
          </w:r>
          <w:bookmarkStart w:id="9" w:name="_Toc14190_WPSOffice_Level2Page"/>
          <w:r>
            <w:rPr>
              <w:sz w:val="24"/>
              <w:szCs w:val="24"/>
            </w:rPr>
            <w:t>5</w:t>
          </w:r>
          <w:bookmarkEnd w:id="9"/>
          <w:r>
            <w:rPr>
              <w:sz w:val="24"/>
              <w:szCs w:val="24"/>
            </w:rPr>
            <w:fldChar w:fldCharType="end"/>
          </w:r>
        </w:p>
        <w:p>
          <w:pPr>
            <w:pStyle w:val="13"/>
            <w:tabs>
              <w:tab w:val="right" w:leader="dot" w:pos="8306"/>
            </w:tabs>
            <w:rPr>
              <w:sz w:val="24"/>
              <w:szCs w:val="24"/>
            </w:rPr>
          </w:pPr>
          <w:r>
            <w:rPr>
              <w:sz w:val="24"/>
              <w:szCs w:val="24"/>
            </w:rPr>
            <w:fldChar w:fldCharType="begin"/>
          </w:r>
          <w:r>
            <w:rPr>
              <w:sz w:val="24"/>
              <w:szCs w:val="24"/>
            </w:rPr>
            <w:instrText xml:space="preserve"> HYPERLINK \l _Toc13455_WPSOffice_Level2 </w:instrText>
          </w:r>
          <w:r>
            <w:rPr>
              <w:sz w:val="24"/>
              <w:szCs w:val="24"/>
            </w:rPr>
            <w:fldChar w:fldCharType="separate"/>
          </w:r>
          <w:sdt>
            <w:sdtPr>
              <w:rPr>
                <w:rFonts w:ascii="Times New Roman" w:hAnsi="Times New Roman" w:eastAsia="宋体" w:cs="Times New Roman"/>
                <w:sz w:val="24"/>
                <w:szCs w:val="24"/>
              </w:rPr>
              <w:id w:val="147478149"/>
              <w:placeholder>
                <w:docPart w:val="{3ea4ec2b-642e-429e-a399-069aa4f9b67c}"/>
              </w:placeholder>
            </w:sdtPr>
            <w:sdtEndPr>
              <w:rPr>
                <w:rFonts w:ascii="Times New Roman" w:hAnsi="Times New Roman" w:eastAsia="宋体" w:cs="Times New Roman"/>
                <w:sz w:val="24"/>
                <w:szCs w:val="24"/>
              </w:rPr>
            </w:sdtEndPr>
            <w:sdtContent>
              <w:r>
                <w:rPr>
                  <w:rFonts w:hint="eastAsia" w:ascii="仿宋" w:hAnsi="仿宋" w:eastAsia="仿宋" w:cs="仿宋"/>
                  <w:sz w:val="24"/>
                  <w:szCs w:val="24"/>
                </w:rPr>
                <w:t>第六阶段：送审稿</w:t>
              </w:r>
            </w:sdtContent>
          </w:sdt>
          <w:r>
            <w:rPr>
              <w:sz w:val="24"/>
              <w:szCs w:val="24"/>
            </w:rPr>
            <w:tab/>
          </w:r>
          <w:bookmarkStart w:id="10" w:name="_Toc13455_WPSOffice_Level2Page"/>
          <w:r>
            <w:rPr>
              <w:sz w:val="24"/>
              <w:szCs w:val="24"/>
            </w:rPr>
            <w:t>5</w:t>
          </w:r>
          <w:bookmarkEnd w:id="10"/>
          <w:r>
            <w:rPr>
              <w:sz w:val="24"/>
              <w:szCs w:val="24"/>
            </w:rPr>
            <w:fldChar w:fldCharType="end"/>
          </w:r>
        </w:p>
        <w:p>
          <w:pPr>
            <w:pStyle w:val="12"/>
            <w:tabs>
              <w:tab w:val="right" w:leader="dot" w:pos="8306"/>
            </w:tabs>
            <w:rPr>
              <w:sz w:val="24"/>
              <w:szCs w:val="24"/>
            </w:rPr>
          </w:pPr>
          <w:r>
            <w:rPr>
              <w:b/>
              <w:bCs/>
              <w:sz w:val="24"/>
              <w:szCs w:val="24"/>
            </w:rPr>
            <w:fldChar w:fldCharType="begin"/>
          </w:r>
          <w:r>
            <w:rPr>
              <w:sz w:val="24"/>
              <w:szCs w:val="24"/>
            </w:rPr>
            <w:instrText xml:space="preserve"> HYPERLINK \l _Toc24849_WPSOffice_Level1 </w:instrText>
          </w:r>
          <w:r>
            <w:rPr>
              <w:b/>
              <w:bCs/>
              <w:sz w:val="24"/>
              <w:szCs w:val="24"/>
            </w:rPr>
            <w:fldChar w:fldCharType="separate"/>
          </w:r>
          <w:sdt>
            <w:sdtPr>
              <w:rPr>
                <w:rFonts w:ascii="Times New Roman" w:hAnsi="Times New Roman" w:eastAsia="宋体" w:cs="Times New Roman"/>
                <w:b/>
                <w:bCs/>
                <w:sz w:val="24"/>
                <w:szCs w:val="24"/>
              </w:rPr>
              <w:id w:val="147478149"/>
              <w:placeholder>
                <w:docPart w:val="{6f12071e-6448-4ce6-a441-2d689a93d84a}"/>
              </w:placeholder>
            </w:sdtPr>
            <w:sdtEndPr>
              <w:rPr>
                <w:rFonts w:ascii="Times New Roman" w:hAnsi="Times New Roman" w:eastAsia="宋体" w:cs="Times New Roman"/>
                <w:b/>
                <w:bCs/>
                <w:sz w:val="24"/>
                <w:szCs w:val="24"/>
              </w:rPr>
            </w:sdtEndPr>
            <w:sdtContent>
              <w:r>
                <w:rPr>
                  <w:rFonts w:hint="eastAsia" w:ascii="仿宋" w:hAnsi="仿宋" w:eastAsia="仿宋" w:cs="仿宋"/>
                  <w:b/>
                  <w:bCs/>
                  <w:sz w:val="24"/>
                  <w:szCs w:val="24"/>
                </w:rPr>
                <w:t>3 标准的编写原则</w:t>
              </w:r>
            </w:sdtContent>
          </w:sdt>
          <w:r>
            <w:rPr>
              <w:b/>
              <w:bCs/>
              <w:sz w:val="24"/>
              <w:szCs w:val="24"/>
            </w:rPr>
            <w:tab/>
          </w:r>
          <w:bookmarkStart w:id="11" w:name="_Toc24849_WPSOffice_Level1Page"/>
          <w:r>
            <w:rPr>
              <w:b/>
              <w:bCs/>
              <w:sz w:val="24"/>
              <w:szCs w:val="24"/>
            </w:rPr>
            <w:t>5</w:t>
          </w:r>
          <w:bookmarkEnd w:id="11"/>
          <w:r>
            <w:rPr>
              <w:b/>
              <w:bCs/>
              <w:sz w:val="24"/>
              <w:szCs w:val="24"/>
            </w:rPr>
            <w:fldChar w:fldCharType="end"/>
          </w:r>
        </w:p>
        <w:p>
          <w:pPr>
            <w:pStyle w:val="12"/>
            <w:tabs>
              <w:tab w:val="right" w:leader="dot" w:pos="8306"/>
            </w:tabs>
            <w:rPr>
              <w:sz w:val="24"/>
              <w:szCs w:val="24"/>
            </w:rPr>
          </w:pPr>
          <w:r>
            <w:rPr>
              <w:b/>
              <w:bCs/>
              <w:sz w:val="24"/>
              <w:szCs w:val="24"/>
            </w:rPr>
            <w:fldChar w:fldCharType="begin"/>
          </w:r>
          <w:r>
            <w:rPr>
              <w:sz w:val="24"/>
              <w:szCs w:val="24"/>
            </w:rPr>
            <w:instrText xml:space="preserve"> HYPERLINK \l _Toc29147_WPSOffice_Level1 </w:instrText>
          </w:r>
          <w:r>
            <w:rPr>
              <w:b/>
              <w:bCs/>
              <w:sz w:val="24"/>
              <w:szCs w:val="24"/>
            </w:rPr>
            <w:fldChar w:fldCharType="separate"/>
          </w:r>
          <w:sdt>
            <w:sdtPr>
              <w:rPr>
                <w:rFonts w:ascii="Times New Roman" w:hAnsi="Times New Roman" w:eastAsia="宋体" w:cs="Times New Roman"/>
                <w:b/>
                <w:bCs/>
                <w:sz w:val="24"/>
                <w:szCs w:val="24"/>
              </w:rPr>
              <w:id w:val="147478149"/>
              <w:placeholder>
                <w:docPart w:val="{0dda8b75-7e32-4820-8f0d-8f09fd9e91c4}"/>
              </w:placeholder>
            </w:sdtPr>
            <w:sdtEndPr>
              <w:rPr>
                <w:rFonts w:ascii="Times New Roman" w:hAnsi="Times New Roman" w:eastAsia="宋体" w:cs="Times New Roman"/>
                <w:b/>
                <w:bCs/>
                <w:sz w:val="24"/>
                <w:szCs w:val="24"/>
              </w:rPr>
            </w:sdtEndPr>
            <w:sdtContent>
              <w:r>
                <w:rPr>
                  <w:rFonts w:hint="eastAsia" w:ascii="仿宋" w:hAnsi="仿宋" w:eastAsia="仿宋" w:cs="仿宋"/>
                  <w:b/>
                  <w:bCs/>
                  <w:sz w:val="24"/>
                  <w:szCs w:val="24"/>
                </w:rPr>
                <w:t>4、标准技术内容及确定依据</w:t>
              </w:r>
            </w:sdtContent>
          </w:sdt>
          <w:r>
            <w:rPr>
              <w:b/>
              <w:bCs/>
              <w:sz w:val="24"/>
              <w:szCs w:val="24"/>
            </w:rPr>
            <w:tab/>
          </w:r>
          <w:bookmarkStart w:id="12" w:name="_Toc29147_WPSOffice_Level1Page"/>
          <w:r>
            <w:rPr>
              <w:b/>
              <w:bCs/>
              <w:sz w:val="24"/>
              <w:szCs w:val="24"/>
            </w:rPr>
            <w:t>6</w:t>
          </w:r>
          <w:bookmarkEnd w:id="12"/>
          <w:r>
            <w:rPr>
              <w:b/>
              <w:bCs/>
              <w:sz w:val="24"/>
              <w:szCs w:val="24"/>
            </w:rPr>
            <w:fldChar w:fldCharType="end"/>
          </w:r>
        </w:p>
        <w:p>
          <w:pPr>
            <w:pStyle w:val="13"/>
            <w:tabs>
              <w:tab w:val="right" w:leader="dot" w:pos="8306"/>
            </w:tabs>
            <w:rPr>
              <w:sz w:val="24"/>
              <w:szCs w:val="24"/>
            </w:rPr>
          </w:pPr>
          <w:r>
            <w:rPr>
              <w:sz w:val="24"/>
              <w:szCs w:val="24"/>
            </w:rPr>
            <w:fldChar w:fldCharType="begin"/>
          </w:r>
          <w:r>
            <w:rPr>
              <w:sz w:val="24"/>
              <w:szCs w:val="24"/>
            </w:rPr>
            <w:instrText xml:space="preserve"> HYPERLINK \l _Toc29324_WPSOffice_Level2 </w:instrText>
          </w:r>
          <w:r>
            <w:rPr>
              <w:sz w:val="24"/>
              <w:szCs w:val="24"/>
            </w:rPr>
            <w:fldChar w:fldCharType="separate"/>
          </w:r>
          <w:sdt>
            <w:sdtPr>
              <w:rPr>
                <w:rFonts w:ascii="Times New Roman" w:hAnsi="Times New Roman" w:eastAsia="宋体" w:cs="Times New Roman"/>
                <w:sz w:val="24"/>
                <w:szCs w:val="24"/>
              </w:rPr>
              <w:id w:val="147478149"/>
              <w:placeholder>
                <w:docPart w:val="{74d5d18c-ca9c-49fd-9cdd-1d358b176232}"/>
              </w:placeholder>
            </w:sdtPr>
            <w:sdtEndPr>
              <w:rPr>
                <w:rFonts w:ascii="Times New Roman" w:hAnsi="Times New Roman" w:eastAsia="宋体" w:cs="Times New Roman"/>
                <w:sz w:val="24"/>
                <w:szCs w:val="24"/>
              </w:rPr>
            </w:sdtEndPr>
            <w:sdtContent>
              <w:r>
                <w:rPr>
                  <w:rFonts w:hint="eastAsia" w:ascii="仿宋" w:hAnsi="仿宋" w:eastAsia="仿宋" w:cs="仿宋"/>
                  <w:sz w:val="24"/>
                  <w:szCs w:val="24"/>
                </w:rPr>
                <w:t>4.1 标准品配制</w:t>
              </w:r>
            </w:sdtContent>
          </w:sdt>
          <w:r>
            <w:rPr>
              <w:sz w:val="24"/>
              <w:szCs w:val="24"/>
            </w:rPr>
            <w:tab/>
          </w:r>
          <w:bookmarkStart w:id="13" w:name="_Toc29324_WPSOffice_Level2Page"/>
          <w:r>
            <w:rPr>
              <w:sz w:val="24"/>
              <w:szCs w:val="24"/>
            </w:rPr>
            <w:t>6</w:t>
          </w:r>
          <w:bookmarkEnd w:id="13"/>
          <w:r>
            <w:rPr>
              <w:sz w:val="24"/>
              <w:szCs w:val="24"/>
            </w:rPr>
            <w:fldChar w:fldCharType="end"/>
          </w:r>
        </w:p>
        <w:p>
          <w:pPr>
            <w:pStyle w:val="13"/>
            <w:tabs>
              <w:tab w:val="right" w:leader="dot" w:pos="8306"/>
            </w:tabs>
            <w:rPr>
              <w:sz w:val="24"/>
              <w:szCs w:val="24"/>
            </w:rPr>
          </w:pPr>
          <w:r>
            <w:rPr>
              <w:sz w:val="24"/>
              <w:szCs w:val="24"/>
            </w:rPr>
            <w:fldChar w:fldCharType="begin"/>
          </w:r>
          <w:r>
            <w:rPr>
              <w:sz w:val="24"/>
              <w:szCs w:val="24"/>
            </w:rPr>
            <w:instrText xml:space="preserve"> HYPERLINK \l _Toc31657_WPSOffice_Level2 </w:instrText>
          </w:r>
          <w:r>
            <w:rPr>
              <w:sz w:val="24"/>
              <w:szCs w:val="24"/>
            </w:rPr>
            <w:fldChar w:fldCharType="separate"/>
          </w:r>
          <w:sdt>
            <w:sdtPr>
              <w:rPr>
                <w:rFonts w:ascii="Times New Roman" w:hAnsi="Times New Roman" w:eastAsia="宋体" w:cs="Times New Roman"/>
                <w:sz w:val="24"/>
                <w:szCs w:val="24"/>
              </w:rPr>
              <w:id w:val="147478149"/>
              <w:placeholder>
                <w:docPart w:val="{85e6633d-b4be-430f-a82f-b06f2831cea8}"/>
              </w:placeholder>
            </w:sdtPr>
            <w:sdtEndPr>
              <w:rPr>
                <w:rFonts w:ascii="Times New Roman" w:hAnsi="Times New Roman" w:eastAsia="宋体" w:cs="Times New Roman"/>
                <w:sz w:val="24"/>
                <w:szCs w:val="24"/>
              </w:rPr>
            </w:sdtEndPr>
            <w:sdtContent>
              <w:r>
                <w:rPr>
                  <w:rFonts w:hint="eastAsia" w:ascii="仿宋" w:hAnsi="仿宋" w:eastAsia="仿宋" w:cs="仿宋"/>
                  <w:sz w:val="24"/>
                  <w:szCs w:val="24"/>
                </w:rPr>
                <w:t>4.2气相色谱条件的确定</w:t>
              </w:r>
            </w:sdtContent>
          </w:sdt>
          <w:r>
            <w:rPr>
              <w:sz w:val="24"/>
              <w:szCs w:val="24"/>
            </w:rPr>
            <w:tab/>
          </w:r>
          <w:bookmarkStart w:id="14" w:name="_Toc31657_WPSOffice_Level2Page"/>
          <w:r>
            <w:rPr>
              <w:sz w:val="24"/>
              <w:szCs w:val="24"/>
            </w:rPr>
            <w:t>7</w:t>
          </w:r>
          <w:bookmarkEnd w:id="14"/>
          <w:r>
            <w:rPr>
              <w:sz w:val="24"/>
              <w:szCs w:val="24"/>
            </w:rPr>
            <w:fldChar w:fldCharType="end"/>
          </w:r>
        </w:p>
        <w:p>
          <w:pPr>
            <w:pStyle w:val="13"/>
            <w:tabs>
              <w:tab w:val="right" w:leader="dot" w:pos="8306"/>
            </w:tabs>
            <w:rPr>
              <w:sz w:val="24"/>
              <w:szCs w:val="24"/>
            </w:rPr>
          </w:pPr>
          <w:r>
            <w:rPr>
              <w:sz w:val="24"/>
              <w:szCs w:val="24"/>
            </w:rPr>
            <w:fldChar w:fldCharType="begin"/>
          </w:r>
          <w:r>
            <w:rPr>
              <w:sz w:val="24"/>
              <w:szCs w:val="24"/>
            </w:rPr>
            <w:instrText xml:space="preserve"> HYPERLINK \l _Toc11657_WPSOffice_Level2 </w:instrText>
          </w:r>
          <w:r>
            <w:rPr>
              <w:sz w:val="24"/>
              <w:szCs w:val="24"/>
            </w:rPr>
            <w:fldChar w:fldCharType="separate"/>
          </w:r>
          <w:sdt>
            <w:sdtPr>
              <w:rPr>
                <w:rFonts w:ascii="Times New Roman" w:hAnsi="Times New Roman" w:eastAsia="宋体" w:cs="Times New Roman"/>
                <w:sz w:val="24"/>
                <w:szCs w:val="24"/>
              </w:rPr>
              <w:id w:val="147478149"/>
              <w:placeholder>
                <w:docPart w:val="{8e07be01-8716-4ded-84f8-c9fcd80ec1e0}"/>
              </w:placeholder>
            </w:sdtPr>
            <w:sdtEndPr>
              <w:rPr>
                <w:rFonts w:ascii="Times New Roman" w:hAnsi="Times New Roman" w:eastAsia="宋体" w:cs="Times New Roman"/>
                <w:sz w:val="24"/>
                <w:szCs w:val="24"/>
              </w:rPr>
            </w:sdtEndPr>
            <w:sdtContent>
              <w:r>
                <w:rPr>
                  <w:rFonts w:hint="eastAsia" w:ascii="仿宋_GB2312" w:hAnsi="Arial" w:eastAsia="仿宋_GB2312" w:cs="Times New Roman"/>
                  <w:sz w:val="24"/>
                  <w:szCs w:val="24"/>
                </w:rPr>
                <w:t xml:space="preserve">4.3 </w:t>
              </w:r>
              <w:r>
                <w:rPr>
                  <w:rFonts w:hint="eastAsia" w:ascii="仿宋_GB2312" w:hAnsi="Arial" w:eastAsia="仿宋_GB2312" w:cs="黑体"/>
                  <w:sz w:val="24"/>
                  <w:szCs w:val="24"/>
                </w:rPr>
                <w:t>样品前处理条件的确定</w:t>
              </w:r>
            </w:sdtContent>
          </w:sdt>
          <w:r>
            <w:rPr>
              <w:sz w:val="24"/>
              <w:szCs w:val="24"/>
            </w:rPr>
            <w:tab/>
          </w:r>
          <w:bookmarkStart w:id="15" w:name="_Toc11657_WPSOffice_Level2Page"/>
          <w:r>
            <w:rPr>
              <w:sz w:val="24"/>
              <w:szCs w:val="24"/>
            </w:rPr>
            <w:t>9</w:t>
          </w:r>
          <w:bookmarkEnd w:id="15"/>
          <w:r>
            <w:rPr>
              <w:sz w:val="24"/>
              <w:szCs w:val="24"/>
            </w:rPr>
            <w:fldChar w:fldCharType="end"/>
          </w:r>
        </w:p>
        <w:p>
          <w:pPr>
            <w:pStyle w:val="13"/>
            <w:tabs>
              <w:tab w:val="right" w:leader="dot" w:pos="8306"/>
            </w:tabs>
            <w:rPr>
              <w:sz w:val="24"/>
              <w:szCs w:val="24"/>
            </w:rPr>
          </w:pPr>
          <w:r>
            <w:rPr>
              <w:sz w:val="24"/>
              <w:szCs w:val="24"/>
            </w:rPr>
            <w:fldChar w:fldCharType="begin"/>
          </w:r>
          <w:r>
            <w:rPr>
              <w:sz w:val="24"/>
              <w:szCs w:val="24"/>
            </w:rPr>
            <w:instrText xml:space="preserve"> HYPERLINK \l _Toc11507_WPSOffice_Level2 </w:instrText>
          </w:r>
          <w:r>
            <w:rPr>
              <w:sz w:val="24"/>
              <w:szCs w:val="24"/>
            </w:rPr>
            <w:fldChar w:fldCharType="separate"/>
          </w:r>
          <w:sdt>
            <w:sdtPr>
              <w:rPr>
                <w:rFonts w:ascii="Times New Roman" w:hAnsi="Times New Roman" w:eastAsia="宋体" w:cs="Times New Roman"/>
                <w:sz w:val="24"/>
                <w:szCs w:val="24"/>
              </w:rPr>
              <w:id w:val="147478149"/>
              <w:placeholder>
                <w:docPart w:val="{5eab7d69-b6b2-43b3-afd8-5ba66a29d37d}"/>
              </w:placeholder>
            </w:sdtPr>
            <w:sdtEndPr>
              <w:rPr>
                <w:rFonts w:ascii="Times New Roman" w:hAnsi="Times New Roman" w:eastAsia="宋体" w:cs="Times New Roman"/>
                <w:sz w:val="24"/>
                <w:szCs w:val="24"/>
              </w:rPr>
            </w:sdtEndPr>
            <w:sdtContent>
              <w:r>
                <w:rPr>
                  <w:rFonts w:hint="eastAsia" w:ascii="仿宋_GB2312" w:hAnsi="Arial" w:eastAsia="仿宋_GB2312" w:cs="Times New Roman"/>
                  <w:sz w:val="24"/>
                  <w:szCs w:val="24"/>
                </w:rPr>
                <w:t>4.4 方法的特异性</w:t>
              </w:r>
            </w:sdtContent>
          </w:sdt>
          <w:r>
            <w:rPr>
              <w:sz w:val="24"/>
              <w:szCs w:val="24"/>
            </w:rPr>
            <w:tab/>
          </w:r>
          <w:bookmarkStart w:id="16" w:name="_Toc11507_WPSOffice_Level2Page"/>
          <w:r>
            <w:rPr>
              <w:sz w:val="24"/>
              <w:szCs w:val="24"/>
            </w:rPr>
            <w:t>10</w:t>
          </w:r>
          <w:bookmarkEnd w:id="16"/>
          <w:r>
            <w:rPr>
              <w:sz w:val="24"/>
              <w:szCs w:val="24"/>
            </w:rPr>
            <w:fldChar w:fldCharType="end"/>
          </w:r>
        </w:p>
        <w:p>
          <w:pPr>
            <w:pStyle w:val="13"/>
            <w:tabs>
              <w:tab w:val="right" w:leader="dot" w:pos="8306"/>
            </w:tabs>
            <w:rPr>
              <w:sz w:val="24"/>
              <w:szCs w:val="24"/>
            </w:rPr>
          </w:pPr>
          <w:r>
            <w:rPr>
              <w:sz w:val="24"/>
              <w:szCs w:val="24"/>
            </w:rPr>
            <w:fldChar w:fldCharType="begin"/>
          </w:r>
          <w:r>
            <w:rPr>
              <w:sz w:val="24"/>
              <w:szCs w:val="24"/>
            </w:rPr>
            <w:instrText xml:space="preserve"> HYPERLINK \l _Toc14727_WPSOffice_Level2 </w:instrText>
          </w:r>
          <w:r>
            <w:rPr>
              <w:sz w:val="24"/>
              <w:szCs w:val="24"/>
            </w:rPr>
            <w:fldChar w:fldCharType="separate"/>
          </w:r>
          <w:sdt>
            <w:sdtPr>
              <w:rPr>
                <w:rFonts w:ascii="Times New Roman" w:hAnsi="Times New Roman" w:eastAsia="宋体" w:cs="Times New Roman"/>
                <w:sz w:val="24"/>
                <w:szCs w:val="24"/>
              </w:rPr>
              <w:id w:val="147478149"/>
              <w:placeholder>
                <w:docPart w:val="{f034274f-61e5-437c-8bca-01f317c8530f}"/>
              </w:placeholder>
            </w:sdtPr>
            <w:sdtEndPr>
              <w:rPr>
                <w:rFonts w:ascii="Times New Roman" w:hAnsi="Times New Roman" w:eastAsia="宋体" w:cs="Times New Roman"/>
                <w:sz w:val="24"/>
                <w:szCs w:val="24"/>
              </w:rPr>
            </w:sdtEndPr>
            <w:sdtContent>
              <w:r>
                <w:rPr>
                  <w:rFonts w:hint="eastAsia" w:ascii="仿宋_GB2312" w:hAnsi="Arial" w:eastAsia="仿宋_GB2312" w:cs="Times New Roman"/>
                  <w:sz w:val="24"/>
                  <w:szCs w:val="24"/>
                </w:rPr>
                <w:t>4.5 方法的线性范围</w:t>
              </w:r>
            </w:sdtContent>
          </w:sdt>
          <w:r>
            <w:rPr>
              <w:sz w:val="24"/>
              <w:szCs w:val="24"/>
            </w:rPr>
            <w:tab/>
          </w:r>
          <w:bookmarkStart w:id="17" w:name="_Toc14727_WPSOffice_Level2Page"/>
          <w:r>
            <w:rPr>
              <w:sz w:val="24"/>
              <w:szCs w:val="24"/>
            </w:rPr>
            <w:t>12</w:t>
          </w:r>
          <w:bookmarkEnd w:id="17"/>
          <w:r>
            <w:rPr>
              <w:sz w:val="24"/>
              <w:szCs w:val="24"/>
            </w:rPr>
            <w:fldChar w:fldCharType="end"/>
          </w:r>
        </w:p>
        <w:p>
          <w:pPr>
            <w:pStyle w:val="13"/>
            <w:tabs>
              <w:tab w:val="right" w:leader="dot" w:pos="8306"/>
            </w:tabs>
            <w:rPr>
              <w:sz w:val="24"/>
              <w:szCs w:val="24"/>
            </w:rPr>
          </w:pPr>
          <w:r>
            <w:rPr>
              <w:sz w:val="24"/>
              <w:szCs w:val="24"/>
            </w:rPr>
            <w:fldChar w:fldCharType="begin"/>
          </w:r>
          <w:r>
            <w:rPr>
              <w:sz w:val="24"/>
              <w:szCs w:val="24"/>
            </w:rPr>
            <w:instrText xml:space="preserve"> HYPERLINK \l _Toc21890_WPSOffice_Level2 </w:instrText>
          </w:r>
          <w:r>
            <w:rPr>
              <w:sz w:val="24"/>
              <w:szCs w:val="24"/>
            </w:rPr>
            <w:fldChar w:fldCharType="separate"/>
          </w:r>
          <w:sdt>
            <w:sdtPr>
              <w:rPr>
                <w:rFonts w:ascii="Times New Roman" w:hAnsi="Times New Roman" w:eastAsia="宋体" w:cs="Times New Roman"/>
                <w:sz w:val="24"/>
                <w:szCs w:val="24"/>
              </w:rPr>
              <w:id w:val="147478149"/>
              <w:placeholder>
                <w:docPart w:val="{27ccc1b1-7028-4c2a-8015-d3e4f7f9558c}"/>
              </w:placeholder>
            </w:sdtPr>
            <w:sdtEndPr>
              <w:rPr>
                <w:rFonts w:ascii="Times New Roman" w:hAnsi="Times New Roman" w:eastAsia="宋体" w:cs="Times New Roman"/>
                <w:sz w:val="24"/>
                <w:szCs w:val="24"/>
              </w:rPr>
            </w:sdtEndPr>
            <w:sdtContent>
              <w:r>
                <w:rPr>
                  <w:rFonts w:hint="eastAsia" w:ascii="仿宋_GB2312" w:hAnsi="Arial" w:eastAsia="仿宋_GB2312" w:cs="Times New Roman"/>
                  <w:sz w:val="24"/>
                  <w:szCs w:val="24"/>
                </w:rPr>
                <w:t>4.6 准确度</w:t>
              </w:r>
            </w:sdtContent>
          </w:sdt>
          <w:r>
            <w:rPr>
              <w:sz w:val="24"/>
              <w:szCs w:val="24"/>
            </w:rPr>
            <w:tab/>
          </w:r>
          <w:bookmarkStart w:id="18" w:name="_Toc21890_WPSOffice_Level2Page"/>
          <w:r>
            <w:rPr>
              <w:sz w:val="24"/>
              <w:szCs w:val="24"/>
            </w:rPr>
            <w:t>12</w:t>
          </w:r>
          <w:bookmarkEnd w:id="18"/>
          <w:r>
            <w:rPr>
              <w:sz w:val="24"/>
              <w:szCs w:val="24"/>
            </w:rPr>
            <w:fldChar w:fldCharType="end"/>
          </w:r>
        </w:p>
        <w:p>
          <w:pPr>
            <w:pStyle w:val="13"/>
            <w:tabs>
              <w:tab w:val="right" w:leader="dot" w:pos="8306"/>
            </w:tabs>
            <w:rPr>
              <w:sz w:val="24"/>
              <w:szCs w:val="24"/>
            </w:rPr>
          </w:pPr>
          <w:r>
            <w:rPr>
              <w:sz w:val="24"/>
              <w:szCs w:val="24"/>
            </w:rPr>
            <w:fldChar w:fldCharType="begin"/>
          </w:r>
          <w:r>
            <w:rPr>
              <w:sz w:val="24"/>
              <w:szCs w:val="24"/>
            </w:rPr>
            <w:instrText xml:space="preserve"> HYPERLINK \l _Toc21980_WPSOffice_Level2 </w:instrText>
          </w:r>
          <w:r>
            <w:rPr>
              <w:sz w:val="24"/>
              <w:szCs w:val="24"/>
            </w:rPr>
            <w:fldChar w:fldCharType="separate"/>
          </w:r>
          <w:sdt>
            <w:sdtPr>
              <w:rPr>
                <w:rFonts w:ascii="Times New Roman" w:hAnsi="Times New Roman" w:eastAsia="宋体" w:cs="Times New Roman"/>
                <w:sz w:val="24"/>
                <w:szCs w:val="24"/>
              </w:rPr>
              <w:id w:val="147478149"/>
              <w:placeholder>
                <w:docPart w:val="{22dd1170-9361-4ec6-9f6c-915641498a6e}"/>
              </w:placeholder>
            </w:sdtPr>
            <w:sdtEndPr>
              <w:rPr>
                <w:rFonts w:ascii="Times New Roman" w:hAnsi="Times New Roman" w:eastAsia="宋体" w:cs="Times New Roman"/>
                <w:sz w:val="24"/>
                <w:szCs w:val="24"/>
              </w:rPr>
            </w:sdtEndPr>
            <w:sdtContent>
              <w:r>
                <w:rPr>
                  <w:rFonts w:hint="eastAsia" w:ascii="仿宋_GB2312" w:hAnsi="Arial" w:eastAsia="仿宋_GB2312" w:cs="Times New Roman"/>
                  <w:sz w:val="24"/>
                  <w:szCs w:val="24"/>
                </w:rPr>
                <w:t>4.7 精密度</w:t>
              </w:r>
            </w:sdtContent>
          </w:sdt>
          <w:r>
            <w:rPr>
              <w:sz w:val="24"/>
              <w:szCs w:val="24"/>
            </w:rPr>
            <w:tab/>
          </w:r>
          <w:bookmarkStart w:id="19" w:name="_Toc21980_WPSOffice_Level2Page"/>
          <w:r>
            <w:rPr>
              <w:sz w:val="24"/>
              <w:szCs w:val="24"/>
            </w:rPr>
            <w:t>13</w:t>
          </w:r>
          <w:bookmarkEnd w:id="19"/>
          <w:r>
            <w:rPr>
              <w:sz w:val="24"/>
              <w:szCs w:val="24"/>
            </w:rPr>
            <w:fldChar w:fldCharType="end"/>
          </w:r>
        </w:p>
        <w:p>
          <w:pPr>
            <w:pStyle w:val="13"/>
            <w:tabs>
              <w:tab w:val="right" w:leader="dot" w:pos="8306"/>
            </w:tabs>
            <w:rPr>
              <w:sz w:val="24"/>
              <w:szCs w:val="24"/>
            </w:rPr>
          </w:pPr>
          <w:r>
            <w:rPr>
              <w:sz w:val="24"/>
              <w:szCs w:val="24"/>
            </w:rPr>
            <w:fldChar w:fldCharType="begin"/>
          </w:r>
          <w:r>
            <w:rPr>
              <w:sz w:val="24"/>
              <w:szCs w:val="24"/>
            </w:rPr>
            <w:instrText xml:space="preserve"> HYPERLINK \l _Toc19361_WPSOffice_Level2 </w:instrText>
          </w:r>
          <w:r>
            <w:rPr>
              <w:sz w:val="24"/>
              <w:szCs w:val="24"/>
            </w:rPr>
            <w:fldChar w:fldCharType="separate"/>
          </w:r>
          <w:sdt>
            <w:sdtPr>
              <w:rPr>
                <w:rFonts w:ascii="Times New Roman" w:hAnsi="Times New Roman" w:eastAsia="宋体" w:cs="Times New Roman"/>
                <w:sz w:val="24"/>
                <w:szCs w:val="24"/>
              </w:rPr>
              <w:id w:val="147478149"/>
              <w:placeholder>
                <w:docPart w:val="{87ffcb44-aab7-4a1f-94ed-3000ff3c26df}"/>
              </w:placeholder>
            </w:sdtPr>
            <w:sdtEndPr>
              <w:rPr>
                <w:rFonts w:ascii="Times New Roman" w:hAnsi="Times New Roman" w:eastAsia="宋体" w:cs="Times New Roman"/>
                <w:sz w:val="24"/>
                <w:szCs w:val="24"/>
              </w:rPr>
            </w:sdtEndPr>
            <w:sdtContent>
              <w:r>
                <w:rPr>
                  <w:rFonts w:hint="eastAsia" w:ascii="仿宋_GB2312" w:hAnsi="Arial" w:eastAsia="仿宋_GB2312" w:cs="Times New Roman"/>
                  <w:sz w:val="24"/>
                  <w:szCs w:val="24"/>
                </w:rPr>
                <w:t>4.8检出限</w:t>
              </w:r>
            </w:sdtContent>
          </w:sdt>
          <w:r>
            <w:rPr>
              <w:sz w:val="24"/>
              <w:szCs w:val="24"/>
            </w:rPr>
            <w:tab/>
          </w:r>
          <w:bookmarkStart w:id="20" w:name="_Toc19361_WPSOffice_Level2Page"/>
          <w:r>
            <w:rPr>
              <w:sz w:val="24"/>
              <w:szCs w:val="24"/>
            </w:rPr>
            <w:t>15</w:t>
          </w:r>
          <w:bookmarkEnd w:id="20"/>
          <w:r>
            <w:rPr>
              <w:sz w:val="24"/>
              <w:szCs w:val="24"/>
            </w:rPr>
            <w:fldChar w:fldCharType="end"/>
          </w:r>
        </w:p>
        <w:p>
          <w:pPr>
            <w:pStyle w:val="13"/>
            <w:tabs>
              <w:tab w:val="right" w:leader="dot" w:pos="8306"/>
            </w:tabs>
            <w:rPr>
              <w:sz w:val="24"/>
              <w:szCs w:val="24"/>
            </w:rPr>
          </w:pPr>
          <w:r>
            <w:rPr>
              <w:sz w:val="24"/>
              <w:szCs w:val="24"/>
            </w:rPr>
            <w:fldChar w:fldCharType="begin"/>
          </w:r>
          <w:r>
            <w:rPr>
              <w:sz w:val="24"/>
              <w:szCs w:val="24"/>
            </w:rPr>
            <w:instrText xml:space="preserve"> HYPERLINK \l _Toc27331_WPSOffice_Level2 </w:instrText>
          </w:r>
          <w:r>
            <w:rPr>
              <w:sz w:val="24"/>
              <w:szCs w:val="24"/>
            </w:rPr>
            <w:fldChar w:fldCharType="separate"/>
          </w:r>
          <w:sdt>
            <w:sdtPr>
              <w:rPr>
                <w:rFonts w:ascii="Times New Roman" w:hAnsi="Times New Roman" w:eastAsia="宋体" w:cs="Times New Roman"/>
                <w:sz w:val="24"/>
                <w:szCs w:val="24"/>
              </w:rPr>
              <w:id w:val="147478149"/>
              <w:placeholder>
                <w:docPart w:val="{157c9d41-babe-42ed-b37f-b90440baaf9f}"/>
              </w:placeholder>
            </w:sdtPr>
            <w:sdtEndPr>
              <w:rPr>
                <w:rFonts w:ascii="Times New Roman" w:hAnsi="Times New Roman" w:eastAsia="宋体" w:cs="Times New Roman"/>
                <w:sz w:val="24"/>
                <w:szCs w:val="24"/>
              </w:rPr>
            </w:sdtEndPr>
            <w:sdtContent>
              <w:r>
                <w:rPr>
                  <w:rFonts w:hint="eastAsia" w:ascii="仿宋_GB2312" w:hAnsi="Arial" w:eastAsia="仿宋_GB2312" w:cs="Times New Roman"/>
                  <w:sz w:val="24"/>
                  <w:szCs w:val="24"/>
                </w:rPr>
                <w:t>4.9内标物的选择和使用</w:t>
              </w:r>
            </w:sdtContent>
          </w:sdt>
          <w:r>
            <w:rPr>
              <w:sz w:val="24"/>
              <w:szCs w:val="24"/>
            </w:rPr>
            <w:tab/>
          </w:r>
          <w:bookmarkStart w:id="21" w:name="_Toc27331_WPSOffice_Level2Page"/>
          <w:r>
            <w:rPr>
              <w:sz w:val="24"/>
              <w:szCs w:val="24"/>
            </w:rPr>
            <w:t>16</w:t>
          </w:r>
          <w:bookmarkEnd w:id="21"/>
          <w:r>
            <w:rPr>
              <w:sz w:val="24"/>
              <w:szCs w:val="24"/>
            </w:rPr>
            <w:fldChar w:fldCharType="end"/>
          </w:r>
        </w:p>
        <w:p>
          <w:pPr>
            <w:pStyle w:val="13"/>
            <w:tabs>
              <w:tab w:val="right" w:leader="dot" w:pos="8306"/>
            </w:tabs>
            <w:rPr>
              <w:sz w:val="24"/>
              <w:szCs w:val="24"/>
            </w:rPr>
          </w:pPr>
          <w:r>
            <w:rPr>
              <w:sz w:val="24"/>
              <w:szCs w:val="24"/>
            </w:rPr>
            <w:fldChar w:fldCharType="begin"/>
          </w:r>
          <w:r>
            <w:rPr>
              <w:sz w:val="24"/>
              <w:szCs w:val="24"/>
            </w:rPr>
            <w:instrText xml:space="preserve"> HYPERLINK \l _Toc7478_WPSOffice_Level2 </w:instrText>
          </w:r>
          <w:r>
            <w:rPr>
              <w:sz w:val="24"/>
              <w:szCs w:val="24"/>
            </w:rPr>
            <w:fldChar w:fldCharType="separate"/>
          </w:r>
          <w:sdt>
            <w:sdtPr>
              <w:rPr>
                <w:rFonts w:ascii="Times New Roman" w:hAnsi="Times New Roman" w:eastAsia="宋体" w:cs="Times New Roman"/>
                <w:sz w:val="24"/>
                <w:szCs w:val="24"/>
              </w:rPr>
              <w:id w:val="147478149"/>
              <w:placeholder>
                <w:docPart w:val="{0f33f79a-3969-45f4-96d8-614c5d32d8e6}"/>
              </w:placeholder>
            </w:sdtPr>
            <w:sdtEndPr>
              <w:rPr>
                <w:rFonts w:ascii="Times New Roman" w:hAnsi="Times New Roman" w:eastAsia="宋体" w:cs="Times New Roman"/>
                <w:sz w:val="24"/>
                <w:szCs w:val="24"/>
              </w:rPr>
            </w:sdtEndPr>
            <w:sdtContent>
              <w:r>
                <w:rPr>
                  <w:rFonts w:hint="eastAsia" w:ascii="仿宋_GB2312" w:hAnsi="Arial" w:eastAsia="仿宋_GB2312" w:cs="Times New Roman"/>
                  <w:sz w:val="24"/>
                  <w:szCs w:val="24"/>
                </w:rPr>
                <w:t>4.10方法的实用性</w:t>
              </w:r>
            </w:sdtContent>
          </w:sdt>
          <w:r>
            <w:rPr>
              <w:sz w:val="24"/>
              <w:szCs w:val="24"/>
            </w:rPr>
            <w:tab/>
          </w:r>
          <w:bookmarkStart w:id="22" w:name="_Toc7478_WPSOffice_Level2Page"/>
          <w:r>
            <w:rPr>
              <w:sz w:val="24"/>
              <w:szCs w:val="24"/>
            </w:rPr>
            <w:t>16</w:t>
          </w:r>
          <w:bookmarkEnd w:id="22"/>
          <w:r>
            <w:rPr>
              <w:sz w:val="24"/>
              <w:szCs w:val="24"/>
            </w:rPr>
            <w:fldChar w:fldCharType="end"/>
          </w:r>
        </w:p>
        <w:p>
          <w:pPr>
            <w:pStyle w:val="12"/>
            <w:tabs>
              <w:tab w:val="right" w:leader="dot" w:pos="8306"/>
            </w:tabs>
            <w:rPr>
              <w:sz w:val="24"/>
              <w:szCs w:val="24"/>
            </w:rPr>
          </w:pPr>
          <w:r>
            <w:rPr>
              <w:b/>
              <w:bCs/>
              <w:sz w:val="24"/>
              <w:szCs w:val="24"/>
            </w:rPr>
            <w:fldChar w:fldCharType="begin"/>
          </w:r>
          <w:r>
            <w:rPr>
              <w:sz w:val="24"/>
              <w:szCs w:val="24"/>
            </w:rPr>
            <w:instrText xml:space="preserve"> HYPERLINK \l _Toc14190_WPSOffice_Level1 </w:instrText>
          </w:r>
          <w:r>
            <w:rPr>
              <w:b/>
              <w:bCs/>
              <w:sz w:val="24"/>
              <w:szCs w:val="24"/>
            </w:rPr>
            <w:fldChar w:fldCharType="separate"/>
          </w:r>
          <w:sdt>
            <w:sdtPr>
              <w:rPr>
                <w:rFonts w:ascii="Times New Roman" w:hAnsi="Times New Roman" w:eastAsia="宋体" w:cs="Times New Roman"/>
                <w:b/>
                <w:bCs/>
                <w:sz w:val="24"/>
                <w:szCs w:val="24"/>
              </w:rPr>
              <w:id w:val="147478149"/>
              <w:placeholder>
                <w:docPart w:val="{5ae80c4d-549c-43eb-8296-b14faedf5e68}"/>
              </w:placeholder>
            </w:sdtPr>
            <w:sdtEndPr>
              <w:rPr>
                <w:rFonts w:ascii="Times New Roman" w:hAnsi="Times New Roman" w:eastAsia="宋体" w:cs="Times New Roman"/>
                <w:b/>
                <w:bCs/>
                <w:sz w:val="24"/>
                <w:szCs w:val="24"/>
              </w:rPr>
            </w:sdtEndPr>
            <w:sdtContent>
              <w:r>
                <w:rPr>
                  <w:rFonts w:hint="eastAsia" w:ascii="仿宋" w:hAnsi="仿宋" w:eastAsia="仿宋" w:cs="仿宋"/>
                  <w:b/>
                  <w:bCs/>
                  <w:sz w:val="24"/>
                  <w:szCs w:val="24"/>
                </w:rPr>
                <w:t>6与有关的现行法律、法规和强制性标准的关系</w:t>
              </w:r>
            </w:sdtContent>
          </w:sdt>
          <w:r>
            <w:rPr>
              <w:b/>
              <w:bCs/>
              <w:sz w:val="24"/>
              <w:szCs w:val="24"/>
            </w:rPr>
            <w:tab/>
          </w:r>
          <w:bookmarkStart w:id="23" w:name="_Toc14190_WPSOffice_Level1Page"/>
          <w:r>
            <w:rPr>
              <w:b/>
              <w:bCs/>
              <w:sz w:val="24"/>
              <w:szCs w:val="24"/>
            </w:rPr>
            <w:t>17</w:t>
          </w:r>
          <w:bookmarkEnd w:id="23"/>
          <w:r>
            <w:rPr>
              <w:b/>
              <w:bCs/>
              <w:sz w:val="24"/>
              <w:szCs w:val="24"/>
            </w:rPr>
            <w:fldChar w:fldCharType="end"/>
          </w:r>
        </w:p>
        <w:p>
          <w:pPr>
            <w:pStyle w:val="12"/>
            <w:tabs>
              <w:tab w:val="right" w:leader="dot" w:pos="8306"/>
            </w:tabs>
            <w:rPr>
              <w:sz w:val="24"/>
              <w:szCs w:val="24"/>
            </w:rPr>
          </w:pPr>
          <w:r>
            <w:rPr>
              <w:b/>
              <w:bCs/>
              <w:sz w:val="24"/>
              <w:szCs w:val="24"/>
            </w:rPr>
            <w:fldChar w:fldCharType="begin"/>
          </w:r>
          <w:r>
            <w:rPr>
              <w:sz w:val="24"/>
              <w:szCs w:val="24"/>
            </w:rPr>
            <w:instrText xml:space="preserve"> HYPERLINK \l _Toc13455_WPSOffice_Level1 </w:instrText>
          </w:r>
          <w:r>
            <w:rPr>
              <w:b/>
              <w:bCs/>
              <w:sz w:val="24"/>
              <w:szCs w:val="24"/>
            </w:rPr>
            <w:fldChar w:fldCharType="separate"/>
          </w:r>
          <w:sdt>
            <w:sdtPr>
              <w:rPr>
                <w:rFonts w:ascii="Times New Roman" w:hAnsi="Times New Roman" w:eastAsia="宋体" w:cs="Times New Roman"/>
                <w:b/>
                <w:bCs/>
                <w:sz w:val="24"/>
                <w:szCs w:val="24"/>
              </w:rPr>
              <w:id w:val="147478149"/>
              <w:placeholder>
                <w:docPart w:val="{9909946e-5154-452c-84c0-702b48e3fdfc}"/>
              </w:placeholder>
            </w:sdtPr>
            <w:sdtEndPr>
              <w:rPr>
                <w:rFonts w:ascii="Times New Roman" w:hAnsi="Times New Roman" w:eastAsia="宋体" w:cs="Times New Roman"/>
                <w:b/>
                <w:bCs/>
                <w:sz w:val="24"/>
                <w:szCs w:val="24"/>
              </w:rPr>
            </w:sdtEndPr>
            <w:sdtContent>
              <w:r>
                <w:rPr>
                  <w:rFonts w:hint="eastAsia" w:ascii="仿宋" w:hAnsi="仿宋" w:eastAsia="仿宋" w:cs="仿宋"/>
                  <w:b/>
                  <w:bCs/>
                  <w:sz w:val="24"/>
                  <w:szCs w:val="24"/>
                </w:rPr>
                <w:t>7作为强制性标准或推荐性标准的建议</w:t>
              </w:r>
            </w:sdtContent>
          </w:sdt>
          <w:r>
            <w:rPr>
              <w:b/>
              <w:bCs/>
              <w:sz w:val="24"/>
              <w:szCs w:val="24"/>
            </w:rPr>
            <w:tab/>
          </w:r>
          <w:bookmarkStart w:id="24" w:name="_Toc13455_WPSOffice_Level1Page"/>
          <w:r>
            <w:rPr>
              <w:b/>
              <w:bCs/>
              <w:sz w:val="24"/>
              <w:szCs w:val="24"/>
            </w:rPr>
            <w:t>17</w:t>
          </w:r>
          <w:bookmarkEnd w:id="24"/>
          <w:r>
            <w:rPr>
              <w:b/>
              <w:bCs/>
              <w:sz w:val="24"/>
              <w:szCs w:val="24"/>
            </w:rPr>
            <w:fldChar w:fldCharType="end"/>
          </w:r>
        </w:p>
        <w:p>
          <w:pPr>
            <w:pStyle w:val="12"/>
            <w:tabs>
              <w:tab w:val="right" w:leader="dot" w:pos="8306"/>
            </w:tabs>
            <w:rPr>
              <w:sz w:val="24"/>
              <w:szCs w:val="24"/>
            </w:rPr>
          </w:pPr>
          <w:r>
            <w:rPr>
              <w:b/>
              <w:bCs/>
              <w:sz w:val="24"/>
              <w:szCs w:val="24"/>
            </w:rPr>
            <w:fldChar w:fldCharType="begin"/>
          </w:r>
          <w:r>
            <w:rPr>
              <w:sz w:val="24"/>
              <w:szCs w:val="24"/>
            </w:rPr>
            <w:instrText xml:space="preserve"> HYPERLINK \l _Toc29324_WPSOffice_Level1 </w:instrText>
          </w:r>
          <w:r>
            <w:rPr>
              <w:b/>
              <w:bCs/>
              <w:sz w:val="24"/>
              <w:szCs w:val="24"/>
            </w:rPr>
            <w:fldChar w:fldCharType="separate"/>
          </w:r>
          <w:sdt>
            <w:sdtPr>
              <w:rPr>
                <w:rFonts w:ascii="Times New Roman" w:hAnsi="Times New Roman" w:eastAsia="宋体" w:cs="Times New Roman"/>
                <w:b/>
                <w:bCs/>
                <w:sz w:val="24"/>
                <w:szCs w:val="24"/>
              </w:rPr>
              <w:id w:val="147478149"/>
              <w:placeholder>
                <w:docPart w:val="{408fdd28-75ed-4de7-852a-c4ff8ef75540}"/>
              </w:placeholder>
            </w:sdtPr>
            <w:sdtEndPr>
              <w:rPr>
                <w:rFonts w:ascii="Times New Roman" w:hAnsi="Times New Roman" w:eastAsia="宋体" w:cs="Times New Roman"/>
                <w:b/>
                <w:bCs/>
                <w:sz w:val="24"/>
                <w:szCs w:val="24"/>
              </w:rPr>
            </w:sdtEndPr>
            <w:sdtContent>
              <w:r>
                <w:rPr>
                  <w:rFonts w:hint="eastAsia" w:ascii="仿宋" w:hAnsi="仿宋" w:eastAsia="仿宋" w:cs="仿宋"/>
                  <w:b/>
                  <w:bCs/>
                  <w:sz w:val="24"/>
                  <w:szCs w:val="24"/>
                </w:rPr>
                <w:t>8专利及涉及知识产权情况</w:t>
              </w:r>
            </w:sdtContent>
          </w:sdt>
          <w:r>
            <w:rPr>
              <w:b/>
              <w:bCs/>
              <w:sz w:val="24"/>
              <w:szCs w:val="24"/>
            </w:rPr>
            <w:tab/>
          </w:r>
          <w:bookmarkStart w:id="25" w:name="_Toc29324_WPSOffice_Level1Page"/>
          <w:r>
            <w:rPr>
              <w:b/>
              <w:bCs/>
              <w:sz w:val="24"/>
              <w:szCs w:val="24"/>
            </w:rPr>
            <w:t>17</w:t>
          </w:r>
          <w:bookmarkEnd w:id="25"/>
          <w:r>
            <w:rPr>
              <w:b/>
              <w:bCs/>
              <w:sz w:val="24"/>
              <w:szCs w:val="24"/>
            </w:rPr>
            <w:fldChar w:fldCharType="end"/>
          </w:r>
        </w:p>
        <w:p>
          <w:pPr>
            <w:pStyle w:val="12"/>
            <w:tabs>
              <w:tab w:val="right" w:leader="dot" w:pos="8306"/>
            </w:tabs>
            <w:rPr>
              <w:sz w:val="24"/>
              <w:szCs w:val="24"/>
            </w:rPr>
          </w:pPr>
          <w:r>
            <w:rPr>
              <w:b/>
              <w:bCs/>
              <w:sz w:val="24"/>
              <w:szCs w:val="24"/>
            </w:rPr>
            <w:fldChar w:fldCharType="begin"/>
          </w:r>
          <w:r>
            <w:rPr>
              <w:sz w:val="24"/>
              <w:szCs w:val="24"/>
            </w:rPr>
            <w:instrText xml:space="preserve"> HYPERLINK \l _Toc31657_WPSOffice_Level1 </w:instrText>
          </w:r>
          <w:r>
            <w:rPr>
              <w:b/>
              <w:bCs/>
              <w:sz w:val="24"/>
              <w:szCs w:val="24"/>
            </w:rPr>
            <w:fldChar w:fldCharType="separate"/>
          </w:r>
          <w:sdt>
            <w:sdtPr>
              <w:rPr>
                <w:rFonts w:ascii="Times New Roman" w:hAnsi="Times New Roman" w:eastAsia="宋体" w:cs="Times New Roman"/>
                <w:b/>
                <w:bCs/>
                <w:sz w:val="24"/>
                <w:szCs w:val="24"/>
              </w:rPr>
              <w:id w:val="147478149"/>
              <w:placeholder>
                <w:docPart w:val="{a8bbcd41-1627-4fa0-b625-c8c9e439ac8d}"/>
              </w:placeholder>
            </w:sdtPr>
            <w:sdtEndPr>
              <w:rPr>
                <w:rFonts w:ascii="Times New Roman" w:hAnsi="Times New Roman" w:eastAsia="宋体" w:cs="Times New Roman"/>
                <w:b/>
                <w:bCs/>
                <w:sz w:val="24"/>
                <w:szCs w:val="24"/>
              </w:rPr>
            </w:sdtEndPr>
            <w:sdtContent>
              <w:r>
                <w:rPr>
                  <w:rFonts w:hint="eastAsia" w:ascii="仿宋" w:hAnsi="仿宋" w:eastAsia="仿宋" w:cs="仿宋"/>
                  <w:b/>
                  <w:bCs/>
                  <w:sz w:val="24"/>
                  <w:szCs w:val="24"/>
                </w:rPr>
                <w:t>9 重大分歧意见的处理经过</w:t>
              </w:r>
            </w:sdtContent>
          </w:sdt>
          <w:r>
            <w:rPr>
              <w:b/>
              <w:bCs/>
              <w:sz w:val="24"/>
              <w:szCs w:val="24"/>
            </w:rPr>
            <w:tab/>
          </w:r>
          <w:bookmarkStart w:id="26" w:name="_Toc31657_WPSOffice_Level1Page"/>
          <w:r>
            <w:rPr>
              <w:b/>
              <w:bCs/>
              <w:sz w:val="24"/>
              <w:szCs w:val="24"/>
            </w:rPr>
            <w:t>17</w:t>
          </w:r>
          <w:bookmarkEnd w:id="26"/>
          <w:r>
            <w:rPr>
              <w:b/>
              <w:bCs/>
              <w:sz w:val="24"/>
              <w:szCs w:val="24"/>
            </w:rPr>
            <w:fldChar w:fldCharType="end"/>
          </w:r>
        </w:p>
        <w:p>
          <w:pPr>
            <w:pStyle w:val="12"/>
            <w:tabs>
              <w:tab w:val="right" w:leader="dot" w:pos="8306"/>
            </w:tabs>
            <w:rPr>
              <w:sz w:val="24"/>
              <w:szCs w:val="24"/>
            </w:rPr>
          </w:pPr>
          <w:r>
            <w:rPr>
              <w:b/>
              <w:bCs/>
              <w:sz w:val="24"/>
              <w:szCs w:val="24"/>
            </w:rPr>
            <w:fldChar w:fldCharType="begin"/>
          </w:r>
          <w:r>
            <w:rPr>
              <w:sz w:val="24"/>
              <w:szCs w:val="24"/>
            </w:rPr>
            <w:instrText xml:space="preserve"> HYPERLINK \l _Toc11657_WPSOffice_Level1 </w:instrText>
          </w:r>
          <w:r>
            <w:rPr>
              <w:b/>
              <w:bCs/>
              <w:sz w:val="24"/>
              <w:szCs w:val="24"/>
            </w:rPr>
            <w:fldChar w:fldCharType="separate"/>
          </w:r>
          <w:sdt>
            <w:sdtPr>
              <w:rPr>
                <w:rFonts w:ascii="Times New Roman" w:hAnsi="Times New Roman" w:eastAsia="宋体" w:cs="Times New Roman"/>
                <w:b/>
                <w:bCs/>
                <w:sz w:val="24"/>
                <w:szCs w:val="24"/>
              </w:rPr>
              <w:id w:val="147478149"/>
              <w:placeholder>
                <w:docPart w:val="{123beedf-75c5-453e-98c8-fb29817bf967}"/>
              </w:placeholder>
            </w:sdtPr>
            <w:sdtEndPr>
              <w:rPr>
                <w:rFonts w:ascii="Times New Roman" w:hAnsi="Times New Roman" w:eastAsia="宋体" w:cs="Times New Roman"/>
                <w:b/>
                <w:bCs/>
                <w:sz w:val="24"/>
                <w:szCs w:val="24"/>
              </w:rPr>
            </w:sdtEndPr>
            <w:sdtContent>
              <w:r>
                <w:rPr>
                  <w:rFonts w:hint="eastAsia" w:ascii="仿宋" w:hAnsi="仿宋" w:eastAsia="仿宋" w:cs="仿宋"/>
                  <w:b/>
                  <w:bCs/>
                  <w:sz w:val="24"/>
                  <w:szCs w:val="24"/>
                </w:rPr>
                <w:t>10贯彻标准的要求和措施建议</w:t>
              </w:r>
            </w:sdtContent>
          </w:sdt>
          <w:r>
            <w:rPr>
              <w:b/>
              <w:bCs/>
              <w:sz w:val="24"/>
              <w:szCs w:val="24"/>
            </w:rPr>
            <w:tab/>
          </w:r>
          <w:bookmarkStart w:id="27" w:name="_Toc11657_WPSOffice_Level1Page"/>
          <w:r>
            <w:rPr>
              <w:b/>
              <w:bCs/>
              <w:sz w:val="24"/>
              <w:szCs w:val="24"/>
            </w:rPr>
            <w:t>18</w:t>
          </w:r>
          <w:bookmarkEnd w:id="27"/>
          <w:r>
            <w:rPr>
              <w:b/>
              <w:bCs/>
              <w:sz w:val="24"/>
              <w:szCs w:val="24"/>
            </w:rPr>
            <w:fldChar w:fldCharType="end"/>
          </w:r>
        </w:p>
        <w:p>
          <w:pPr>
            <w:pStyle w:val="12"/>
            <w:tabs>
              <w:tab w:val="right" w:leader="dot" w:pos="8306"/>
            </w:tabs>
            <w:rPr>
              <w:sz w:val="24"/>
              <w:szCs w:val="24"/>
            </w:rPr>
          </w:pPr>
          <w:r>
            <w:rPr>
              <w:b/>
              <w:bCs/>
              <w:sz w:val="24"/>
              <w:szCs w:val="24"/>
            </w:rPr>
            <w:fldChar w:fldCharType="begin"/>
          </w:r>
          <w:r>
            <w:rPr>
              <w:sz w:val="24"/>
              <w:szCs w:val="24"/>
            </w:rPr>
            <w:instrText xml:space="preserve"> HYPERLINK \l _Toc11507_WPSOffice_Level1 </w:instrText>
          </w:r>
          <w:r>
            <w:rPr>
              <w:b/>
              <w:bCs/>
              <w:sz w:val="24"/>
              <w:szCs w:val="24"/>
            </w:rPr>
            <w:fldChar w:fldCharType="separate"/>
          </w:r>
          <w:sdt>
            <w:sdtPr>
              <w:rPr>
                <w:rFonts w:ascii="Times New Roman" w:hAnsi="Times New Roman" w:eastAsia="宋体" w:cs="Times New Roman"/>
                <w:b/>
                <w:bCs/>
                <w:sz w:val="24"/>
                <w:szCs w:val="24"/>
              </w:rPr>
              <w:id w:val="147478149"/>
              <w:placeholder>
                <w:docPart w:val="{61b4734e-00d4-4872-8bfc-9d3f4984f2ed}"/>
              </w:placeholder>
            </w:sdtPr>
            <w:sdtEndPr>
              <w:rPr>
                <w:rFonts w:ascii="Times New Roman" w:hAnsi="Times New Roman" w:eastAsia="宋体" w:cs="Times New Roman"/>
                <w:b/>
                <w:bCs/>
                <w:sz w:val="24"/>
                <w:szCs w:val="24"/>
              </w:rPr>
            </w:sdtEndPr>
            <w:sdtContent>
              <w:r>
                <w:rPr>
                  <w:rFonts w:hint="eastAsia" w:ascii="仿宋" w:hAnsi="仿宋" w:eastAsia="仿宋" w:cs="仿宋"/>
                  <w:b/>
                  <w:bCs/>
                  <w:sz w:val="24"/>
                  <w:szCs w:val="24"/>
                </w:rPr>
                <w:t>11 废止现行有关标准的建议</w:t>
              </w:r>
            </w:sdtContent>
          </w:sdt>
          <w:r>
            <w:rPr>
              <w:b/>
              <w:bCs/>
              <w:sz w:val="24"/>
              <w:szCs w:val="24"/>
            </w:rPr>
            <w:tab/>
          </w:r>
          <w:bookmarkStart w:id="28" w:name="_Toc11507_WPSOffice_Level1Page"/>
          <w:r>
            <w:rPr>
              <w:b/>
              <w:bCs/>
              <w:sz w:val="24"/>
              <w:szCs w:val="24"/>
            </w:rPr>
            <w:t>18</w:t>
          </w:r>
          <w:bookmarkEnd w:id="28"/>
          <w:r>
            <w:rPr>
              <w:b/>
              <w:bCs/>
              <w:sz w:val="24"/>
              <w:szCs w:val="24"/>
            </w:rPr>
            <w:fldChar w:fldCharType="end"/>
          </w:r>
        </w:p>
        <w:p>
          <w:pPr>
            <w:pStyle w:val="12"/>
            <w:tabs>
              <w:tab w:val="right" w:leader="dot" w:pos="8306"/>
            </w:tabs>
            <w:rPr>
              <w:sz w:val="24"/>
              <w:szCs w:val="24"/>
            </w:rPr>
          </w:pPr>
          <w:r>
            <w:rPr>
              <w:b/>
              <w:bCs/>
              <w:sz w:val="24"/>
              <w:szCs w:val="24"/>
            </w:rPr>
            <w:fldChar w:fldCharType="begin"/>
          </w:r>
          <w:r>
            <w:rPr>
              <w:sz w:val="24"/>
              <w:szCs w:val="24"/>
            </w:rPr>
            <w:instrText xml:space="preserve"> HYPERLINK \l _Toc14727_WPSOffice_Level1 </w:instrText>
          </w:r>
          <w:r>
            <w:rPr>
              <w:b/>
              <w:bCs/>
              <w:sz w:val="24"/>
              <w:szCs w:val="24"/>
            </w:rPr>
            <w:fldChar w:fldCharType="separate"/>
          </w:r>
          <w:sdt>
            <w:sdtPr>
              <w:rPr>
                <w:rFonts w:ascii="Times New Roman" w:hAnsi="Times New Roman" w:eastAsia="宋体" w:cs="Times New Roman"/>
                <w:b/>
                <w:bCs/>
                <w:sz w:val="24"/>
                <w:szCs w:val="24"/>
              </w:rPr>
              <w:id w:val="147478149"/>
              <w:placeholder>
                <w:docPart w:val="{917ca08b-f53e-4193-9a57-9feb6b9c8a6c}"/>
              </w:placeholder>
            </w:sdtPr>
            <w:sdtEndPr>
              <w:rPr>
                <w:rFonts w:ascii="Times New Roman" w:hAnsi="Times New Roman" w:eastAsia="宋体" w:cs="Times New Roman"/>
                <w:b/>
                <w:bCs/>
                <w:sz w:val="24"/>
                <w:szCs w:val="24"/>
              </w:rPr>
            </w:sdtEndPr>
            <w:sdtContent>
              <w:r>
                <w:rPr>
                  <w:rFonts w:hint="eastAsia" w:ascii="仿宋" w:hAnsi="仿宋" w:eastAsia="仿宋" w:cs="仿宋"/>
                  <w:b/>
                  <w:bCs/>
                  <w:sz w:val="24"/>
                  <w:szCs w:val="24"/>
                </w:rPr>
                <w:t>12 推广应用的预期效果</w:t>
              </w:r>
            </w:sdtContent>
          </w:sdt>
          <w:r>
            <w:rPr>
              <w:b/>
              <w:bCs/>
              <w:sz w:val="24"/>
              <w:szCs w:val="24"/>
            </w:rPr>
            <w:tab/>
          </w:r>
          <w:bookmarkStart w:id="29" w:name="_Toc14727_WPSOffice_Level1Page"/>
          <w:r>
            <w:rPr>
              <w:b/>
              <w:bCs/>
              <w:sz w:val="24"/>
              <w:szCs w:val="24"/>
            </w:rPr>
            <w:t>18</w:t>
          </w:r>
          <w:bookmarkEnd w:id="29"/>
          <w:r>
            <w:rPr>
              <w:b/>
              <w:bCs/>
              <w:sz w:val="24"/>
              <w:szCs w:val="24"/>
            </w:rPr>
            <w:fldChar w:fldCharType="end"/>
          </w:r>
        </w:p>
        <w:p>
          <w:pPr>
            <w:pStyle w:val="12"/>
            <w:tabs>
              <w:tab w:val="right" w:leader="dot" w:pos="8306"/>
            </w:tabs>
            <w:rPr>
              <w:sz w:val="24"/>
              <w:szCs w:val="24"/>
            </w:rPr>
          </w:pPr>
          <w:r>
            <w:rPr>
              <w:b/>
              <w:bCs/>
              <w:sz w:val="24"/>
              <w:szCs w:val="24"/>
            </w:rPr>
            <w:fldChar w:fldCharType="begin"/>
          </w:r>
          <w:r>
            <w:rPr>
              <w:sz w:val="24"/>
              <w:szCs w:val="24"/>
            </w:rPr>
            <w:instrText xml:space="preserve"> HYPERLINK \l _Toc21890_WPSOffice_Level1 </w:instrText>
          </w:r>
          <w:r>
            <w:rPr>
              <w:b/>
              <w:bCs/>
              <w:sz w:val="24"/>
              <w:szCs w:val="24"/>
            </w:rPr>
            <w:fldChar w:fldCharType="separate"/>
          </w:r>
          <w:sdt>
            <w:sdtPr>
              <w:rPr>
                <w:rFonts w:ascii="Times New Roman" w:hAnsi="Times New Roman" w:eastAsia="宋体" w:cs="Times New Roman"/>
                <w:b/>
                <w:bCs/>
                <w:sz w:val="24"/>
                <w:szCs w:val="24"/>
              </w:rPr>
              <w:id w:val="147478149"/>
              <w:placeholder>
                <w:docPart w:val="{1ba27a36-d680-426d-9e03-5e76eb51853a}"/>
              </w:placeholder>
            </w:sdtPr>
            <w:sdtEndPr>
              <w:rPr>
                <w:rFonts w:ascii="Times New Roman" w:hAnsi="Times New Roman" w:eastAsia="宋体" w:cs="Times New Roman"/>
                <w:b/>
                <w:bCs/>
                <w:sz w:val="24"/>
                <w:szCs w:val="24"/>
              </w:rPr>
            </w:sdtEndPr>
            <w:sdtContent>
              <w:r>
                <w:rPr>
                  <w:rFonts w:hint="eastAsia" w:ascii="仿宋" w:hAnsi="仿宋" w:eastAsia="仿宋" w:cs="仿宋"/>
                  <w:b/>
                  <w:bCs/>
                  <w:sz w:val="24"/>
                  <w:szCs w:val="24"/>
                </w:rPr>
                <w:t>13参考文献</w:t>
              </w:r>
            </w:sdtContent>
          </w:sdt>
          <w:r>
            <w:rPr>
              <w:b/>
              <w:bCs/>
              <w:sz w:val="24"/>
              <w:szCs w:val="24"/>
            </w:rPr>
            <w:tab/>
          </w:r>
          <w:bookmarkStart w:id="30" w:name="_Toc21890_WPSOffice_Level1Page"/>
          <w:r>
            <w:rPr>
              <w:b/>
              <w:bCs/>
              <w:sz w:val="24"/>
              <w:szCs w:val="24"/>
            </w:rPr>
            <w:t>19</w:t>
          </w:r>
          <w:bookmarkEnd w:id="30"/>
          <w:r>
            <w:rPr>
              <w:b/>
              <w:bCs/>
              <w:sz w:val="24"/>
              <w:szCs w:val="24"/>
            </w:rPr>
            <w:fldChar w:fldCharType="end"/>
          </w:r>
          <w:bookmarkEnd w:id="0"/>
        </w:p>
      </w:sdtContent>
    </w:sdt>
    <w:p>
      <w:pPr>
        <w:pStyle w:val="12"/>
        <w:tabs>
          <w:tab w:val="right" w:leader="dot" w:pos="8306"/>
        </w:tabs>
        <w:sectPr>
          <w:pgSz w:w="11906" w:h="16838"/>
          <w:pgMar w:top="1440" w:right="1800" w:bottom="1440" w:left="1800" w:header="851" w:footer="992" w:gutter="0"/>
          <w:cols w:space="425" w:num="1"/>
          <w:docGrid w:type="lines" w:linePitch="312" w:charSpace="0"/>
        </w:sectPr>
      </w:pPr>
    </w:p>
    <w:p>
      <w:pPr>
        <w:jc w:val="center"/>
        <w:rPr>
          <w:b/>
          <w:bCs/>
          <w:sz w:val="30"/>
          <w:szCs w:val="30"/>
        </w:rPr>
      </w:pPr>
      <w:bookmarkStart w:id="31" w:name="_Toc13515_WPSOffice_Level1"/>
      <w:bookmarkStart w:id="32" w:name="_Toc30395_WPSOffice_Level1"/>
    </w:p>
    <w:p>
      <w:pPr>
        <w:jc w:val="center"/>
        <w:rPr>
          <w:b/>
          <w:bCs/>
          <w:sz w:val="30"/>
          <w:szCs w:val="30"/>
        </w:rPr>
      </w:pPr>
      <w:r>
        <w:rPr>
          <w:b/>
          <w:bCs/>
          <w:sz w:val="30"/>
          <w:szCs w:val="30"/>
        </w:rPr>
        <w:t>《</w:t>
      </w:r>
      <w:r>
        <w:rPr>
          <w:rFonts w:hint="eastAsia"/>
          <w:b/>
          <w:bCs/>
          <w:sz w:val="30"/>
          <w:szCs w:val="30"/>
        </w:rPr>
        <w:t>乳油类农药中隐性禁用有机磷的检测 气相色谱分析法</w:t>
      </w:r>
      <w:r>
        <w:rPr>
          <w:b/>
          <w:bCs/>
          <w:sz w:val="30"/>
          <w:szCs w:val="30"/>
        </w:rPr>
        <w:t>》</w:t>
      </w:r>
      <w:bookmarkEnd w:id="31"/>
      <w:bookmarkEnd w:id="32"/>
    </w:p>
    <w:p>
      <w:pPr>
        <w:jc w:val="center"/>
        <w:rPr>
          <w:rFonts w:hint="eastAsia"/>
          <w:b/>
          <w:bCs/>
          <w:sz w:val="30"/>
          <w:szCs w:val="30"/>
        </w:rPr>
      </w:pPr>
      <w:bookmarkStart w:id="33" w:name="_Toc17795_WPSOffice_Level1"/>
      <w:bookmarkStart w:id="34" w:name="_Toc6816_WPSOffice_Level1"/>
      <w:r>
        <w:rPr>
          <w:rFonts w:hint="eastAsia"/>
          <w:b/>
          <w:bCs/>
          <w:sz w:val="30"/>
          <w:szCs w:val="30"/>
        </w:rPr>
        <w:t>编制说明</w:t>
      </w:r>
      <w:bookmarkEnd w:id="33"/>
      <w:bookmarkEnd w:id="34"/>
    </w:p>
    <w:p>
      <w:pPr>
        <w:jc w:val="center"/>
        <w:rPr>
          <w:rFonts w:hint="eastAsia"/>
          <w:b/>
          <w:bCs/>
          <w:sz w:val="30"/>
          <w:szCs w:val="30"/>
        </w:rPr>
      </w:pPr>
      <w:bookmarkStart w:id="35" w:name="_Toc17448_WPSOffice_Level1"/>
      <w:bookmarkStart w:id="36" w:name="_Toc28779_WPSOffice_Level1"/>
      <w:r>
        <w:rPr>
          <w:rFonts w:hint="eastAsia"/>
          <w:b/>
          <w:bCs/>
          <w:sz w:val="30"/>
          <w:szCs w:val="30"/>
        </w:rPr>
        <w:t>（征 求 意 见 稿）</w:t>
      </w:r>
      <w:bookmarkEnd w:id="35"/>
      <w:bookmarkEnd w:id="36"/>
    </w:p>
    <w:p>
      <w:pPr>
        <w:pStyle w:val="2"/>
        <w:spacing w:line="240" w:lineRule="auto"/>
        <w:rPr>
          <w:rFonts w:hint="eastAsia" w:ascii="仿宋" w:hAnsi="仿宋" w:eastAsia="仿宋" w:cs="仿宋"/>
          <w:sz w:val="28"/>
          <w:szCs w:val="28"/>
        </w:rPr>
      </w:pPr>
      <w:bookmarkStart w:id="37" w:name="_Toc16987"/>
      <w:bookmarkStart w:id="38" w:name="_Toc32237_WPSOffice_Level1"/>
      <w:bookmarkStart w:id="39" w:name="_Toc8130_WPSOffice_Level1"/>
      <w:r>
        <w:rPr>
          <w:rFonts w:hint="eastAsia" w:ascii="仿宋" w:hAnsi="仿宋" w:eastAsia="仿宋" w:cs="仿宋"/>
          <w:sz w:val="28"/>
          <w:szCs w:val="28"/>
        </w:rPr>
        <w:t>1 工作简况</w:t>
      </w:r>
      <w:bookmarkEnd w:id="37"/>
      <w:bookmarkEnd w:id="38"/>
      <w:bookmarkEnd w:id="39"/>
    </w:p>
    <w:p>
      <w:pPr>
        <w:pStyle w:val="3"/>
        <w:spacing w:line="240" w:lineRule="auto"/>
        <w:ind w:firstLine="281" w:firstLineChars="100"/>
        <w:rPr>
          <w:rFonts w:hint="eastAsia" w:ascii="仿宋" w:hAnsi="仿宋" w:eastAsia="仿宋" w:cs="仿宋"/>
          <w:sz w:val="28"/>
          <w:szCs w:val="28"/>
        </w:rPr>
      </w:pPr>
      <w:bookmarkStart w:id="40" w:name="_Toc11923"/>
      <w:bookmarkStart w:id="41" w:name="_Toc17795_WPSOffice_Level2"/>
      <w:bookmarkStart w:id="42" w:name="_Toc6816_WPSOffice_Level2"/>
      <w:r>
        <w:rPr>
          <w:rFonts w:hint="eastAsia" w:ascii="仿宋" w:hAnsi="仿宋" w:eastAsia="仿宋" w:cs="仿宋"/>
          <w:sz w:val="28"/>
          <w:szCs w:val="28"/>
        </w:rPr>
        <w:t>1.1 目的意义</w:t>
      </w:r>
      <w:bookmarkEnd w:id="40"/>
      <w:bookmarkEnd w:id="41"/>
      <w:bookmarkEnd w:id="42"/>
    </w:p>
    <w:p>
      <w:pPr>
        <w:pStyle w:val="5"/>
        <w:spacing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农药是农业生产中不可或缺的投入品，是病虫害防治的主要手段。农药的纯度质量及其规范性施用直接影响着病虫害的防治效果和农产品质量安全。随着社会的进步，人民食品安全意识不断加深，一些高毒高残及留难降解的农药已被国家明令禁止使用，取而代之的是高效低毒、低残留、对环境友好型的农药[1-4]。</w:t>
      </w:r>
    </w:p>
    <w:p>
      <w:pPr>
        <w:pStyle w:val="5"/>
        <w:spacing w:line="240" w:lineRule="auto"/>
        <w:ind w:firstLine="560" w:firstLineChars="200"/>
        <w:rPr>
          <w:szCs w:val="21"/>
        </w:rPr>
      </w:pPr>
      <w:r>
        <w:rPr>
          <w:rFonts w:hint="eastAsia" w:ascii="仿宋" w:hAnsi="仿宋" w:eastAsia="仿宋" w:cs="仿宋"/>
          <w:sz w:val="28"/>
          <w:szCs w:val="28"/>
        </w:rPr>
        <w:t>一些农药生产企业为提高农药的作用效果，会在其农药产品中添加除登记有效成分以外的农药，主要包括未经登记批准的农药、未过专利保护期的农药、已经禁限用的农药等，许多早已禁用的农药会以另一种方式走向田间地头，造成诸多危害[5-10]。张寒等[11]报道了浙江省农药检定管理所2015～2016年对650余批次农药中有隐性农药检出的为63批次。</w:t>
      </w:r>
    </w:p>
    <w:p>
      <w:pPr>
        <w:pStyle w:val="5"/>
        <w:spacing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为提高我国农药应用水平，保护人民生命安全和健康，保护环境，增强农产品的市场竞争力，促进农药工业结构调整和产业升级，我国已对多种高毒有机磷农药及含有这些成分的农药停止生产、销售、使用。本标准便于监督部门对乳油类农药中违禁有机磷农药成分的气相色谱分析，加强对农贸市场的监督管理</w:t>
      </w:r>
      <w:r>
        <w:rPr>
          <w:rFonts w:hint="eastAsia" w:ascii="仿宋" w:hAnsi="仿宋" w:eastAsia="仿宋" w:cs="仿宋"/>
          <w:sz w:val="28"/>
          <w:szCs w:val="28"/>
          <w:lang w:val="en-US" w:eastAsia="zh-CN"/>
        </w:rPr>
        <w:t>,农资打假</w:t>
      </w:r>
      <w:r>
        <w:rPr>
          <w:rFonts w:hint="eastAsia" w:ascii="仿宋" w:hAnsi="仿宋" w:eastAsia="仿宋" w:cs="仿宋"/>
          <w:sz w:val="28"/>
          <w:szCs w:val="28"/>
        </w:rPr>
        <w:t>。</w:t>
      </w:r>
    </w:p>
    <w:p>
      <w:pPr>
        <w:pStyle w:val="3"/>
        <w:spacing w:line="240" w:lineRule="auto"/>
        <w:ind w:firstLine="281" w:firstLineChars="100"/>
        <w:rPr>
          <w:rFonts w:hint="eastAsia" w:ascii="仿宋" w:hAnsi="仿宋" w:eastAsia="仿宋" w:cs="仿宋"/>
          <w:sz w:val="28"/>
          <w:szCs w:val="28"/>
        </w:rPr>
      </w:pPr>
      <w:bookmarkStart w:id="43" w:name="_Toc15555"/>
      <w:bookmarkStart w:id="44" w:name="_Toc17448_WPSOffice_Level2"/>
      <w:bookmarkStart w:id="45" w:name="_Toc28779_WPSOffice_Level2"/>
      <w:r>
        <w:rPr>
          <w:rFonts w:hint="eastAsia" w:ascii="仿宋" w:hAnsi="仿宋" w:eastAsia="仿宋" w:cs="仿宋"/>
          <w:sz w:val="28"/>
          <w:szCs w:val="28"/>
        </w:rPr>
        <w:t>1.2 任务来源</w:t>
      </w:r>
      <w:bookmarkEnd w:id="43"/>
      <w:bookmarkEnd w:id="44"/>
      <w:bookmarkEnd w:id="45"/>
    </w:p>
    <w:p>
      <w:pPr>
        <w:pStyle w:val="5"/>
        <w:spacing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根据黔质技监标函[2017]18号《2017年贵州省标准化应用推广项目立项计划的通知》（项目编号36）列入2017年地方标准制修订计划，由我中心负责组织调研、试验并起草制定标准《乳油类农药中隐性禁用有机磷的检测 气相色谱分析法》。</w:t>
      </w:r>
    </w:p>
    <w:p>
      <w:pPr>
        <w:pStyle w:val="2"/>
        <w:spacing w:line="240" w:lineRule="auto"/>
        <w:rPr>
          <w:rFonts w:hint="eastAsia" w:ascii="仿宋" w:hAnsi="仿宋" w:eastAsia="仿宋" w:cs="仿宋"/>
          <w:sz w:val="28"/>
          <w:szCs w:val="28"/>
          <w:lang w:val="en-US" w:eastAsia="zh-CN"/>
        </w:rPr>
      </w:pPr>
      <w:bookmarkStart w:id="46" w:name="_Toc23130"/>
      <w:bookmarkStart w:id="47" w:name="_Toc13292_WPSOffice_Level1"/>
      <w:bookmarkStart w:id="48" w:name="_Toc7750_WPSOffice_Level1"/>
      <w:r>
        <w:rPr>
          <w:rFonts w:hint="eastAsia" w:ascii="仿宋" w:hAnsi="仿宋" w:eastAsia="仿宋" w:cs="仿宋"/>
          <w:sz w:val="28"/>
          <w:szCs w:val="28"/>
          <w:lang w:val="en-US" w:eastAsia="zh-CN"/>
        </w:rPr>
        <w:t>2</w:t>
      </w:r>
      <w:r>
        <w:rPr>
          <w:rFonts w:hint="eastAsia" w:ascii="仿宋" w:hAnsi="仿宋" w:eastAsia="仿宋" w:cs="仿宋"/>
          <w:sz w:val="28"/>
          <w:szCs w:val="28"/>
        </w:rPr>
        <w:t xml:space="preserve"> </w:t>
      </w:r>
      <w:bookmarkEnd w:id="46"/>
      <w:r>
        <w:rPr>
          <w:rFonts w:hint="eastAsia" w:ascii="仿宋" w:hAnsi="仿宋" w:eastAsia="仿宋" w:cs="仿宋"/>
          <w:sz w:val="28"/>
          <w:szCs w:val="28"/>
          <w:lang w:val="en-US" w:eastAsia="zh-CN"/>
        </w:rPr>
        <w:t>主要工作过程</w:t>
      </w:r>
      <w:bookmarkEnd w:id="47"/>
      <w:bookmarkEnd w:id="48"/>
    </w:p>
    <w:p>
      <w:pPr>
        <w:spacing w:line="240" w:lineRule="auto"/>
        <w:ind w:firstLine="548" w:firstLineChars="196"/>
        <w:rPr>
          <w:rFonts w:hint="eastAsia" w:ascii="仿宋" w:hAnsi="仿宋" w:eastAsia="仿宋" w:cs="仿宋"/>
          <w:sz w:val="28"/>
          <w:szCs w:val="28"/>
        </w:rPr>
      </w:pPr>
      <w:r>
        <w:rPr>
          <w:rFonts w:hint="eastAsia" w:ascii="仿宋" w:hAnsi="仿宋" w:eastAsia="仿宋" w:cs="仿宋"/>
          <w:sz w:val="28"/>
          <w:szCs w:val="28"/>
        </w:rPr>
        <w:t>接到贵州省地方标准制定项目后，成立了蔡滔为首席专家的标准起草小组，贵州省农产品质量监督检验测试中心相关人员为工作组成员，制定了工作方案，具体步骤如下：</w:t>
      </w:r>
    </w:p>
    <w:p>
      <w:pPr>
        <w:spacing w:line="240" w:lineRule="auto"/>
        <w:ind w:firstLine="560" w:firstLineChars="200"/>
        <w:rPr>
          <w:rFonts w:hint="eastAsia" w:ascii="仿宋" w:hAnsi="仿宋" w:eastAsia="仿宋" w:cs="仿宋"/>
          <w:sz w:val="28"/>
          <w:szCs w:val="28"/>
        </w:rPr>
      </w:pPr>
      <w:bookmarkStart w:id="49" w:name="_Toc32237_WPSOffice_Level2"/>
      <w:bookmarkStart w:id="50" w:name="_Toc8130_WPSOffice_Level2"/>
      <w:r>
        <w:rPr>
          <w:rFonts w:hint="eastAsia" w:ascii="仿宋" w:hAnsi="仿宋" w:eastAsia="仿宋" w:cs="仿宋"/>
          <w:sz w:val="28"/>
          <w:szCs w:val="28"/>
        </w:rPr>
        <w:t>第一阶段：查阅资料</w:t>
      </w:r>
      <w:bookmarkEnd w:id="49"/>
      <w:bookmarkEnd w:id="50"/>
    </w:p>
    <w:p>
      <w:pPr>
        <w:spacing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2017年3月至6月，</w:t>
      </w:r>
      <w:r>
        <w:rPr>
          <w:rFonts w:hint="eastAsia" w:ascii="仿宋" w:hAnsi="仿宋" w:eastAsia="仿宋" w:cs="仿宋"/>
          <w:sz w:val="28"/>
          <w:szCs w:val="28"/>
        </w:rPr>
        <w:t>查阅资料，了解农业部相关的标准、公告、法律法规。收集国内相关违禁高毒有机磷农药提取和测定方法。比较研究国内现有的不同测定方法的优缺点，为标准的起草作了充分的准备。为确定方法分析步骤、仪器测试条件及方法技术参数的评价，本单位实验室进行了大量的方法研究、验证实验和数据统计、为标准的起草提供了可靠的第一手资料。</w:t>
      </w:r>
    </w:p>
    <w:p>
      <w:pPr>
        <w:spacing w:line="240" w:lineRule="auto"/>
        <w:ind w:firstLine="560" w:firstLineChars="200"/>
        <w:rPr>
          <w:rFonts w:hint="eastAsia" w:ascii="仿宋" w:hAnsi="仿宋" w:eastAsia="仿宋" w:cs="仿宋"/>
          <w:sz w:val="28"/>
          <w:szCs w:val="28"/>
        </w:rPr>
      </w:pPr>
      <w:bookmarkStart w:id="51" w:name="_Toc13292_WPSOffice_Level2"/>
      <w:bookmarkStart w:id="52" w:name="_Toc7750_WPSOffice_Level2"/>
      <w:r>
        <w:rPr>
          <w:rFonts w:hint="eastAsia" w:ascii="仿宋" w:hAnsi="仿宋" w:eastAsia="仿宋" w:cs="仿宋"/>
          <w:sz w:val="28"/>
          <w:szCs w:val="28"/>
        </w:rPr>
        <w:t>第二阶段：确定检测参数</w:t>
      </w:r>
      <w:bookmarkEnd w:id="51"/>
      <w:bookmarkEnd w:id="52"/>
    </w:p>
    <w:p>
      <w:pPr>
        <w:spacing w:line="240" w:lineRule="auto"/>
        <w:ind w:firstLine="548" w:firstLineChars="196"/>
        <w:rPr>
          <w:rFonts w:hint="eastAsia" w:ascii="仿宋" w:hAnsi="仿宋" w:eastAsia="仿宋" w:cs="仿宋"/>
          <w:sz w:val="28"/>
          <w:szCs w:val="28"/>
        </w:rPr>
      </w:pPr>
      <w:r>
        <w:rPr>
          <w:rFonts w:hint="eastAsia" w:ascii="仿宋" w:hAnsi="仿宋" w:eastAsia="仿宋" w:cs="仿宋"/>
          <w:sz w:val="28"/>
          <w:szCs w:val="28"/>
          <w:lang w:val="en-US" w:eastAsia="zh-CN"/>
        </w:rPr>
        <w:t>2017年5月至7月，</w:t>
      </w:r>
      <w:r>
        <w:rPr>
          <w:rFonts w:hint="eastAsia" w:ascii="仿宋" w:hAnsi="仿宋" w:eastAsia="仿宋" w:cs="仿宋"/>
          <w:sz w:val="28"/>
          <w:szCs w:val="28"/>
        </w:rPr>
        <w:t>根据现有资料，确定了乳油类农药中隐性添加农药成分的主要种类，购买回标准品，进行测试；同时查阅资料，确定的了需要进行测试的样品和种类和加标回收空白样品的种类。</w:t>
      </w:r>
    </w:p>
    <w:p>
      <w:pPr>
        <w:spacing w:line="240" w:lineRule="auto"/>
        <w:ind w:firstLine="560" w:firstLineChars="200"/>
        <w:rPr>
          <w:rFonts w:hint="eastAsia" w:ascii="仿宋" w:hAnsi="仿宋" w:eastAsia="仿宋" w:cs="仿宋"/>
          <w:sz w:val="28"/>
          <w:szCs w:val="28"/>
        </w:rPr>
      </w:pPr>
      <w:bookmarkStart w:id="53" w:name="_Toc6841_WPSOffice_Level2"/>
      <w:bookmarkStart w:id="54" w:name="_Toc24849_WPSOffice_Level2"/>
      <w:r>
        <w:rPr>
          <w:rFonts w:hint="eastAsia" w:ascii="仿宋" w:hAnsi="仿宋" w:eastAsia="仿宋" w:cs="仿宋"/>
          <w:sz w:val="28"/>
          <w:szCs w:val="28"/>
        </w:rPr>
        <w:t>第三阶段：标准起草</w:t>
      </w:r>
      <w:bookmarkEnd w:id="53"/>
      <w:bookmarkEnd w:id="54"/>
    </w:p>
    <w:p>
      <w:pPr>
        <w:spacing w:line="240" w:lineRule="auto"/>
        <w:ind w:firstLine="548" w:firstLineChars="196"/>
        <w:rPr>
          <w:rFonts w:hint="eastAsia" w:ascii="仿宋" w:hAnsi="仿宋" w:eastAsia="仿宋" w:cs="仿宋"/>
          <w:sz w:val="28"/>
          <w:szCs w:val="28"/>
        </w:rPr>
      </w:pPr>
      <w:r>
        <w:rPr>
          <w:rFonts w:hint="eastAsia" w:ascii="仿宋" w:hAnsi="仿宋" w:eastAsia="仿宋" w:cs="仿宋"/>
          <w:sz w:val="28"/>
          <w:szCs w:val="28"/>
          <w:lang w:val="en-US" w:eastAsia="zh-CN"/>
        </w:rPr>
        <w:t>2017年8月至12月，</w:t>
      </w:r>
      <w:r>
        <w:rPr>
          <w:rFonts w:hint="eastAsia" w:ascii="仿宋" w:hAnsi="仿宋" w:eastAsia="仿宋" w:cs="仿宋"/>
          <w:sz w:val="28"/>
          <w:szCs w:val="28"/>
        </w:rPr>
        <w:t>根据GB/T 1.1-2009《标准化工作导则 第一部分：标准的结构和编写规则》，结合现有参考文献及我单位制定的地方标准，研究起草了标准草稿。</w:t>
      </w:r>
    </w:p>
    <w:p>
      <w:pPr>
        <w:spacing w:line="240" w:lineRule="auto"/>
        <w:ind w:firstLine="560" w:firstLineChars="200"/>
        <w:rPr>
          <w:rFonts w:hint="eastAsia" w:ascii="仿宋" w:hAnsi="仿宋" w:eastAsia="仿宋" w:cs="仿宋"/>
          <w:sz w:val="28"/>
          <w:szCs w:val="28"/>
        </w:rPr>
      </w:pPr>
      <w:bookmarkStart w:id="55" w:name="_Toc29671_WPSOffice_Level2"/>
      <w:bookmarkStart w:id="56" w:name="_Toc29147_WPSOffice_Level2"/>
      <w:r>
        <w:rPr>
          <w:rFonts w:hint="eastAsia" w:ascii="仿宋" w:hAnsi="仿宋" w:eastAsia="仿宋" w:cs="仿宋"/>
          <w:sz w:val="28"/>
          <w:szCs w:val="28"/>
        </w:rPr>
        <w:t>第四阶段：方法验证</w:t>
      </w:r>
      <w:bookmarkEnd w:id="55"/>
      <w:bookmarkEnd w:id="56"/>
    </w:p>
    <w:p>
      <w:pPr>
        <w:spacing w:line="24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2018年3月至5月，单位</w:t>
      </w:r>
      <w:r>
        <w:rPr>
          <w:rFonts w:hint="eastAsia" w:ascii="仿宋" w:hAnsi="仿宋" w:eastAsia="仿宋" w:cs="仿宋"/>
          <w:sz w:val="28"/>
          <w:szCs w:val="28"/>
        </w:rPr>
        <w:t>起草好标准草稿后，对本行业检测水平高的单位进行了方法的验证。</w:t>
      </w:r>
    </w:p>
    <w:p>
      <w:pPr>
        <w:spacing w:line="240" w:lineRule="auto"/>
        <w:ind w:firstLine="548" w:firstLineChars="196"/>
        <w:rPr>
          <w:rFonts w:hint="eastAsia" w:ascii="仿宋" w:hAnsi="仿宋" w:eastAsia="仿宋" w:cs="仿宋"/>
          <w:sz w:val="28"/>
          <w:szCs w:val="28"/>
          <w:lang w:val="en-US" w:eastAsia="zh-CN"/>
        </w:rPr>
      </w:pPr>
      <w:bookmarkStart w:id="57" w:name="_Toc2001_WPSOffice_Level2"/>
      <w:bookmarkStart w:id="58" w:name="_Toc14190_WPSOffice_Level2"/>
      <w:r>
        <w:rPr>
          <w:rFonts w:hint="eastAsia" w:ascii="仿宋" w:hAnsi="仿宋" w:eastAsia="仿宋" w:cs="仿宋"/>
          <w:sz w:val="28"/>
          <w:szCs w:val="28"/>
          <w:lang w:val="en-US" w:eastAsia="zh-CN"/>
        </w:rPr>
        <w:t>第五阶段：征求意见</w:t>
      </w:r>
      <w:bookmarkEnd w:id="57"/>
      <w:bookmarkEnd w:id="58"/>
    </w:p>
    <w:p>
      <w:pPr>
        <w:spacing w:line="240" w:lineRule="auto"/>
        <w:ind w:firstLine="548" w:firstLineChars="196"/>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方法验证后，根据验证的结果和反馈的意见，起草了征求意见稿，最后形成了送审稿。</w:t>
      </w:r>
    </w:p>
    <w:p>
      <w:pPr>
        <w:spacing w:line="240" w:lineRule="auto"/>
        <w:ind w:firstLine="548" w:firstLineChars="196"/>
        <w:rPr>
          <w:rFonts w:hint="eastAsia" w:ascii="仿宋" w:hAnsi="仿宋" w:eastAsia="仿宋" w:cs="仿宋"/>
          <w:sz w:val="28"/>
          <w:szCs w:val="28"/>
          <w:lang w:val="en-US" w:eastAsia="zh-CN"/>
        </w:rPr>
      </w:pPr>
      <w:bookmarkStart w:id="59" w:name="_Toc21801_WPSOffice_Level2"/>
      <w:bookmarkStart w:id="60" w:name="_Toc13455_WPSOffice_Level2"/>
      <w:r>
        <w:rPr>
          <w:rFonts w:hint="eastAsia" w:ascii="仿宋" w:hAnsi="仿宋" w:eastAsia="仿宋" w:cs="仿宋"/>
          <w:sz w:val="28"/>
          <w:szCs w:val="28"/>
          <w:lang w:val="en-US" w:eastAsia="zh-CN"/>
        </w:rPr>
        <w:t>第六阶段：送审稿</w:t>
      </w:r>
      <w:bookmarkEnd w:id="59"/>
      <w:bookmarkEnd w:id="60"/>
    </w:p>
    <w:p>
      <w:pPr>
        <w:pStyle w:val="2"/>
        <w:spacing w:line="240" w:lineRule="auto"/>
        <w:rPr>
          <w:rFonts w:hint="eastAsia" w:ascii="仿宋" w:hAnsi="仿宋" w:eastAsia="仿宋" w:cs="仿宋"/>
          <w:sz w:val="28"/>
          <w:szCs w:val="28"/>
        </w:rPr>
      </w:pPr>
      <w:bookmarkStart w:id="61" w:name="_Toc10001"/>
      <w:bookmarkStart w:id="62" w:name="_Toc6841_WPSOffice_Level1"/>
      <w:bookmarkStart w:id="63" w:name="_Toc24849_WPSOffice_Level1"/>
      <w:r>
        <w:rPr>
          <w:rFonts w:hint="eastAsia" w:ascii="仿宋" w:hAnsi="仿宋" w:eastAsia="仿宋" w:cs="仿宋"/>
          <w:sz w:val="28"/>
          <w:szCs w:val="28"/>
          <w:lang w:val="en-US" w:eastAsia="zh-CN"/>
        </w:rPr>
        <w:t>3</w:t>
      </w:r>
      <w:r>
        <w:rPr>
          <w:rFonts w:hint="eastAsia" w:ascii="仿宋" w:hAnsi="仿宋" w:eastAsia="仿宋" w:cs="仿宋"/>
          <w:sz w:val="28"/>
          <w:szCs w:val="28"/>
        </w:rPr>
        <w:t xml:space="preserve"> 标准的编写原则</w:t>
      </w:r>
      <w:bookmarkEnd w:id="61"/>
      <w:bookmarkEnd w:id="62"/>
      <w:bookmarkEnd w:id="63"/>
    </w:p>
    <w:p>
      <w:pPr>
        <w:spacing w:line="240" w:lineRule="auto"/>
        <w:ind w:firstLine="548" w:firstLineChars="196"/>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本标准的编写制定过程中以提高测试方法选择性、精密度、灵敏度、准确度和分析效率，并且适合大范围推广为总原则。力求反映科学技术的先进成果和先进经验，同时不把标准的水平定的很高。使用性能的普遍性包括方法精密度、准确度、灵敏度等方面能满足要求，同时气相色谱仪的拥有量和使用量亦与日俱增，在确保标准保持技术上的先进性的同时，又具有经济上的合理性。遵循了标准制定过程中的先进性、经济性和适用性原则。</w:t>
      </w:r>
    </w:p>
    <w:p>
      <w:pPr>
        <w:spacing w:line="240" w:lineRule="auto"/>
        <w:ind w:firstLine="548" w:firstLineChars="196"/>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在标准的制定过程中严格遵循国家有关方针、政策、法规和规章，严格执行强制性国家标准和行业标准。与同体系标准及相关的各种基础标准以及配套使用的取样、试剂规格等标准相衔接，遵循了政策和协调统一性原则。</w:t>
      </w:r>
    </w:p>
    <w:p>
      <w:pPr>
        <w:spacing w:line="24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在标准制定过程中力求做到：技术内容的叙述正确无误；文字表达准确、简明、易懂；标准的构成严谨合理；内容编排、层次划分等符合逻辑与规定。</w:t>
      </w:r>
    </w:p>
    <w:p>
      <w:pPr>
        <w:pStyle w:val="2"/>
        <w:spacing w:line="240" w:lineRule="auto"/>
        <w:rPr>
          <w:rFonts w:hint="eastAsia" w:ascii="仿宋" w:hAnsi="仿宋" w:eastAsia="仿宋" w:cs="仿宋"/>
          <w:sz w:val="28"/>
          <w:szCs w:val="28"/>
          <w:lang w:val="en-US" w:eastAsia="zh-CN"/>
        </w:rPr>
      </w:pPr>
      <w:bookmarkStart w:id="64" w:name="_Toc351536397"/>
      <w:bookmarkStart w:id="65" w:name="_Toc29671_WPSOffice_Level1"/>
      <w:bookmarkStart w:id="66" w:name="_Toc29147_WPSOffice_Level1"/>
      <w:r>
        <w:rPr>
          <w:rFonts w:hint="eastAsia" w:ascii="仿宋" w:hAnsi="仿宋" w:eastAsia="仿宋" w:cs="仿宋"/>
          <w:sz w:val="28"/>
          <w:szCs w:val="28"/>
          <w:lang w:val="en-US" w:eastAsia="zh-CN"/>
        </w:rPr>
        <w:t>4、标准技术内容及确定依据</w:t>
      </w:r>
      <w:bookmarkEnd w:id="64"/>
      <w:bookmarkEnd w:id="65"/>
      <w:bookmarkEnd w:id="66"/>
    </w:p>
    <w:p>
      <w:pPr>
        <w:pStyle w:val="3"/>
        <w:spacing w:line="240" w:lineRule="auto"/>
        <w:ind w:firstLine="281" w:firstLineChars="100"/>
        <w:rPr>
          <w:rFonts w:hint="eastAsia" w:ascii="仿宋" w:hAnsi="仿宋" w:eastAsia="仿宋" w:cs="仿宋"/>
          <w:sz w:val="28"/>
          <w:szCs w:val="28"/>
        </w:rPr>
      </w:pPr>
      <w:bookmarkStart w:id="67" w:name="_Toc351536398"/>
      <w:bookmarkStart w:id="68" w:name="_Toc23436_WPSOffice_Level2"/>
      <w:bookmarkStart w:id="69" w:name="_Toc29324_WPSOffice_Level2"/>
      <w:r>
        <w:rPr>
          <w:rFonts w:hint="eastAsia" w:ascii="仿宋" w:hAnsi="仿宋" w:eastAsia="仿宋" w:cs="仿宋"/>
          <w:sz w:val="28"/>
          <w:szCs w:val="28"/>
        </w:rPr>
        <w:t>4.1 标准品配制</w:t>
      </w:r>
      <w:bookmarkEnd w:id="67"/>
      <w:bookmarkEnd w:id="68"/>
      <w:bookmarkEnd w:id="69"/>
    </w:p>
    <w:p>
      <w:pPr>
        <w:ind w:firstLine="560" w:firstLineChars="200"/>
        <w:rPr>
          <w:rFonts w:hint="eastAsia" w:ascii="仿宋_GB2312" w:eastAsia="仿宋_GB2312" w:cs="宋体"/>
          <w:sz w:val="28"/>
          <w:szCs w:val="28"/>
        </w:rPr>
      </w:pPr>
      <w:r>
        <w:rPr>
          <w:rFonts w:hint="eastAsia" w:ascii="仿宋_GB2312" w:eastAsia="仿宋_GB2312" w:cs="宋体"/>
          <w:sz w:val="28"/>
          <w:szCs w:val="28"/>
          <w:lang w:val="en-US" w:eastAsia="zh-CN"/>
        </w:rPr>
        <w:t>甲胺磷、氧乐果等十一个有机磷类农药</w:t>
      </w:r>
      <w:r>
        <w:rPr>
          <w:rFonts w:hint="eastAsia" w:ascii="仿宋_GB2312" w:eastAsia="仿宋_GB2312" w:cs="宋体"/>
          <w:sz w:val="28"/>
          <w:szCs w:val="28"/>
        </w:rPr>
        <w:t>标准品为白色</w:t>
      </w:r>
      <w:r>
        <w:rPr>
          <w:rFonts w:hint="eastAsia" w:ascii="仿宋_GB2312" w:eastAsia="仿宋_GB2312" w:cs="宋体"/>
          <w:sz w:val="28"/>
          <w:szCs w:val="28"/>
          <w:lang w:val="en-US" w:eastAsia="zh-CN"/>
        </w:rPr>
        <w:t>晶体</w:t>
      </w:r>
      <w:r>
        <w:rPr>
          <w:rFonts w:hint="eastAsia" w:ascii="仿宋_GB2312" w:eastAsia="仿宋_GB2312" w:cs="宋体"/>
          <w:sz w:val="28"/>
          <w:szCs w:val="28"/>
        </w:rPr>
        <w:t>，</w:t>
      </w:r>
      <w:r>
        <w:rPr>
          <w:rFonts w:hint="eastAsia" w:ascii="仿宋_GB2312" w:eastAsia="仿宋_GB2312" w:cs="宋体"/>
          <w:sz w:val="28"/>
          <w:szCs w:val="28"/>
          <w:lang w:val="en-US" w:eastAsia="zh-CN"/>
        </w:rPr>
        <w:t>易</w:t>
      </w:r>
      <w:r>
        <w:rPr>
          <w:rFonts w:hint="eastAsia" w:ascii="仿宋_GB2312" w:eastAsia="仿宋_GB2312" w:cs="宋体"/>
          <w:sz w:val="28"/>
          <w:szCs w:val="28"/>
        </w:rPr>
        <w:t>溶解于</w:t>
      </w:r>
      <w:r>
        <w:rPr>
          <w:rFonts w:hint="eastAsia" w:ascii="仿宋_GB2312" w:eastAsia="仿宋_GB2312" w:cs="宋体"/>
          <w:sz w:val="28"/>
          <w:szCs w:val="28"/>
          <w:lang w:val="en-US" w:eastAsia="zh-CN"/>
        </w:rPr>
        <w:t>酮</w:t>
      </w:r>
      <w:r>
        <w:rPr>
          <w:rFonts w:hint="eastAsia" w:ascii="仿宋_GB2312" w:eastAsia="仿宋_GB2312" w:cs="宋体"/>
          <w:sz w:val="28"/>
          <w:szCs w:val="28"/>
        </w:rPr>
        <w:t>类物质中，因此称取适量的标准品，用</w:t>
      </w:r>
      <w:r>
        <w:rPr>
          <w:rFonts w:hint="eastAsia" w:ascii="仿宋_GB2312" w:eastAsia="仿宋_GB2312" w:cs="宋体"/>
          <w:sz w:val="28"/>
          <w:szCs w:val="28"/>
          <w:lang w:val="en-US" w:eastAsia="zh-CN"/>
        </w:rPr>
        <w:t>丙酮</w:t>
      </w:r>
      <w:r>
        <w:rPr>
          <w:rFonts w:hint="eastAsia" w:ascii="仿宋_GB2312" w:eastAsia="仿宋_GB2312" w:cs="宋体"/>
          <w:sz w:val="28"/>
          <w:szCs w:val="28"/>
        </w:rPr>
        <w:t>进行溶解后定容。其结构如下图。</w:t>
      </w:r>
    </w:p>
    <w:tbl>
      <w:tblPr>
        <w:tblStyle w:val="11"/>
        <w:tblW w:w="87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80"/>
        <w:gridCol w:w="2179"/>
        <w:gridCol w:w="2180"/>
        <w:gridCol w:w="21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754" w:hRule="atLeast"/>
        </w:trPr>
        <w:tc>
          <w:tcPr>
            <w:tcW w:w="2180" w:type="dxa"/>
          </w:tcPr>
          <w:p>
            <w:pPr>
              <w:rPr>
                <w:rFonts w:hint="eastAsia" w:ascii="仿宋_GB2312" w:eastAsia="仿宋_GB2312" w:cs="宋体"/>
                <w:sz w:val="28"/>
                <w:szCs w:val="28"/>
                <w:vertAlign w:val="baseline"/>
              </w:rPr>
            </w:pPr>
            <w:r>
              <w:rPr>
                <w:rFonts w:ascii="Tahoma" w:hAnsi="Tahoma" w:cs="Tahoma"/>
                <w:sz w:val="16"/>
                <w:szCs w:val="16"/>
              </w:rPr>
              <w:fldChar w:fldCharType="begin"/>
            </w:r>
            <w:r>
              <w:rPr>
                <w:rFonts w:ascii="Tahoma" w:hAnsi="Tahoma" w:cs="Tahoma"/>
                <w:sz w:val="16"/>
                <w:szCs w:val="16"/>
              </w:rPr>
              <w:instrText xml:space="preserve"> INCLUDEPICTURE "http://www.chemicalbook.com/../CAS/GIF/10265-92-6.gif" \* MERGEFORMATINET </w:instrText>
            </w:r>
            <w:r>
              <w:rPr>
                <w:rFonts w:ascii="Tahoma" w:hAnsi="Tahoma" w:cs="Tahoma"/>
                <w:sz w:val="16"/>
                <w:szCs w:val="16"/>
              </w:rPr>
              <w:fldChar w:fldCharType="separate"/>
            </w:r>
            <w:r>
              <w:rPr>
                <w:rFonts w:ascii="Tahoma" w:hAnsi="Tahoma" w:cs="Tahoma"/>
                <w:sz w:val="16"/>
                <w:szCs w:val="16"/>
              </w:rPr>
              <w:drawing>
                <wp:inline distT="0" distB="0" distL="114300" distR="114300">
                  <wp:extent cx="1120140" cy="824230"/>
                  <wp:effectExtent l="0" t="0" r="7620" b="0"/>
                  <wp:docPr id="5" name="图片 5" descr="甲胺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甲胺磷"/>
                          <pic:cNvPicPr>
                            <a:picLocks noChangeAspect="1"/>
                          </pic:cNvPicPr>
                        </pic:nvPicPr>
                        <pic:blipFill>
                          <a:blip r:embed="rId4" r:link="rId5"/>
                          <a:stretch>
                            <a:fillRect/>
                          </a:stretch>
                        </pic:blipFill>
                        <pic:spPr>
                          <a:xfrm>
                            <a:off x="0" y="0"/>
                            <a:ext cx="1120140" cy="824230"/>
                          </a:xfrm>
                          <a:prstGeom prst="rect">
                            <a:avLst/>
                          </a:prstGeom>
                          <a:noFill/>
                          <a:ln w="9525">
                            <a:noFill/>
                          </a:ln>
                        </pic:spPr>
                      </pic:pic>
                    </a:graphicData>
                  </a:graphic>
                </wp:inline>
              </w:drawing>
            </w:r>
            <w:r>
              <w:rPr>
                <w:rFonts w:ascii="Tahoma" w:hAnsi="Tahoma" w:cs="Tahoma"/>
                <w:sz w:val="16"/>
                <w:szCs w:val="16"/>
              </w:rPr>
              <w:fldChar w:fldCharType="end"/>
            </w:r>
          </w:p>
        </w:tc>
        <w:tc>
          <w:tcPr>
            <w:tcW w:w="2179" w:type="dxa"/>
          </w:tcPr>
          <w:p>
            <w:pPr>
              <w:rPr>
                <w:rFonts w:hint="eastAsia" w:ascii="仿宋_GB2312" w:eastAsia="仿宋_GB2312" w:cs="宋体"/>
                <w:sz w:val="28"/>
                <w:szCs w:val="28"/>
                <w:vertAlign w:val="baseline"/>
              </w:rPr>
            </w:pPr>
            <w:r>
              <w:fldChar w:fldCharType="begin"/>
            </w:r>
            <w:r>
              <w:instrText xml:space="preserve"> INCLUDEPICTURE "C:\\Documents and Settings\\guo\\Local Settings\\Temporary Internet Files\\Content.IE5\\JXG4LP7L\\56-38-2[1].gif" \* MERGEFORMAT </w:instrText>
            </w:r>
            <w:r>
              <w:fldChar w:fldCharType="separate"/>
            </w:r>
            <w:r>
              <w:drawing>
                <wp:inline distT="0" distB="0" distL="114300" distR="114300">
                  <wp:extent cx="1168400" cy="850265"/>
                  <wp:effectExtent l="0" t="0" r="508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6" r:link="rId7"/>
                          <a:stretch>
                            <a:fillRect/>
                          </a:stretch>
                        </pic:blipFill>
                        <pic:spPr>
                          <a:xfrm>
                            <a:off x="0" y="0"/>
                            <a:ext cx="1168400" cy="850265"/>
                          </a:xfrm>
                          <a:prstGeom prst="rect">
                            <a:avLst/>
                          </a:prstGeom>
                          <a:noFill/>
                          <a:ln w="9525">
                            <a:noFill/>
                          </a:ln>
                        </pic:spPr>
                      </pic:pic>
                    </a:graphicData>
                  </a:graphic>
                </wp:inline>
              </w:drawing>
            </w:r>
            <w:r>
              <w:fldChar w:fldCharType="end"/>
            </w:r>
          </w:p>
        </w:tc>
        <w:tc>
          <w:tcPr>
            <w:tcW w:w="2180" w:type="dxa"/>
          </w:tcPr>
          <w:p>
            <w:pPr>
              <w:rPr>
                <w:rFonts w:hint="eastAsia" w:ascii="仿宋_GB2312" w:eastAsia="仿宋_GB2312" w:cs="宋体"/>
                <w:sz w:val="28"/>
                <w:szCs w:val="28"/>
                <w:vertAlign w:val="baseline"/>
              </w:rPr>
            </w:pPr>
            <w:r>
              <w:fldChar w:fldCharType="begin"/>
            </w:r>
            <w:r>
              <w:instrText xml:space="preserve"> INCLUDEPICTURE "C:\\Documents and Settings\\guo\\Local Settings\\Temporary Internet Files\\Content.IE5\\I06I3CVL\\298-00-0[1].gif" \* MERGEFORMAT </w:instrText>
            </w:r>
            <w:r>
              <w:fldChar w:fldCharType="separate"/>
            </w:r>
            <w:r>
              <w:drawing>
                <wp:inline distT="0" distB="0" distL="114300" distR="114300">
                  <wp:extent cx="1154430" cy="906780"/>
                  <wp:effectExtent l="0" t="0" r="381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8" r:link="rId9"/>
                          <a:stretch>
                            <a:fillRect/>
                          </a:stretch>
                        </pic:blipFill>
                        <pic:spPr>
                          <a:xfrm>
                            <a:off x="0" y="0"/>
                            <a:ext cx="1154430" cy="906780"/>
                          </a:xfrm>
                          <a:prstGeom prst="rect">
                            <a:avLst/>
                          </a:prstGeom>
                          <a:noFill/>
                          <a:ln w="9525">
                            <a:noFill/>
                          </a:ln>
                        </pic:spPr>
                      </pic:pic>
                    </a:graphicData>
                  </a:graphic>
                </wp:inline>
              </w:drawing>
            </w:r>
            <w:r>
              <w:fldChar w:fldCharType="end"/>
            </w:r>
          </w:p>
        </w:tc>
        <w:tc>
          <w:tcPr>
            <w:tcW w:w="2181" w:type="dxa"/>
          </w:tcPr>
          <w:p>
            <w:pPr>
              <w:rPr>
                <w:rFonts w:hint="eastAsia" w:ascii="仿宋_GB2312" w:eastAsia="仿宋_GB2312" w:cs="宋体"/>
                <w:sz w:val="28"/>
                <w:szCs w:val="28"/>
                <w:vertAlign w:val="baseline"/>
              </w:rPr>
            </w:pPr>
            <w:r>
              <w:fldChar w:fldCharType="begin"/>
            </w:r>
            <w:r>
              <w:instrText xml:space="preserve"> INCLUDEPICTURE "C:\\Documents and Settings\\guo\\Local Settings\\Temporary Internet Files\\Content.IE5\\1L6MH0OD\\2157-98-4[1].gif" \* MERGEFORMAT </w:instrText>
            </w:r>
            <w:r>
              <w:fldChar w:fldCharType="separate"/>
            </w:r>
            <w:r>
              <w:drawing>
                <wp:inline distT="0" distB="0" distL="114300" distR="114300">
                  <wp:extent cx="1167765" cy="914400"/>
                  <wp:effectExtent l="0" t="0" r="571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0" r:link="rId11"/>
                          <a:stretch>
                            <a:fillRect/>
                          </a:stretch>
                        </pic:blipFill>
                        <pic:spPr>
                          <a:xfrm>
                            <a:off x="0" y="0"/>
                            <a:ext cx="1167765" cy="914400"/>
                          </a:xfrm>
                          <a:prstGeom prst="rect">
                            <a:avLst/>
                          </a:prstGeom>
                          <a:noFill/>
                          <a:ln w="9525">
                            <a:noFill/>
                          </a:ln>
                        </pic:spPr>
                      </pic:pic>
                    </a:graphicData>
                  </a:graphic>
                </wp:inline>
              </w:drawing>
            </w:r>
            <w: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3" w:hRule="atLeast"/>
        </w:trPr>
        <w:tc>
          <w:tcPr>
            <w:tcW w:w="2180" w:type="dxa"/>
          </w:tcPr>
          <w:p>
            <w:pPr>
              <w:jc w:val="center"/>
              <w:rPr>
                <w:rFonts w:hint="eastAsia" w:ascii="仿宋_GB2312" w:eastAsia="仿宋_GB2312" w:cs="宋体"/>
                <w:sz w:val="21"/>
                <w:szCs w:val="21"/>
                <w:vertAlign w:val="baseline"/>
                <w:lang w:val="en-US" w:eastAsia="zh-CN"/>
              </w:rPr>
            </w:pPr>
            <w:r>
              <w:rPr>
                <w:rFonts w:hint="eastAsia" w:ascii="仿宋_GB2312" w:eastAsia="仿宋_GB2312" w:cs="宋体"/>
                <w:sz w:val="21"/>
                <w:szCs w:val="21"/>
                <w:vertAlign w:val="baseline"/>
                <w:lang w:val="en-US" w:eastAsia="zh-CN"/>
              </w:rPr>
              <w:t>甲胺磷</w:t>
            </w:r>
          </w:p>
        </w:tc>
        <w:tc>
          <w:tcPr>
            <w:tcW w:w="2179" w:type="dxa"/>
          </w:tcPr>
          <w:p>
            <w:pPr>
              <w:jc w:val="center"/>
              <w:rPr>
                <w:rFonts w:hint="eastAsia" w:ascii="仿宋_GB2312" w:eastAsia="仿宋_GB2312" w:cs="宋体"/>
                <w:sz w:val="21"/>
                <w:szCs w:val="21"/>
                <w:vertAlign w:val="baseline"/>
                <w:lang w:val="en-US" w:eastAsia="zh-CN"/>
              </w:rPr>
            </w:pPr>
            <w:r>
              <w:rPr>
                <w:rFonts w:hint="eastAsia" w:ascii="仿宋_GB2312" w:eastAsia="仿宋_GB2312" w:cs="宋体"/>
                <w:sz w:val="21"/>
                <w:szCs w:val="21"/>
                <w:vertAlign w:val="baseline"/>
                <w:lang w:val="en-US" w:eastAsia="zh-CN"/>
              </w:rPr>
              <w:t>对硫磷</w:t>
            </w:r>
          </w:p>
        </w:tc>
        <w:tc>
          <w:tcPr>
            <w:tcW w:w="2180" w:type="dxa"/>
          </w:tcPr>
          <w:p>
            <w:pPr>
              <w:jc w:val="center"/>
              <w:rPr>
                <w:rFonts w:hint="eastAsia" w:ascii="仿宋_GB2312" w:eastAsia="仿宋_GB2312" w:cs="宋体"/>
                <w:sz w:val="21"/>
                <w:szCs w:val="21"/>
                <w:vertAlign w:val="baseline"/>
                <w:lang w:val="en-US" w:eastAsia="zh-CN"/>
              </w:rPr>
            </w:pPr>
            <w:r>
              <w:rPr>
                <w:rFonts w:hint="eastAsia" w:ascii="仿宋_GB2312" w:eastAsia="仿宋_GB2312" w:cs="宋体"/>
                <w:sz w:val="21"/>
                <w:szCs w:val="21"/>
                <w:vertAlign w:val="baseline"/>
                <w:lang w:val="en-US" w:eastAsia="zh-CN"/>
              </w:rPr>
              <w:t>甲基对硫磷</w:t>
            </w:r>
          </w:p>
        </w:tc>
        <w:tc>
          <w:tcPr>
            <w:tcW w:w="2181" w:type="dxa"/>
          </w:tcPr>
          <w:p>
            <w:pPr>
              <w:jc w:val="center"/>
              <w:rPr>
                <w:rFonts w:hint="eastAsia" w:ascii="仿宋_GB2312" w:eastAsia="仿宋_GB2312" w:cs="宋体"/>
                <w:sz w:val="21"/>
                <w:szCs w:val="21"/>
                <w:vertAlign w:val="baseline"/>
                <w:lang w:val="en-US" w:eastAsia="zh-CN"/>
              </w:rPr>
            </w:pPr>
            <w:r>
              <w:rPr>
                <w:rFonts w:hint="eastAsia" w:ascii="仿宋_GB2312" w:eastAsia="仿宋_GB2312" w:cs="宋体"/>
                <w:sz w:val="21"/>
                <w:szCs w:val="21"/>
                <w:vertAlign w:val="baseline"/>
                <w:lang w:val="en-US" w:eastAsia="zh-CN"/>
              </w:rPr>
              <w:t>久效磷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656" w:hRule="atLeast"/>
        </w:trPr>
        <w:tc>
          <w:tcPr>
            <w:tcW w:w="2180" w:type="dxa"/>
          </w:tcPr>
          <w:p>
            <w:pPr>
              <w:rPr>
                <w:rFonts w:hint="eastAsia" w:ascii="仿宋_GB2312" w:eastAsia="仿宋_GB2312" w:cs="宋体"/>
                <w:sz w:val="28"/>
                <w:szCs w:val="28"/>
                <w:vertAlign w:val="baseline"/>
              </w:rPr>
            </w:pPr>
            <w:r>
              <w:rPr>
                <w:rFonts w:ascii="Tahoma" w:hAnsi="Tahoma" w:cs="Tahoma"/>
                <w:sz w:val="16"/>
                <w:szCs w:val="16"/>
              </w:rPr>
              <w:fldChar w:fldCharType="begin"/>
            </w:r>
            <w:r>
              <w:rPr>
                <w:rFonts w:ascii="Tahoma" w:hAnsi="Tahoma" w:cs="Tahoma"/>
                <w:sz w:val="16"/>
                <w:szCs w:val="16"/>
              </w:rPr>
              <w:instrText xml:space="preserve"> INCLUDEPICTURE "http://www.chemicalbook.com/../CAS/GIF/13171-21-6.gif" \* MERGEFORMATINET </w:instrText>
            </w:r>
            <w:r>
              <w:rPr>
                <w:rFonts w:ascii="Tahoma" w:hAnsi="Tahoma" w:cs="Tahoma"/>
                <w:sz w:val="16"/>
                <w:szCs w:val="16"/>
              </w:rPr>
              <w:fldChar w:fldCharType="separate"/>
            </w:r>
            <w:r>
              <w:rPr>
                <w:rFonts w:ascii="Tahoma" w:hAnsi="Tahoma" w:cs="Tahoma"/>
                <w:sz w:val="16"/>
                <w:szCs w:val="16"/>
              </w:rPr>
              <w:drawing>
                <wp:inline distT="0" distB="0" distL="114300" distR="114300">
                  <wp:extent cx="1229995" cy="871855"/>
                  <wp:effectExtent l="0" t="0" r="4445" b="12065"/>
                  <wp:docPr id="9" name="图片 9" descr="磷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磷胺"/>
                          <pic:cNvPicPr>
                            <a:picLocks noChangeAspect="1"/>
                          </pic:cNvPicPr>
                        </pic:nvPicPr>
                        <pic:blipFill>
                          <a:blip r:embed="rId12" r:link="rId13"/>
                          <a:stretch>
                            <a:fillRect/>
                          </a:stretch>
                        </pic:blipFill>
                        <pic:spPr>
                          <a:xfrm>
                            <a:off x="0" y="0"/>
                            <a:ext cx="1229995" cy="871855"/>
                          </a:xfrm>
                          <a:prstGeom prst="rect">
                            <a:avLst/>
                          </a:prstGeom>
                          <a:noFill/>
                          <a:ln w="9525">
                            <a:noFill/>
                          </a:ln>
                        </pic:spPr>
                      </pic:pic>
                    </a:graphicData>
                  </a:graphic>
                </wp:inline>
              </w:drawing>
            </w:r>
            <w:r>
              <w:rPr>
                <w:rFonts w:ascii="Tahoma" w:hAnsi="Tahoma" w:cs="Tahoma"/>
                <w:sz w:val="16"/>
                <w:szCs w:val="16"/>
              </w:rPr>
              <w:fldChar w:fldCharType="end"/>
            </w:r>
          </w:p>
        </w:tc>
        <w:tc>
          <w:tcPr>
            <w:tcW w:w="2179" w:type="dxa"/>
          </w:tcPr>
          <w:p>
            <w:pPr>
              <w:rPr>
                <w:rFonts w:hint="eastAsia" w:ascii="仿宋_GB2312" w:eastAsia="仿宋_GB2312" w:cs="宋体"/>
                <w:sz w:val="28"/>
                <w:szCs w:val="28"/>
                <w:vertAlign w:val="baseline"/>
              </w:rPr>
            </w:pPr>
            <w:r>
              <w:rPr>
                <w:rFonts w:ascii="Tahoma" w:hAnsi="Tahoma" w:cs="Tahoma"/>
                <w:sz w:val="16"/>
                <w:szCs w:val="16"/>
              </w:rPr>
              <w:fldChar w:fldCharType="begin"/>
            </w:r>
            <w:r>
              <w:rPr>
                <w:rFonts w:ascii="Tahoma" w:hAnsi="Tahoma" w:cs="Tahoma"/>
                <w:sz w:val="16"/>
                <w:szCs w:val="16"/>
              </w:rPr>
              <w:instrText xml:space="preserve"> INCLUDEPICTURE "http://www.chemicalbook.com/../CAS/GIF/298-02-2.gif" \* MERGEFORMATINET </w:instrText>
            </w:r>
            <w:r>
              <w:rPr>
                <w:rFonts w:ascii="Tahoma" w:hAnsi="Tahoma" w:cs="Tahoma"/>
                <w:sz w:val="16"/>
                <w:szCs w:val="16"/>
              </w:rPr>
              <w:fldChar w:fldCharType="separate"/>
            </w:r>
            <w:r>
              <w:rPr>
                <w:rFonts w:ascii="Tahoma" w:hAnsi="Tahoma" w:cs="Tahoma"/>
                <w:sz w:val="16"/>
                <w:szCs w:val="16"/>
              </w:rPr>
              <w:drawing>
                <wp:inline distT="0" distB="0" distL="114300" distR="114300">
                  <wp:extent cx="1155065" cy="967105"/>
                  <wp:effectExtent l="0" t="0" r="3175" b="0"/>
                  <wp:docPr id="10" name="图片 10" descr="甲拌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甲拌磷"/>
                          <pic:cNvPicPr>
                            <a:picLocks noChangeAspect="1"/>
                          </pic:cNvPicPr>
                        </pic:nvPicPr>
                        <pic:blipFill>
                          <a:blip r:embed="rId14" r:link="rId15"/>
                          <a:stretch>
                            <a:fillRect/>
                          </a:stretch>
                        </pic:blipFill>
                        <pic:spPr>
                          <a:xfrm>
                            <a:off x="0" y="0"/>
                            <a:ext cx="1155065" cy="967105"/>
                          </a:xfrm>
                          <a:prstGeom prst="rect">
                            <a:avLst/>
                          </a:prstGeom>
                          <a:noFill/>
                          <a:ln w="9525">
                            <a:noFill/>
                          </a:ln>
                        </pic:spPr>
                      </pic:pic>
                    </a:graphicData>
                  </a:graphic>
                </wp:inline>
              </w:drawing>
            </w:r>
            <w:r>
              <w:rPr>
                <w:rFonts w:ascii="Tahoma" w:hAnsi="Tahoma" w:cs="Tahoma"/>
                <w:sz w:val="16"/>
                <w:szCs w:val="16"/>
              </w:rPr>
              <w:fldChar w:fldCharType="end"/>
            </w:r>
          </w:p>
        </w:tc>
        <w:tc>
          <w:tcPr>
            <w:tcW w:w="2180" w:type="dxa"/>
          </w:tcPr>
          <w:p>
            <w:pPr>
              <w:rPr>
                <w:rFonts w:hint="eastAsia" w:ascii="仿宋_GB2312" w:eastAsia="仿宋_GB2312" w:cs="宋体"/>
                <w:sz w:val="28"/>
                <w:szCs w:val="28"/>
                <w:vertAlign w:val="baseline"/>
              </w:rPr>
            </w:pPr>
            <w:r>
              <w:rPr>
                <w:rFonts w:ascii="Tahoma" w:hAnsi="Tahoma" w:cs="Tahoma"/>
                <w:sz w:val="16"/>
                <w:szCs w:val="16"/>
              </w:rPr>
              <w:fldChar w:fldCharType="begin"/>
            </w:r>
            <w:r>
              <w:rPr>
                <w:rFonts w:ascii="Tahoma" w:hAnsi="Tahoma" w:cs="Tahoma"/>
                <w:sz w:val="16"/>
                <w:szCs w:val="16"/>
              </w:rPr>
              <w:instrText xml:space="preserve"> INCLUDEPICTURE "http://www.chemicalbook.com/../CAS/GIF/1113-02-6.gif" \* MERGEFORMATINET </w:instrText>
            </w:r>
            <w:r>
              <w:rPr>
                <w:rFonts w:ascii="Tahoma" w:hAnsi="Tahoma" w:cs="Tahoma"/>
                <w:sz w:val="16"/>
                <w:szCs w:val="16"/>
              </w:rPr>
              <w:fldChar w:fldCharType="separate"/>
            </w:r>
            <w:r>
              <w:rPr>
                <w:rFonts w:ascii="Tahoma" w:hAnsi="Tahoma" w:cs="Tahoma"/>
                <w:sz w:val="16"/>
                <w:szCs w:val="16"/>
              </w:rPr>
              <w:drawing>
                <wp:inline distT="0" distB="0" distL="114300" distR="114300">
                  <wp:extent cx="1171575" cy="887730"/>
                  <wp:effectExtent l="0" t="0" r="1905" b="0"/>
                  <wp:docPr id="11" name="图片 11" descr="O,O-二甲基-S-(N-甲基氨基甲酰甲基)硫代磷酸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O,O-二甲基-S-(N-甲基氨基甲酰甲基)硫代磷酸酯"/>
                          <pic:cNvPicPr>
                            <a:picLocks noChangeAspect="1"/>
                          </pic:cNvPicPr>
                        </pic:nvPicPr>
                        <pic:blipFill>
                          <a:blip r:embed="rId16" r:link="rId17"/>
                          <a:stretch>
                            <a:fillRect/>
                          </a:stretch>
                        </pic:blipFill>
                        <pic:spPr>
                          <a:xfrm>
                            <a:off x="0" y="0"/>
                            <a:ext cx="1171575" cy="887730"/>
                          </a:xfrm>
                          <a:prstGeom prst="rect">
                            <a:avLst/>
                          </a:prstGeom>
                          <a:noFill/>
                          <a:ln w="9525">
                            <a:noFill/>
                          </a:ln>
                        </pic:spPr>
                      </pic:pic>
                    </a:graphicData>
                  </a:graphic>
                </wp:inline>
              </w:drawing>
            </w:r>
            <w:r>
              <w:rPr>
                <w:rFonts w:ascii="Tahoma" w:hAnsi="Tahoma" w:cs="Tahoma"/>
                <w:sz w:val="16"/>
                <w:szCs w:val="16"/>
              </w:rPr>
              <w:fldChar w:fldCharType="end"/>
            </w:r>
          </w:p>
        </w:tc>
        <w:tc>
          <w:tcPr>
            <w:tcW w:w="2181" w:type="dxa"/>
          </w:tcPr>
          <w:p>
            <w:pPr>
              <w:rPr>
                <w:rFonts w:hint="eastAsia" w:ascii="仿宋_GB2312" w:eastAsia="仿宋_GB2312" w:cs="宋体"/>
                <w:sz w:val="28"/>
                <w:szCs w:val="28"/>
                <w:vertAlign w:val="baseline"/>
              </w:rPr>
            </w:pPr>
            <w:r>
              <w:rPr>
                <w:rFonts w:ascii="Tahoma" w:hAnsi="Tahoma" w:cs="Tahoma"/>
                <w:sz w:val="16"/>
                <w:szCs w:val="16"/>
              </w:rPr>
              <w:fldChar w:fldCharType="begin"/>
            </w:r>
            <w:r>
              <w:rPr>
                <w:rFonts w:ascii="Tahoma" w:hAnsi="Tahoma" w:cs="Tahoma"/>
                <w:sz w:val="16"/>
                <w:szCs w:val="16"/>
              </w:rPr>
              <w:instrText xml:space="preserve"> INCLUDEPICTURE "http://www.chemicalbook.com/../CAS/GIF/24353-61-5.gif" \* MERGEFORMATINET </w:instrText>
            </w:r>
            <w:r>
              <w:rPr>
                <w:rFonts w:ascii="Tahoma" w:hAnsi="Tahoma" w:cs="Tahoma"/>
                <w:sz w:val="16"/>
                <w:szCs w:val="16"/>
              </w:rPr>
              <w:fldChar w:fldCharType="separate"/>
            </w:r>
            <w:r>
              <w:rPr>
                <w:rFonts w:ascii="Tahoma" w:hAnsi="Tahoma" w:cs="Tahoma"/>
                <w:sz w:val="16"/>
                <w:szCs w:val="16"/>
              </w:rPr>
              <w:drawing>
                <wp:inline distT="0" distB="0" distL="114300" distR="114300">
                  <wp:extent cx="1203325" cy="861060"/>
                  <wp:effectExtent l="0" t="0" r="635" b="7620"/>
                  <wp:docPr id="12" name="图片 12" descr="水胺硫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水胺硫磷"/>
                          <pic:cNvPicPr>
                            <a:picLocks noChangeAspect="1"/>
                          </pic:cNvPicPr>
                        </pic:nvPicPr>
                        <pic:blipFill>
                          <a:blip r:embed="rId18" r:link="rId19"/>
                          <a:stretch>
                            <a:fillRect/>
                          </a:stretch>
                        </pic:blipFill>
                        <pic:spPr>
                          <a:xfrm>
                            <a:off x="0" y="0"/>
                            <a:ext cx="1203325" cy="861060"/>
                          </a:xfrm>
                          <a:prstGeom prst="rect">
                            <a:avLst/>
                          </a:prstGeom>
                          <a:noFill/>
                          <a:ln w="9525">
                            <a:noFill/>
                          </a:ln>
                        </pic:spPr>
                      </pic:pic>
                    </a:graphicData>
                  </a:graphic>
                </wp:inline>
              </w:drawing>
            </w:r>
            <w:r>
              <w:rPr>
                <w:rFonts w:ascii="Tahoma" w:hAnsi="Tahoma" w:cs="Tahoma"/>
                <w:sz w:val="16"/>
                <w:szCs w:val="16"/>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3" w:hRule="atLeast"/>
        </w:trPr>
        <w:tc>
          <w:tcPr>
            <w:tcW w:w="2180" w:type="dxa"/>
          </w:tcPr>
          <w:p>
            <w:pPr>
              <w:jc w:val="center"/>
              <w:rPr>
                <w:rFonts w:hint="eastAsia" w:ascii="仿宋_GB2312" w:eastAsia="仿宋_GB2312" w:cs="宋体"/>
                <w:sz w:val="21"/>
                <w:szCs w:val="21"/>
                <w:vertAlign w:val="baseline"/>
                <w:lang w:val="en-US" w:eastAsia="zh-CN"/>
              </w:rPr>
            </w:pPr>
            <w:r>
              <w:rPr>
                <w:rFonts w:hint="eastAsia" w:ascii="仿宋_GB2312" w:eastAsia="仿宋_GB2312" w:cs="宋体"/>
                <w:sz w:val="21"/>
                <w:szCs w:val="21"/>
                <w:vertAlign w:val="baseline"/>
                <w:lang w:val="en-US" w:eastAsia="zh-CN"/>
              </w:rPr>
              <w:t>磷胺</w:t>
            </w:r>
          </w:p>
        </w:tc>
        <w:tc>
          <w:tcPr>
            <w:tcW w:w="2179" w:type="dxa"/>
          </w:tcPr>
          <w:p>
            <w:pPr>
              <w:jc w:val="center"/>
              <w:rPr>
                <w:rFonts w:hint="eastAsia" w:ascii="仿宋_GB2312" w:eastAsia="仿宋_GB2312" w:cs="宋体"/>
                <w:sz w:val="21"/>
                <w:szCs w:val="21"/>
                <w:vertAlign w:val="baseline"/>
                <w:lang w:val="en-US" w:eastAsia="zh-CN"/>
              </w:rPr>
            </w:pPr>
            <w:r>
              <w:rPr>
                <w:rFonts w:hint="eastAsia" w:ascii="仿宋_GB2312" w:eastAsia="仿宋_GB2312" w:cs="宋体"/>
                <w:sz w:val="21"/>
                <w:szCs w:val="21"/>
                <w:vertAlign w:val="baseline"/>
                <w:lang w:val="en-US" w:eastAsia="zh-CN"/>
              </w:rPr>
              <w:t>甲拌磷</w:t>
            </w:r>
          </w:p>
        </w:tc>
        <w:tc>
          <w:tcPr>
            <w:tcW w:w="2180" w:type="dxa"/>
          </w:tcPr>
          <w:p>
            <w:pPr>
              <w:jc w:val="center"/>
              <w:rPr>
                <w:rFonts w:hint="eastAsia" w:ascii="仿宋_GB2312" w:eastAsia="仿宋_GB2312" w:cs="宋体"/>
                <w:sz w:val="21"/>
                <w:szCs w:val="21"/>
                <w:vertAlign w:val="baseline"/>
                <w:lang w:val="en-US" w:eastAsia="zh-CN"/>
              </w:rPr>
            </w:pPr>
            <w:r>
              <w:rPr>
                <w:rFonts w:hint="eastAsia" w:ascii="仿宋_GB2312" w:eastAsia="仿宋_GB2312" w:cs="宋体"/>
                <w:sz w:val="21"/>
                <w:szCs w:val="21"/>
                <w:vertAlign w:val="baseline"/>
                <w:lang w:val="en-US" w:eastAsia="zh-CN"/>
              </w:rPr>
              <w:t>氧乐果</w:t>
            </w:r>
          </w:p>
        </w:tc>
        <w:tc>
          <w:tcPr>
            <w:tcW w:w="2181" w:type="dxa"/>
          </w:tcPr>
          <w:p>
            <w:pPr>
              <w:jc w:val="center"/>
              <w:rPr>
                <w:rFonts w:hint="eastAsia" w:ascii="仿宋_GB2312" w:eastAsia="仿宋_GB2312" w:cs="宋体"/>
                <w:sz w:val="21"/>
                <w:szCs w:val="21"/>
                <w:vertAlign w:val="baseline"/>
                <w:lang w:val="en-US" w:eastAsia="zh-CN"/>
              </w:rPr>
            </w:pPr>
            <w:r>
              <w:rPr>
                <w:rFonts w:hint="eastAsia" w:ascii="仿宋_GB2312" w:eastAsia="仿宋_GB2312" w:cs="宋体"/>
                <w:sz w:val="21"/>
                <w:szCs w:val="21"/>
                <w:vertAlign w:val="baseline"/>
                <w:lang w:val="en-US" w:eastAsia="zh-CN"/>
              </w:rPr>
              <w:t>水胺硫磷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569" w:hRule="atLeast"/>
        </w:trPr>
        <w:tc>
          <w:tcPr>
            <w:tcW w:w="2180" w:type="dxa"/>
          </w:tcPr>
          <w:p>
            <w:pPr>
              <w:rPr>
                <w:rFonts w:hint="eastAsia" w:ascii="仿宋_GB2312" w:eastAsia="仿宋_GB2312" w:cs="宋体"/>
                <w:sz w:val="28"/>
                <w:szCs w:val="28"/>
                <w:vertAlign w:val="baseline"/>
                <w:lang w:val="en-US" w:eastAsia="zh-CN"/>
              </w:rPr>
            </w:pPr>
            <w:r>
              <w:rPr>
                <w:rFonts w:ascii="Tahoma" w:hAnsi="Tahoma" w:cs="Tahoma"/>
                <w:sz w:val="16"/>
                <w:szCs w:val="16"/>
              </w:rPr>
              <w:fldChar w:fldCharType="begin"/>
            </w:r>
            <w:r>
              <w:rPr>
                <w:rFonts w:ascii="Tahoma" w:hAnsi="Tahoma" w:cs="Tahoma"/>
                <w:sz w:val="16"/>
                <w:szCs w:val="16"/>
              </w:rPr>
              <w:instrText xml:space="preserve"> INCLUDEPICTURE "http://www.chemicalbook.com/../CAS/GIF/13071-79-9.gif" \* MERGEFORMATINET </w:instrText>
            </w:r>
            <w:r>
              <w:rPr>
                <w:rFonts w:ascii="Tahoma" w:hAnsi="Tahoma" w:cs="Tahoma"/>
                <w:sz w:val="16"/>
                <w:szCs w:val="16"/>
              </w:rPr>
              <w:fldChar w:fldCharType="separate"/>
            </w:r>
            <w:r>
              <w:rPr>
                <w:rFonts w:ascii="Tahoma" w:hAnsi="Tahoma" w:cs="Tahoma"/>
                <w:sz w:val="16"/>
                <w:szCs w:val="16"/>
              </w:rPr>
              <w:drawing>
                <wp:inline distT="0" distB="0" distL="114300" distR="114300">
                  <wp:extent cx="1238250" cy="930910"/>
                  <wp:effectExtent l="0" t="0" r="11430" b="13970"/>
                  <wp:docPr id="13" name="图片 13" descr="特丁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特丁磷"/>
                          <pic:cNvPicPr>
                            <a:picLocks noChangeAspect="1"/>
                          </pic:cNvPicPr>
                        </pic:nvPicPr>
                        <pic:blipFill>
                          <a:blip r:embed="rId20" r:link="rId21"/>
                          <a:stretch>
                            <a:fillRect/>
                          </a:stretch>
                        </pic:blipFill>
                        <pic:spPr>
                          <a:xfrm>
                            <a:off x="0" y="0"/>
                            <a:ext cx="1238250" cy="930910"/>
                          </a:xfrm>
                          <a:prstGeom prst="rect">
                            <a:avLst/>
                          </a:prstGeom>
                          <a:noFill/>
                          <a:ln w="9525">
                            <a:noFill/>
                          </a:ln>
                        </pic:spPr>
                      </pic:pic>
                    </a:graphicData>
                  </a:graphic>
                </wp:inline>
              </w:drawing>
            </w:r>
            <w:r>
              <w:rPr>
                <w:rFonts w:ascii="Tahoma" w:hAnsi="Tahoma" w:cs="Tahoma"/>
                <w:sz w:val="16"/>
                <w:szCs w:val="16"/>
              </w:rPr>
              <w:fldChar w:fldCharType="end"/>
            </w:r>
          </w:p>
        </w:tc>
        <w:tc>
          <w:tcPr>
            <w:tcW w:w="2179" w:type="dxa"/>
          </w:tcPr>
          <w:p>
            <w:pPr>
              <w:rPr>
                <w:rFonts w:hint="eastAsia" w:ascii="仿宋_GB2312" w:eastAsia="仿宋_GB2312" w:cs="宋体"/>
                <w:sz w:val="28"/>
                <w:szCs w:val="28"/>
                <w:vertAlign w:val="baseline"/>
                <w:lang w:val="en-US" w:eastAsia="zh-CN"/>
              </w:rPr>
            </w:pPr>
            <w:r>
              <w:rPr>
                <w:rFonts w:ascii="Tahoma" w:hAnsi="Tahoma" w:cs="Tahoma"/>
                <w:sz w:val="16"/>
                <w:szCs w:val="16"/>
              </w:rPr>
              <w:fldChar w:fldCharType="begin"/>
            </w:r>
            <w:r>
              <w:rPr>
                <w:rFonts w:ascii="Tahoma" w:hAnsi="Tahoma" w:cs="Tahoma"/>
                <w:sz w:val="16"/>
                <w:szCs w:val="16"/>
              </w:rPr>
              <w:instrText xml:space="preserve"> INCLUDEPICTURE "http://www.chemicalbook.com/../CAS/GIF/3689-24-5.gif" \* MERGEFORMATINET </w:instrText>
            </w:r>
            <w:r>
              <w:rPr>
                <w:rFonts w:ascii="Tahoma" w:hAnsi="Tahoma" w:cs="Tahoma"/>
                <w:sz w:val="16"/>
                <w:szCs w:val="16"/>
              </w:rPr>
              <w:fldChar w:fldCharType="separate"/>
            </w:r>
            <w:r>
              <w:rPr>
                <w:rFonts w:ascii="Tahoma" w:hAnsi="Tahoma" w:cs="Tahoma"/>
                <w:sz w:val="16"/>
                <w:szCs w:val="16"/>
              </w:rPr>
              <w:drawing>
                <wp:inline distT="0" distB="0" distL="114300" distR="114300">
                  <wp:extent cx="1162050" cy="872490"/>
                  <wp:effectExtent l="0" t="0" r="11430" b="11430"/>
                  <wp:docPr id="14" name="图片 14" descr="治螟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治螟磷"/>
                          <pic:cNvPicPr>
                            <a:picLocks noChangeAspect="1"/>
                          </pic:cNvPicPr>
                        </pic:nvPicPr>
                        <pic:blipFill>
                          <a:blip r:embed="rId22" r:link="rId23"/>
                          <a:stretch>
                            <a:fillRect/>
                          </a:stretch>
                        </pic:blipFill>
                        <pic:spPr>
                          <a:xfrm>
                            <a:off x="0" y="0"/>
                            <a:ext cx="1162050" cy="872490"/>
                          </a:xfrm>
                          <a:prstGeom prst="rect">
                            <a:avLst/>
                          </a:prstGeom>
                          <a:noFill/>
                          <a:ln w="9525">
                            <a:noFill/>
                          </a:ln>
                        </pic:spPr>
                      </pic:pic>
                    </a:graphicData>
                  </a:graphic>
                </wp:inline>
              </w:drawing>
            </w:r>
            <w:r>
              <w:rPr>
                <w:rFonts w:ascii="Tahoma" w:hAnsi="Tahoma" w:cs="Tahoma"/>
                <w:sz w:val="16"/>
                <w:szCs w:val="16"/>
              </w:rPr>
              <w:fldChar w:fldCharType="end"/>
            </w:r>
          </w:p>
        </w:tc>
        <w:tc>
          <w:tcPr>
            <w:tcW w:w="2180" w:type="dxa"/>
          </w:tcPr>
          <w:p>
            <w:pPr>
              <w:rPr>
                <w:rFonts w:hint="eastAsia" w:ascii="仿宋_GB2312" w:eastAsia="仿宋_GB2312" w:cs="宋体"/>
                <w:sz w:val="28"/>
                <w:szCs w:val="28"/>
                <w:vertAlign w:val="baseline"/>
                <w:lang w:val="en-US" w:eastAsia="zh-CN"/>
              </w:rPr>
            </w:pPr>
            <w:r>
              <w:rPr>
                <w:rFonts w:ascii="Tahoma" w:hAnsi="Tahoma" w:cs="Tahoma"/>
                <w:sz w:val="16"/>
                <w:szCs w:val="16"/>
              </w:rPr>
              <w:fldChar w:fldCharType="begin"/>
            </w:r>
            <w:r>
              <w:rPr>
                <w:rFonts w:ascii="Tahoma" w:hAnsi="Tahoma" w:cs="Tahoma"/>
                <w:sz w:val="16"/>
                <w:szCs w:val="16"/>
              </w:rPr>
              <w:instrText xml:space="preserve"> INCLUDEPICTURE "http://www.chemicalbook.com/../CAS/GIF/99675-03-3.gif" \* MERGEFORMATINET </w:instrText>
            </w:r>
            <w:r>
              <w:rPr>
                <w:rFonts w:ascii="Tahoma" w:hAnsi="Tahoma" w:cs="Tahoma"/>
                <w:sz w:val="16"/>
                <w:szCs w:val="16"/>
              </w:rPr>
              <w:fldChar w:fldCharType="separate"/>
            </w:r>
            <w:r>
              <w:rPr>
                <w:rFonts w:ascii="Tahoma" w:hAnsi="Tahoma" w:cs="Tahoma"/>
                <w:sz w:val="16"/>
                <w:szCs w:val="16"/>
              </w:rPr>
              <w:drawing>
                <wp:inline distT="0" distB="0" distL="114300" distR="114300">
                  <wp:extent cx="1109980" cy="935355"/>
                  <wp:effectExtent l="0" t="0" r="2540" b="9525"/>
                  <wp:docPr id="15" name="图片 15" descr="甲基异柳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甲基异柳磷"/>
                          <pic:cNvPicPr>
                            <a:picLocks noChangeAspect="1"/>
                          </pic:cNvPicPr>
                        </pic:nvPicPr>
                        <pic:blipFill>
                          <a:blip r:embed="rId24" r:link="rId25"/>
                          <a:stretch>
                            <a:fillRect/>
                          </a:stretch>
                        </pic:blipFill>
                        <pic:spPr>
                          <a:xfrm>
                            <a:off x="0" y="0"/>
                            <a:ext cx="1109980" cy="935355"/>
                          </a:xfrm>
                          <a:prstGeom prst="rect">
                            <a:avLst/>
                          </a:prstGeom>
                          <a:noFill/>
                          <a:ln w="9525">
                            <a:noFill/>
                          </a:ln>
                        </pic:spPr>
                      </pic:pic>
                    </a:graphicData>
                  </a:graphic>
                </wp:inline>
              </w:drawing>
            </w:r>
            <w:r>
              <w:rPr>
                <w:rFonts w:ascii="Tahoma" w:hAnsi="Tahoma" w:cs="Tahoma"/>
                <w:sz w:val="16"/>
                <w:szCs w:val="16"/>
              </w:rPr>
              <w:fldChar w:fldCharType="end"/>
            </w:r>
          </w:p>
        </w:tc>
        <w:tc>
          <w:tcPr>
            <w:tcW w:w="2181" w:type="dxa"/>
          </w:tcPr>
          <w:p>
            <w:pPr>
              <w:rPr>
                <w:rFonts w:hint="eastAsia" w:ascii="仿宋_GB2312" w:eastAsia="仿宋_GB2312" w:cs="宋体"/>
                <w:sz w:val="28"/>
                <w:szCs w:val="28"/>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3" w:hRule="atLeast"/>
        </w:trPr>
        <w:tc>
          <w:tcPr>
            <w:tcW w:w="2180" w:type="dxa"/>
            <w:vAlign w:val="top"/>
          </w:tcPr>
          <w:p>
            <w:pPr>
              <w:jc w:val="center"/>
              <w:rPr>
                <w:rFonts w:hint="eastAsia" w:ascii="仿宋_GB2312" w:eastAsia="仿宋_GB2312" w:cs="宋体"/>
                <w:sz w:val="21"/>
                <w:szCs w:val="21"/>
                <w:vertAlign w:val="baseline"/>
                <w:lang w:val="en-US" w:eastAsia="zh-CN"/>
              </w:rPr>
            </w:pPr>
            <w:r>
              <w:rPr>
                <w:rFonts w:hint="eastAsia" w:ascii="仿宋_GB2312" w:eastAsia="仿宋_GB2312" w:cs="宋体"/>
                <w:sz w:val="21"/>
                <w:szCs w:val="21"/>
                <w:vertAlign w:val="baseline"/>
                <w:lang w:val="en-US" w:eastAsia="zh-CN"/>
              </w:rPr>
              <w:t>特丁硫林</w:t>
            </w:r>
          </w:p>
        </w:tc>
        <w:tc>
          <w:tcPr>
            <w:tcW w:w="2179" w:type="dxa"/>
            <w:vAlign w:val="top"/>
          </w:tcPr>
          <w:p>
            <w:pPr>
              <w:jc w:val="center"/>
              <w:rPr>
                <w:rFonts w:hint="eastAsia" w:ascii="仿宋_GB2312" w:eastAsia="仿宋_GB2312" w:cs="宋体"/>
                <w:sz w:val="21"/>
                <w:szCs w:val="21"/>
                <w:vertAlign w:val="baseline"/>
                <w:lang w:val="en-US" w:eastAsia="zh-CN"/>
              </w:rPr>
            </w:pPr>
            <w:r>
              <w:rPr>
                <w:rFonts w:hint="eastAsia" w:ascii="仿宋_GB2312" w:eastAsia="仿宋_GB2312" w:cs="宋体"/>
                <w:sz w:val="21"/>
                <w:szCs w:val="21"/>
                <w:vertAlign w:val="baseline"/>
                <w:lang w:val="en-US" w:eastAsia="zh-CN"/>
              </w:rPr>
              <w:t>治螟磷</w:t>
            </w:r>
          </w:p>
        </w:tc>
        <w:tc>
          <w:tcPr>
            <w:tcW w:w="2180" w:type="dxa"/>
          </w:tcPr>
          <w:p>
            <w:pPr>
              <w:jc w:val="center"/>
              <w:rPr>
                <w:rFonts w:hint="eastAsia" w:ascii="仿宋_GB2312" w:eastAsia="仿宋_GB2312" w:cs="宋体"/>
                <w:sz w:val="21"/>
                <w:szCs w:val="21"/>
                <w:vertAlign w:val="baseline"/>
                <w:lang w:val="en-US" w:eastAsia="zh-CN"/>
              </w:rPr>
            </w:pPr>
            <w:r>
              <w:rPr>
                <w:rFonts w:hint="eastAsia" w:ascii="仿宋_GB2312" w:eastAsia="仿宋_GB2312" w:cs="宋体"/>
                <w:sz w:val="21"/>
                <w:szCs w:val="21"/>
                <w:vertAlign w:val="baseline"/>
                <w:lang w:val="en-US" w:eastAsia="zh-CN"/>
              </w:rPr>
              <w:t>甲基异柳磷</w:t>
            </w:r>
          </w:p>
        </w:tc>
        <w:tc>
          <w:tcPr>
            <w:tcW w:w="2181" w:type="dxa"/>
          </w:tcPr>
          <w:p>
            <w:pPr>
              <w:jc w:val="center"/>
              <w:rPr>
                <w:rFonts w:hint="eastAsia" w:ascii="仿宋_GB2312" w:eastAsia="仿宋_GB2312" w:cs="宋体"/>
                <w:sz w:val="21"/>
                <w:szCs w:val="21"/>
                <w:vertAlign w:val="baseline"/>
                <w:lang w:val="en-US" w:eastAsia="zh-CN"/>
              </w:rPr>
            </w:pPr>
          </w:p>
        </w:tc>
      </w:tr>
    </w:tbl>
    <w:p>
      <w:pPr>
        <w:rPr>
          <w:rFonts w:hint="eastAsia" w:ascii="仿宋_GB2312" w:eastAsia="仿宋_GB2312" w:cs="宋体"/>
        </w:rPr>
      </w:pPr>
    </w:p>
    <w:p>
      <w:pPr>
        <w:spacing w:line="520" w:lineRule="exact"/>
        <w:ind w:firstLine="470" w:firstLineChars="196"/>
        <w:rPr>
          <w:rFonts w:hint="eastAsia"/>
          <w:sz w:val="24"/>
          <w:lang w:val="en-US" w:eastAsia="zh-CN"/>
        </w:rPr>
      </w:pPr>
      <w:r>
        <w:rPr>
          <w:rFonts w:hint="eastAsia"/>
          <w:sz w:val="24"/>
          <w:lang w:val="en-US" w:eastAsia="zh-CN"/>
        </w:rPr>
        <w:t>具体配制过程如下：</w:t>
      </w:r>
    </w:p>
    <w:p>
      <w:pPr>
        <w:spacing w:line="520" w:lineRule="exact"/>
        <w:ind w:firstLine="470" w:firstLineChars="196"/>
        <w:rPr>
          <w:rFonts w:hint="eastAsia"/>
          <w:sz w:val="24"/>
          <w:lang w:val="en-US" w:eastAsia="zh-CN"/>
        </w:rPr>
      </w:pPr>
      <w:r>
        <w:rPr>
          <w:rFonts w:hint="eastAsia"/>
          <w:sz w:val="24"/>
          <w:lang w:val="en-US" w:eastAsia="zh-CN"/>
        </w:rPr>
        <w:t>准确称取标准物质（精确至0.0002g）称样量见附录B，于同一10mL容量瓶中，用丙酮做溶剂稀释定容，配制成混合农药标准储备液，，于-18℃下，贮存于密闭的棕色玻璃瓶中。</w:t>
      </w:r>
    </w:p>
    <w:p>
      <w:pPr>
        <w:spacing w:line="520" w:lineRule="exact"/>
        <w:ind w:firstLine="470" w:firstLineChars="196"/>
        <w:rPr>
          <w:rFonts w:hint="eastAsia"/>
          <w:sz w:val="24"/>
          <w:lang w:val="en-US" w:eastAsia="zh-CN"/>
        </w:rPr>
      </w:pPr>
      <w:r>
        <w:rPr>
          <w:rFonts w:hint="eastAsia"/>
          <w:sz w:val="24"/>
          <w:lang w:val="en-US" w:eastAsia="zh-CN"/>
        </w:rPr>
        <w:t>准确吸取1.0mL农药标准储备液于25mL具塞试管中，用移液管准确加入10mL内标溶液，丙酮稀释摇匀，配置成混合标准使用液。</w:t>
      </w:r>
    </w:p>
    <w:p>
      <w:pPr>
        <w:rPr>
          <w:rFonts w:hint="eastAsia" w:ascii="仿宋_GB2312" w:eastAsia="仿宋_GB2312" w:cs="宋体"/>
        </w:rPr>
      </w:pPr>
    </w:p>
    <w:p>
      <w:pPr>
        <w:pStyle w:val="3"/>
        <w:spacing w:line="240" w:lineRule="auto"/>
        <w:ind w:firstLine="281" w:firstLineChars="100"/>
        <w:rPr>
          <w:rFonts w:hint="eastAsia" w:ascii="仿宋" w:hAnsi="仿宋" w:eastAsia="仿宋" w:cs="仿宋"/>
          <w:sz w:val="28"/>
          <w:szCs w:val="28"/>
        </w:rPr>
      </w:pPr>
      <w:bookmarkStart w:id="70" w:name="_Toc351536399"/>
      <w:bookmarkStart w:id="71" w:name="_Toc8207_WPSOffice_Level2"/>
      <w:bookmarkStart w:id="72" w:name="_Toc31657_WPSOffice_Level2"/>
      <w:r>
        <w:rPr>
          <w:rFonts w:hint="eastAsia" w:ascii="仿宋" w:hAnsi="仿宋" w:eastAsia="仿宋" w:cs="仿宋"/>
          <w:sz w:val="28"/>
          <w:szCs w:val="28"/>
        </w:rPr>
        <w:t>4.2</w:t>
      </w:r>
      <w:r>
        <w:rPr>
          <w:rFonts w:hint="eastAsia" w:ascii="仿宋" w:hAnsi="仿宋" w:eastAsia="仿宋" w:cs="仿宋"/>
          <w:sz w:val="28"/>
          <w:szCs w:val="28"/>
          <w:lang w:val="en-US" w:eastAsia="zh-CN"/>
        </w:rPr>
        <w:t>气</w:t>
      </w:r>
      <w:r>
        <w:rPr>
          <w:rFonts w:hint="eastAsia" w:ascii="仿宋" w:hAnsi="仿宋" w:eastAsia="仿宋" w:cs="仿宋"/>
          <w:sz w:val="28"/>
          <w:szCs w:val="28"/>
        </w:rPr>
        <w:t>相色谱条件的确定</w:t>
      </w:r>
      <w:bookmarkEnd w:id="70"/>
      <w:bookmarkEnd w:id="71"/>
      <w:bookmarkEnd w:id="72"/>
    </w:p>
    <w:p>
      <w:pPr>
        <w:pStyle w:val="4"/>
        <w:rPr>
          <w:rFonts w:hint="eastAsia" w:asciiTheme="minorEastAsia" w:hAnsiTheme="minorEastAsia" w:eastAsiaTheme="minorEastAsia" w:cstheme="minorEastAsia"/>
          <w:b w:val="0"/>
          <w:bCs w:val="0"/>
          <w:sz w:val="24"/>
          <w:szCs w:val="24"/>
          <w:highlight w:val="none"/>
        </w:rPr>
      </w:pPr>
      <w:bookmarkStart w:id="73" w:name="_Toc351536400"/>
      <w:r>
        <w:rPr>
          <w:rFonts w:hint="eastAsia" w:asciiTheme="minorEastAsia" w:hAnsiTheme="minorEastAsia" w:eastAsiaTheme="minorEastAsia" w:cstheme="minorEastAsia"/>
          <w:b w:val="0"/>
          <w:bCs w:val="0"/>
          <w:sz w:val="24"/>
          <w:szCs w:val="24"/>
          <w:highlight w:val="none"/>
        </w:rPr>
        <w:t>4.2.1</w:t>
      </w:r>
      <w:r>
        <w:rPr>
          <w:rFonts w:hint="eastAsia" w:asciiTheme="minorEastAsia" w:hAnsiTheme="minorEastAsia" w:eastAsiaTheme="minorEastAsia" w:cstheme="minorEastAsia"/>
          <w:b w:val="0"/>
          <w:bCs w:val="0"/>
          <w:sz w:val="24"/>
          <w:szCs w:val="24"/>
          <w:highlight w:val="none"/>
          <w:lang w:val="en-US" w:eastAsia="zh-CN"/>
        </w:rPr>
        <w:t xml:space="preserve"> </w:t>
      </w:r>
      <w:r>
        <w:rPr>
          <w:rFonts w:hint="eastAsia" w:asciiTheme="minorEastAsia" w:hAnsiTheme="minorEastAsia" w:eastAsiaTheme="minorEastAsia" w:cstheme="minorEastAsia"/>
          <w:b w:val="0"/>
          <w:bCs w:val="0"/>
          <w:sz w:val="24"/>
          <w:szCs w:val="24"/>
          <w:highlight w:val="none"/>
        </w:rPr>
        <w:t>色谱柱的选择：</w:t>
      </w:r>
      <w:bookmarkEnd w:id="73"/>
    </w:p>
    <w:p>
      <w:pPr>
        <w:spacing w:line="520" w:lineRule="exact"/>
        <w:ind w:firstLine="470" w:firstLineChars="196"/>
        <w:rPr>
          <w:rFonts w:hint="eastAsia"/>
          <w:sz w:val="24"/>
          <w:lang w:val="en-US" w:eastAsia="zh-CN"/>
        </w:rPr>
      </w:pPr>
      <w:r>
        <w:rPr>
          <w:rFonts w:hint="eastAsia"/>
          <w:sz w:val="24"/>
          <w:lang w:val="en-US" w:eastAsia="zh-CN"/>
        </w:rPr>
        <w:t>11种有机磷农药在玻璃毛细管柱上具有很好的保留，而且各成分的保留性质差别较大，物质比较好分离，因此采用了实验室常规使用的(14%氰丙基-苯基)-甲基聚硅氧烷（DB-1701）柱，30m×0.53μm×1.0μm石英毛细和色谱柱B：(5%苯基)甲基聚硅氧烷（DB-5）柱，30m×0.53μm×1.0μm石英毛细管柱。</w:t>
      </w:r>
    </w:p>
    <w:p>
      <w:pPr>
        <w:pStyle w:val="4"/>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eastAsiaTheme="minorEastAsia" w:cstheme="minorEastAsia"/>
          <w:b w:val="0"/>
          <w:bCs w:val="0"/>
          <w:sz w:val="24"/>
          <w:szCs w:val="24"/>
          <w:highlight w:val="none"/>
          <w:lang w:val="en-US" w:eastAsia="zh-CN"/>
        </w:rPr>
        <w:t>4.2.2 检测器的选择</w:t>
      </w:r>
    </w:p>
    <w:p>
      <w:pPr>
        <w:spacing w:line="520" w:lineRule="exact"/>
        <w:ind w:firstLine="480" w:firstLineChars="200"/>
        <w:rPr>
          <w:rFonts w:hint="eastAsia"/>
          <w:sz w:val="24"/>
          <w:lang w:val="en-US" w:eastAsia="zh-CN"/>
        </w:rPr>
      </w:pPr>
      <w:r>
        <w:rPr>
          <w:rFonts w:hint="eastAsia"/>
          <w:sz w:val="24"/>
          <w:lang w:val="en-US" w:eastAsia="zh-CN"/>
        </w:rPr>
        <w:t>火焰离子化检测器(FID),是一种高灵敏度通用型检测器，它几乎对所有的有机物都有响应；热导池检测器（TCD）具有结构简单,性能稳定,灵敏度适宜等特点,对各种能作色谱分析的物质都有响应,最适合作常量分析。FID和TCD都是通用型检测器，相比之下FIP较TCD有较高的灵敏度，同时FID也是最常用于农药有效成分分析的检测器，方法选择使用FID检测器测定农药成分。</w:t>
      </w:r>
    </w:p>
    <w:p>
      <w:pPr>
        <w:pStyle w:val="4"/>
        <w:rPr>
          <w:rFonts w:hint="eastAsia" w:asciiTheme="minorEastAsia" w:hAnsiTheme="minorEastAsia" w:eastAsiaTheme="minorEastAsia" w:cstheme="minorEastAsia"/>
          <w:b w:val="0"/>
          <w:bCs w:val="0"/>
          <w:sz w:val="24"/>
          <w:szCs w:val="24"/>
          <w:highlight w:val="none"/>
          <w:lang w:val="en-US" w:eastAsia="zh-CN"/>
        </w:rPr>
      </w:pPr>
      <w:bookmarkStart w:id="74" w:name="_Toc351536401"/>
      <w:r>
        <w:rPr>
          <w:rFonts w:hint="eastAsia" w:asciiTheme="minorEastAsia" w:hAnsiTheme="minorEastAsia" w:eastAsiaTheme="minorEastAsia" w:cstheme="minorEastAsia"/>
          <w:b w:val="0"/>
          <w:bCs w:val="0"/>
          <w:sz w:val="24"/>
          <w:szCs w:val="24"/>
          <w:highlight w:val="none"/>
          <w:lang w:val="en-US" w:eastAsia="zh-CN"/>
        </w:rPr>
        <w:t>4.2.3 仪器条件选择</w:t>
      </w:r>
    </w:p>
    <w:p>
      <w:pPr>
        <w:spacing w:line="520" w:lineRule="exact"/>
        <w:ind w:firstLine="480" w:firstLineChars="200"/>
        <w:rPr>
          <w:rFonts w:hint="eastAsia"/>
          <w:sz w:val="24"/>
          <w:lang w:val="en-US" w:eastAsia="zh-CN"/>
        </w:rPr>
      </w:pPr>
      <w:r>
        <w:rPr>
          <w:rFonts w:hint="eastAsia"/>
          <w:sz w:val="24"/>
          <w:lang w:val="en-US" w:eastAsia="zh-CN"/>
        </w:rPr>
        <w:t>由于需要测定复杂基质中的目标化合物，为了将目标化合物与基质干扰进行分离，调整柱温箱程序升温条件，使出峰时间在5-30分钟内流出，以保证分析灵敏度的同时，使干扰尽量分离。采用程序升温目的是因为在检测样品中，尽量使样品中的杂质洗脱出色谱柱，而不影响下一针的分离检测。确定条件：</w:t>
      </w:r>
    </w:p>
    <w:p>
      <w:pPr>
        <w:spacing w:line="520" w:lineRule="exact"/>
        <w:ind w:firstLine="470" w:firstLineChars="196"/>
        <w:rPr>
          <w:rFonts w:hint="eastAsia"/>
          <w:sz w:val="24"/>
          <w:lang w:val="en-US" w:eastAsia="zh-CN"/>
        </w:rPr>
      </w:pPr>
      <w:r>
        <w:rPr>
          <w:rFonts w:hint="eastAsia"/>
          <w:sz w:val="24"/>
          <w:lang w:val="en-US" w:eastAsia="zh-CN"/>
        </w:rPr>
        <w:t>1、色谱柱(定量柱DB-1701 30 m×530 μm,1.0 μm;定性柱DB-5 30 m×530 μm,1.0 μm)；</w:t>
      </w:r>
    </w:p>
    <w:p>
      <w:pPr>
        <w:spacing w:line="520" w:lineRule="exact"/>
        <w:ind w:firstLine="470" w:firstLineChars="196"/>
        <w:rPr>
          <w:rFonts w:hint="eastAsia"/>
          <w:sz w:val="24"/>
          <w:lang w:val="en-US" w:eastAsia="zh-CN"/>
        </w:rPr>
      </w:pPr>
      <w:r>
        <w:rPr>
          <w:rFonts w:hint="eastAsia"/>
          <w:sz w:val="24"/>
          <w:lang w:val="en-US" w:eastAsia="zh-CN"/>
        </w:rPr>
        <w:t>2、进样口温度230 ℃，进样1 uL，不分留，柱流量（10 mL/min）；</w:t>
      </w:r>
    </w:p>
    <w:p>
      <w:pPr>
        <w:spacing w:line="520" w:lineRule="exact"/>
        <w:ind w:firstLine="470" w:firstLineChars="196"/>
        <w:rPr>
          <w:rFonts w:hint="eastAsia"/>
          <w:sz w:val="24"/>
          <w:lang w:val="en-US" w:eastAsia="zh-CN"/>
        </w:rPr>
      </w:pPr>
      <w:r>
        <w:rPr>
          <w:rFonts w:hint="eastAsia"/>
          <w:sz w:val="24"/>
          <w:lang w:val="en-US" w:eastAsia="zh-CN"/>
        </w:rPr>
        <w:t>3、程序升温（100 ℃（2 min）以8 ℃/min升到250 ℃保持13 min）；</w:t>
      </w:r>
    </w:p>
    <w:p>
      <w:pPr>
        <w:spacing w:line="520" w:lineRule="exact"/>
        <w:ind w:firstLine="470" w:firstLineChars="196"/>
        <w:rPr>
          <w:rFonts w:hint="eastAsia"/>
          <w:sz w:val="24"/>
          <w:lang w:val="en-US" w:eastAsia="zh-CN"/>
        </w:rPr>
      </w:pPr>
      <w:r>
        <w:rPr>
          <w:rFonts w:hint="eastAsia"/>
          <w:sz w:val="24"/>
          <w:lang w:val="en-US" w:eastAsia="zh-CN"/>
        </w:rPr>
        <w:t>4、检测器温度280 ℃，氢气（40 mL/min），空气气（400 ml/min），尾吹（60 mL/min）。</w:t>
      </w:r>
    </w:p>
    <w:p>
      <w:pPr>
        <w:spacing w:line="520" w:lineRule="exact"/>
        <w:ind w:firstLine="470" w:firstLineChars="196"/>
        <w:rPr>
          <w:rFonts w:hint="eastAsia" w:ascii="仿宋_GB2312" w:eastAsia="仿宋_GB2312" w:cs="宋体"/>
          <w:b w:val="0"/>
          <w:bCs w:val="0"/>
          <w:sz w:val="21"/>
          <w:szCs w:val="21"/>
          <w:highlight w:val="cyan"/>
          <w:lang w:val="en-US" w:eastAsia="zh-CN"/>
        </w:rPr>
      </w:pPr>
      <w:r>
        <w:rPr>
          <w:rFonts w:hint="eastAsia"/>
          <w:sz w:val="24"/>
          <w:lang w:val="en-US" w:eastAsia="zh-CN"/>
        </w:rPr>
        <w:t>在上述操作条件下，待仪器稳定后，连续注入数针标样溶液，直至相邻两针各农药成分峰面积与内标物峰面积比的相对变化小于1.0%时，按照标准溶液、试样溶液、试样溶液、标准溶液的顺序进行测定。</w:t>
      </w:r>
    </w:p>
    <w:p>
      <w:pPr>
        <w:pStyle w:val="4"/>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eastAsiaTheme="minorEastAsia" w:cstheme="minorEastAsia"/>
          <w:b w:val="0"/>
          <w:bCs w:val="0"/>
          <w:sz w:val="24"/>
          <w:szCs w:val="24"/>
          <w:highlight w:val="none"/>
          <w:lang w:val="en-US" w:eastAsia="zh-CN"/>
        </w:rPr>
        <w:t>4.2.4内标物的选择</w:t>
      </w:r>
    </w:p>
    <w:p>
      <w:pPr>
        <w:spacing w:line="520" w:lineRule="exact"/>
        <w:ind w:firstLine="470" w:firstLineChars="196"/>
        <w:rPr>
          <w:rFonts w:hint="eastAsia"/>
          <w:sz w:val="24"/>
          <w:lang w:val="en-US" w:eastAsia="zh-CN"/>
        </w:rPr>
      </w:pPr>
      <w:r>
        <w:rPr>
          <w:rFonts w:hint="eastAsia"/>
          <w:sz w:val="24"/>
          <w:lang w:val="en-US" w:eastAsia="zh-CN"/>
        </w:rPr>
        <w:t>内标物的选择主要是按照，内标物与待测物不发生反应、内标物保留时间上没有杂质的检出。由于本方法是多农药成分分析，农药在4 min ～16 min都有检出，本文选用了邻苯二甲酸二乙酯、邻苯二甲酸二戊酯两种物质作为内标。在实际样品的检测中，应该先称取一定质量试样，在没有加入内标的情况下对农药进行一个初检测，分析在内标物出峰保留时间上是否有杂质出现，再选择使用合适的内标物。</w:t>
      </w:r>
    </w:p>
    <w:p>
      <w:pPr>
        <w:pStyle w:val="4"/>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eastAsiaTheme="minorEastAsia" w:cstheme="minorEastAsia"/>
          <w:b w:val="0"/>
          <w:bCs w:val="0"/>
          <w:sz w:val="24"/>
          <w:szCs w:val="24"/>
          <w:highlight w:val="none"/>
          <w:lang w:val="en-US" w:eastAsia="zh-CN"/>
        </w:rPr>
        <w:t>4.2.5</w:t>
      </w:r>
      <w:bookmarkStart w:id="75" w:name="_Toc7972"/>
      <w:r>
        <w:rPr>
          <w:rFonts w:hint="eastAsia" w:asciiTheme="minorEastAsia" w:hAnsiTheme="minorEastAsia" w:eastAsiaTheme="minorEastAsia" w:cstheme="minorEastAsia"/>
          <w:b w:val="0"/>
          <w:bCs w:val="0"/>
          <w:sz w:val="24"/>
          <w:szCs w:val="24"/>
          <w:highlight w:val="none"/>
          <w:lang w:val="en-US" w:eastAsia="zh-CN"/>
        </w:rPr>
        <w:t>色谱峰</w:t>
      </w:r>
      <w:bookmarkEnd w:id="75"/>
    </w:p>
    <w:p>
      <w:pPr>
        <w:spacing w:line="520" w:lineRule="exact"/>
        <w:ind w:firstLine="470" w:firstLineChars="196"/>
        <w:rPr>
          <w:rFonts w:hint="eastAsia"/>
          <w:sz w:val="24"/>
          <w:lang w:val="en-US" w:eastAsia="zh-CN"/>
        </w:rPr>
      </w:pPr>
      <w:r>
        <w:rPr>
          <w:rFonts w:hint="eastAsia"/>
          <w:sz w:val="24"/>
          <w:lang w:val="en-US" w:eastAsia="zh-CN"/>
        </w:rPr>
        <w:t>上述气相色谱操作条件是典型的，可根据不同仪器特点，对给定操作参数作适当调整，以获得最佳效果。上述操作条件下的典型色谱图如下图1～2。</w:t>
      </w:r>
    </w:p>
    <w:p>
      <w:pPr>
        <w:jc w:val="center"/>
        <w:rPr>
          <w:rFonts w:hint="eastAsia"/>
          <w:b/>
          <w:szCs w:val="21"/>
        </w:rPr>
      </w:pPr>
      <w:r>
        <w:drawing>
          <wp:inline distT="0" distB="0" distL="114300" distR="114300">
            <wp:extent cx="5135245" cy="2499995"/>
            <wp:effectExtent l="0" t="0" r="0" b="0"/>
            <wp:docPr id="1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pic:cNvPicPr>
                      <a:picLocks noChangeAspect="1"/>
                    </pic:cNvPicPr>
                  </pic:nvPicPr>
                  <pic:blipFill>
                    <a:blip r:embed="rId26"/>
                    <a:stretch>
                      <a:fillRect/>
                    </a:stretch>
                  </pic:blipFill>
                  <pic:spPr>
                    <a:xfrm>
                      <a:off x="0" y="0"/>
                      <a:ext cx="5135245" cy="2499995"/>
                    </a:xfrm>
                    <a:prstGeom prst="rect">
                      <a:avLst/>
                    </a:prstGeom>
                    <a:noFill/>
                    <a:ln w="9525">
                      <a:noFill/>
                    </a:ln>
                  </pic:spPr>
                </pic:pic>
              </a:graphicData>
            </a:graphic>
          </wp:inline>
        </w:drawing>
      </w:r>
    </w:p>
    <w:p>
      <w:pPr>
        <w:jc w:val="center"/>
        <w:rPr>
          <w:rFonts w:hint="eastAsia" w:hAnsi="宋体"/>
          <w:sz w:val="15"/>
          <w:szCs w:val="15"/>
        </w:rPr>
      </w:pPr>
      <w:r>
        <w:rPr>
          <w:rFonts w:hAnsi="宋体"/>
          <w:sz w:val="15"/>
          <w:szCs w:val="15"/>
        </w:rPr>
        <w:t>图</w:t>
      </w:r>
      <w:r>
        <w:rPr>
          <w:sz w:val="15"/>
          <w:szCs w:val="15"/>
        </w:rPr>
        <w:t xml:space="preserve">1 </w:t>
      </w:r>
      <w:r>
        <w:rPr>
          <w:rFonts w:hAnsi="宋体"/>
          <w:sz w:val="15"/>
          <w:szCs w:val="15"/>
        </w:rPr>
        <w:t>气相色谱图（</w:t>
      </w:r>
      <w:r>
        <w:rPr>
          <w:sz w:val="15"/>
          <w:szCs w:val="15"/>
        </w:rPr>
        <w:t>DB-1701</w:t>
      </w:r>
      <w:r>
        <w:rPr>
          <w:rFonts w:hAnsi="宋体"/>
          <w:sz w:val="15"/>
          <w:szCs w:val="15"/>
        </w:rPr>
        <w:t>色谱柱）</w:t>
      </w:r>
    </w:p>
    <w:p>
      <w:pPr>
        <w:jc w:val="center"/>
        <w:rPr>
          <w:rFonts w:hint="eastAsia" w:hAnsi="宋体"/>
          <w:sz w:val="15"/>
          <w:szCs w:val="15"/>
        </w:rPr>
      </w:pPr>
      <w:r>
        <w:drawing>
          <wp:inline distT="0" distB="0" distL="114300" distR="114300">
            <wp:extent cx="5160645" cy="2388235"/>
            <wp:effectExtent l="0" t="0" r="0" b="0"/>
            <wp:docPr id="1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7"/>
                    <pic:cNvPicPr>
                      <a:picLocks noChangeAspect="1"/>
                    </pic:cNvPicPr>
                  </pic:nvPicPr>
                  <pic:blipFill>
                    <a:blip r:embed="rId27"/>
                    <a:stretch>
                      <a:fillRect/>
                    </a:stretch>
                  </pic:blipFill>
                  <pic:spPr>
                    <a:xfrm>
                      <a:off x="0" y="0"/>
                      <a:ext cx="5160645" cy="2388235"/>
                    </a:xfrm>
                    <a:prstGeom prst="rect">
                      <a:avLst/>
                    </a:prstGeom>
                    <a:noFill/>
                    <a:ln w="9525">
                      <a:noFill/>
                    </a:ln>
                  </pic:spPr>
                </pic:pic>
              </a:graphicData>
            </a:graphic>
          </wp:inline>
        </w:drawing>
      </w:r>
    </w:p>
    <w:p>
      <w:pPr>
        <w:jc w:val="center"/>
        <w:rPr>
          <w:sz w:val="15"/>
          <w:szCs w:val="15"/>
        </w:rPr>
      </w:pPr>
      <w:r>
        <w:rPr>
          <w:rFonts w:hAnsi="宋体"/>
          <w:sz w:val="15"/>
          <w:szCs w:val="15"/>
        </w:rPr>
        <w:t>图</w:t>
      </w:r>
      <w:r>
        <w:rPr>
          <w:sz w:val="15"/>
          <w:szCs w:val="15"/>
        </w:rPr>
        <w:t xml:space="preserve">2 </w:t>
      </w:r>
      <w:r>
        <w:rPr>
          <w:rFonts w:hAnsi="宋体"/>
          <w:sz w:val="15"/>
          <w:szCs w:val="15"/>
        </w:rPr>
        <w:t>气相色谱图（</w:t>
      </w:r>
      <w:r>
        <w:rPr>
          <w:sz w:val="15"/>
          <w:szCs w:val="15"/>
        </w:rPr>
        <w:t>DB- 5</w:t>
      </w:r>
      <w:r>
        <w:rPr>
          <w:rFonts w:hAnsi="宋体"/>
          <w:sz w:val="15"/>
          <w:szCs w:val="15"/>
        </w:rPr>
        <w:t>色谱柱）</w:t>
      </w:r>
    </w:p>
    <w:p>
      <w:pPr>
        <w:rPr>
          <w:rFonts w:hint="eastAsia" w:ascii="仿宋_GB2312" w:eastAsia="仿宋_GB2312" w:cs="宋体"/>
          <w:b w:val="0"/>
          <w:bCs w:val="0"/>
          <w:sz w:val="21"/>
          <w:szCs w:val="21"/>
          <w:highlight w:val="cyan"/>
          <w:lang w:val="en-US" w:eastAsia="zh-CN"/>
        </w:rPr>
      </w:pPr>
    </w:p>
    <w:bookmarkEnd w:id="74"/>
    <w:p>
      <w:pPr>
        <w:pStyle w:val="3"/>
        <w:rPr>
          <w:rFonts w:hint="eastAsia" w:ascii="仿宋_GB2312" w:eastAsia="仿宋_GB2312" w:cs="Times New Roman"/>
          <w:sz w:val="24"/>
          <w:szCs w:val="24"/>
        </w:rPr>
      </w:pPr>
      <w:bookmarkStart w:id="76" w:name="_Toc351536405"/>
      <w:bookmarkStart w:id="77" w:name="_Toc8882_WPSOffice_Level2"/>
      <w:bookmarkStart w:id="78" w:name="_Toc11657_WPSOffice_Level2"/>
      <w:r>
        <w:rPr>
          <w:rFonts w:hint="eastAsia" w:ascii="仿宋_GB2312" w:eastAsia="仿宋_GB2312"/>
          <w:sz w:val="24"/>
          <w:szCs w:val="24"/>
        </w:rPr>
        <w:t xml:space="preserve">4.3 </w:t>
      </w:r>
      <w:r>
        <w:rPr>
          <w:rFonts w:hint="eastAsia" w:ascii="仿宋_GB2312" w:eastAsia="仿宋_GB2312" w:cs="黑体"/>
          <w:sz w:val="24"/>
          <w:szCs w:val="24"/>
        </w:rPr>
        <w:t>样品前处理条件的确定</w:t>
      </w:r>
      <w:bookmarkEnd w:id="76"/>
      <w:bookmarkEnd w:id="77"/>
      <w:bookmarkEnd w:id="78"/>
    </w:p>
    <w:p>
      <w:pPr>
        <w:pStyle w:val="4"/>
        <w:ind w:firstLine="241" w:firstLineChars="100"/>
        <w:rPr>
          <w:rFonts w:hint="eastAsia" w:ascii="仿宋_GB2312" w:eastAsia="仿宋_GB2312"/>
          <w:sz w:val="24"/>
          <w:szCs w:val="24"/>
        </w:rPr>
      </w:pPr>
      <w:bookmarkStart w:id="79" w:name="_Toc351536406"/>
      <w:r>
        <w:rPr>
          <w:rFonts w:hint="eastAsia" w:ascii="仿宋_GB2312" w:eastAsia="仿宋_GB2312"/>
          <w:sz w:val="24"/>
          <w:szCs w:val="24"/>
        </w:rPr>
        <w:t>4.3.1</w:t>
      </w:r>
      <w:r>
        <w:rPr>
          <w:rFonts w:hint="eastAsia" w:ascii="仿宋_GB2312" w:eastAsia="仿宋_GB2312"/>
          <w:sz w:val="24"/>
          <w:szCs w:val="24"/>
          <w:lang w:val="en-US" w:eastAsia="zh-CN"/>
        </w:rPr>
        <w:t>提取溶剂</w:t>
      </w:r>
      <w:r>
        <w:rPr>
          <w:rFonts w:hint="eastAsia" w:ascii="仿宋_GB2312" w:eastAsia="仿宋_GB2312" w:cs="宋体"/>
          <w:sz w:val="24"/>
          <w:szCs w:val="24"/>
        </w:rPr>
        <w:t>的选择</w:t>
      </w:r>
      <w:bookmarkEnd w:id="79"/>
    </w:p>
    <w:p>
      <w:pPr>
        <w:spacing w:line="520" w:lineRule="exact"/>
        <w:ind w:firstLine="470" w:firstLineChars="196"/>
        <w:rPr>
          <w:rFonts w:hint="eastAsia" w:ascii="仿宋_GB2312" w:eastAsia="仿宋_GB2312" w:cs="Times New Roman"/>
          <w:sz w:val="24"/>
          <w:szCs w:val="24"/>
          <w:highlight w:val="cyan"/>
          <w:lang w:val="en-US"/>
        </w:rPr>
      </w:pPr>
      <w:r>
        <w:rPr>
          <w:rFonts w:hint="eastAsia"/>
          <w:sz w:val="24"/>
          <w:szCs w:val="24"/>
          <w:lang w:val="en-US" w:eastAsia="zh-CN"/>
        </w:rPr>
        <w:t>根据所需检测的11种有机磷农药成分的理化性质分，易溶于丙酮，在丙酮中有较大的溶解度，因此选择丙酮作为提取溶剂。</w:t>
      </w:r>
    </w:p>
    <w:p>
      <w:pPr>
        <w:pStyle w:val="4"/>
        <w:ind w:firstLine="241" w:firstLineChars="100"/>
        <w:rPr>
          <w:rFonts w:hint="eastAsia" w:ascii="仿宋_GB2312" w:eastAsia="仿宋_GB2312"/>
          <w:sz w:val="24"/>
          <w:szCs w:val="24"/>
          <w:lang w:val="en-US" w:eastAsia="zh-CN"/>
        </w:rPr>
      </w:pPr>
      <w:r>
        <w:rPr>
          <w:rFonts w:hint="eastAsia" w:ascii="仿宋_GB2312" w:eastAsia="仿宋_GB2312"/>
          <w:sz w:val="24"/>
          <w:szCs w:val="24"/>
          <w:lang w:val="en-US" w:eastAsia="zh-CN"/>
        </w:rPr>
        <w:t>4.3.2</w:t>
      </w:r>
      <w:r>
        <w:rPr>
          <w:rFonts w:hint="eastAsia" w:ascii="仿宋_GB2312" w:eastAsia="仿宋_GB2312"/>
          <w:sz w:val="24"/>
          <w:szCs w:val="24"/>
        </w:rPr>
        <w:t>样品提取方法</w:t>
      </w:r>
      <w:r>
        <w:rPr>
          <w:rFonts w:hint="eastAsia" w:ascii="仿宋_GB2312" w:eastAsia="仿宋_GB2312"/>
          <w:sz w:val="24"/>
          <w:szCs w:val="24"/>
          <w:lang w:val="en-US" w:eastAsia="zh-CN"/>
        </w:rPr>
        <w:t>的确定</w:t>
      </w:r>
    </w:p>
    <w:p>
      <w:pPr>
        <w:spacing w:line="520" w:lineRule="exact"/>
        <w:ind w:firstLine="470" w:firstLineChars="196"/>
        <w:rPr>
          <w:rFonts w:hint="eastAsia"/>
          <w:sz w:val="24"/>
          <w:lang w:val="en-US" w:eastAsia="zh-CN"/>
        </w:rPr>
      </w:pPr>
      <w:r>
        <w:rPr>
          <w:rFonts w:hint="eastAsia"/>
          <w:sz w:val="24"/>
          <w:lang w:val="en-US" w:eastAsia="zh-CN"/>
        </w:rPr>
        <w:t>采用样品添加回收率实验验证比较了涡旋振荡提取和超声提取两种方式。准确称取0.1 g农药样品，准确加入5 mg质量的农药，制成样品添加体积分数为5%的样品后，分别采用涡旋振荡提取和超声提取两种方式，提取液按上述进行样品处理，上仪器检测，计算其样品添加回收率。实验结果表明，涡旋振荡提取和超声提取的农药回收率范围均在70%～110%之间。涡旋振荡提取法已操作掌握，具有操作时间短，试剂消耗少等优点，故采用涡旋振荡法提取样品更加方便快捷。</w:t>
      </w:r>
    </w:p>
    <w:p>
      <w:pPr>
        <w:spacing w:line="520" w:lineRule="exact"/>
        <w:ind w:firstLine="470" w:firstLineChars="196"/>
        <w:rPr>
          <w:rFonts w:hint="eastAsia"/>
          <w:sz w:val="24"/>
          <w:lang w:val="en-US" w:eastAsia="zh-CN"/>
        </w:rPr>
      </w:pPr>
      <w:r>
        <w:rPr>
          <w:rFonts w:hint="eastAsia"/>
          <w:sz w:val="24"/>
          <w:lang w:val="en-US" w:eastAsia="zh-CN"/>
        </w:rPr>
        <w:t>因此样品前处理条件确定为：</w:t>
      </w:r>
    </w:p>
    <w:p>
      <w:pPr>
        <w:spacing w:line="520" w:lineRule="exact"/>
        <w:ind w:firstLine="470" w:firstLineChars="196"/>
        <w:rPr>
          <w:rFonts w:hint="eastAsia"/>
          <w:sz w:val="24"/>
          <w:lang w:val="en-US" w:eastAsia="zh-CN"/>
        </w:rPr>
      </w:pPr>
      <w:r>
        <w:rPr>
          <w:rFonts w:hint="eastAsia"/>
          <w:sz w:val="24"/>
          <w:lang w:val="en-US" w:eastAsia="zh-CN"/>
        </w:rPr>
        <w:t>准确称取标准物质（精确至0.0002g）称样量见附录B，于同一10mL容量瓶中，用丙酮做溶剂稀释定容，配制成混合农药标准储备液。准确吸取1.0mL农药标准储备液于25mL具塞试管中，用移液管准确加入10mL内标溶液，丙酮稀释摇匀，待测。</w:t>
      </w:r>
    </w:p>
    <w:p>
      <w:pPr>
        <w:pStyle w:val="4"/>
        <w:ind w:firstLine="241" w:firstLineChars="100"/>
        <w:rPr>
          <w:rFonts w:hint="eastAsia" w:ascii="仿宋_GB2312" w:eastAsia="仿宋_GB2312"/>
          <w:sz w:val="24"/>
          <w:szCs w:val="24"/>
          <w:lang w:val="en-US" w:eastAsia="zh-CN"/>
        </w:rPr>
      </w:pPr>
      <w:bookmarkStart w:id="80" w:name="_Toc351536408"/>
      <w:r>
        <w:rPr>
          <w:rFonts w:hint="eastAsia" w:ascii="仿宋_GB2312" w:eastAsia="仿宋_GB2312"/>
          <w:sz w:val="24"/>
          <w:szCs w:val="24"/>
          <w:lang w:val="en-US" w:eastAsia="zh-CN"/>
        </w:rPr>
        <w:t>4.3.3 检测样品种类的确定</w:t>
      </w:r>
      <w:bookmarkEnd w:id="80"/>
    </w:p>
    <w:p>
      <w:pPr>
        <w:spacing w:line="520" w:lineRule="exact"/>
        <w:ind w:firstLine="470" w:firstLineChars="196"/>
        <w:rPr>
          <w:rFonts w:hint="eastAsia"/>
          <w:sz w:val="24"/>
          <w:lang w:val="en-US" w:eastAsia="zh-CN"/>
        </w:rPr>
      </w:pPr>
      <w:r>
        <w:rPr>
          <w:rFonts w:hint="eastAsia"/>
          <w:sz w:val="24"/>
          <w:lang w:val="en-US" w:eastAsia="zh-CN"/>
        </w:rPr>
        <w:t>本标准的研究范围为乳油型农药中隐形禁用有机磷农药的测定，因此，主要针对乳油型农药，不包括悬乳剂、水基型、可湿性粉剂型等其他剂型农药。</w:t>
      </w:r>
    </w:p>
    <w:p>
      <w:pPr>
        <w:pStyle w:val="3"/>
        <w:rPr>
          <w:rFonts w:hint="eastAsia" w:ascii="仿宋_GB2312" w:eastAsia="仿宋_GB2312"/>
          <w:sz w:val="24"/>
          <w:szCs w:val="24"/>
        </w:rPr>
      </w:pPr>
      <w:bookmarkStart w:id="81" w:name="_Toc351536409"/>
      <w:bookmarkStart w:id="82" w:name="_Toc25782_WPSOffice_Level2"/>
      <w:bookmarkStart w:id="83" w:name="_Toc11507_WPSOffice_Level2"/>
      <w:r>
        <w:rPr>
          <w:rFonts w:hint="eastAsia" w:ascii="仿宋_GB2312" w:eastAsia="仿宋_GB2312"/>
          <w:sz w:val="24"/>
          <w:szCs w:val="24"/>
        </w:rPr>
        <w:t>4.4 方法的特异性</w:t>
      </w:r>
      <w:bookmarkEnd w:id="81"/>
      <w:bookmarkEnd w:id="82"/>
      <w:bookmarkEnd w:id="83"/>
    </w:p>
    <w:p>
      <w:pPr>
        <w:spacing w:line="520" w:lineRule="exact"/>
        <w:ind w:firstLine="470" w:firstLineChars="196"/>
        <w:rPr>
          <w:rFonts w:hint="eastAsia"/>
          <w:sz w:val="24"/>
          <w:lang w:val="en-US" w:eastAsia="zh-CN"/>
        </w:rPr>
      </w:pPr>
      <w:r>
        <w:rPr>
          <w:rFonts w:hint="eastAsia"/>
          <w:sz w:val="24"/>
          <w:lang w:val="en-US" w:eastAsia="zh-CN"/>
        </w:rPr>
        <w:t>方法的特异性是指在确定的分析条件下，分析方法检测和区分共存组分中目标化合物的能力。需要说明的是该方法检测信号仅与被检测组分有关，与其他化合物无关。说明采用的分析技术需要克服作何可预见的干扰，特别是来自基质组份的干扰。</w:t>
      </w:r>
    </w:p>
    <w:p>
      <w:pPr>
        <w:spacing w:line="520" w:lineRule="exact"/>
        <w:ind w:firstLine="470" w:firstLineChars="196"/>
        <w:rPr>
          <w:rFonts w:hint="eastAsia"/>
          <w:sz w:val="24"/>
          <w:lang w:val="en-US" w:eastAsia="zh-CN"/>
        </w:rPr>
      </w:pPr>
      <w:r>
        <w:rPr>
          <w:rFonts w:hint="eastAsia"/>
          <w:sz w:val="24"/>
          <w:lang w:val="en-US" w:eastAsia="zh-CN"/>
        </w:rPr>
        <w:t>确定特异性的方法：一般应以具有代表性的样本基质和样本基质添加被测组分的样品，按照确定的样品前处理方法处理后进行分析，考察基质中存在的得的质是否对被测组分存在干扰。</w:t>
      </w:r>
    </w:p>
    <w:p>
      <w:pPr>
        <w:spacing w:line="520" w:lineRule="exact"/>
        <w:ind w:firstLine="470" w:firstLineChars="196"/>
        <w:rPr>
          <w:rFonts w:hint="eastAsia"/>
          <w:sz w:val="24"/>
          <w:lang w:val="en-US" w:eastAsia="zh-CN"/>
        </w:rPr>
      </w:pPr>
      <w:r>
        <w:rPr>
          <w:rFonts w:hint="eastAsia"/>
          <w:sz w:val="24"/>
          <w:lang w:val="en-US" w:eastAsia="zh-CN"/>
        </w:rPr>
        <w:t>本试验做了相关样本基质和加标试验，由于检测的禁用有机磷成分在大多数乳油型农药中并不含有，因此，我们选择了几种类别的乳油型农药基质来进行添加回收，结果见表1.</w:t>
      </w:r>
    </w:p>
    <w:p>
      <w:pPr>
        <w:ind w:firstLine="482"/>
        <w:jc w:val="center"/>
        <w:rPr>
          <w:rFonts w:hint="eastAsia" w:hAnsi="宋体"/>
          <w:b/>
          <w:szCs w:val="21"/>
        </w:rPr>
      </w:pPr>
      <w:r>
        <w:rPr>
          <w:rFonts w:hAnsi="宋体"/>
          <w:b/>
          <w:szCs w:val="21"/>
        </w:rPr>
        <w:t>表</w:t>
      </w:r>
      <w:r>
        <w:rPr>
          <w:rFonts w:hint="eastAsia" w:hAnsi="宋体"/>
          <w:b/>
          <w:szCs w:val="21"/>
        </w:rPr>
        <w:t>2</w:t>
      </w:r>
      <w:r>
        <w:rPr>
          <w:rFonts w:hAnsi="宋体"/>
          <w:b/>
          <w:szCs w:val="21"/>
        </w:rPr>
        <w:t xml:space="preserve"> </w:t>
      </w:r>
      <w:r>
        <w:rPr>
          <w:rFonts w:hint="eastAsia" w:hAnsi="宋体"/>
          <w:b/>
          <w:szCs w:val="21"/>
        </w:rPr>
        <w:t xml:space="preserve"> 加标</w:t>
      </w:r>
      <w:r>
        <w:rPr>
          <w:rFonts w:hAnsi="宋体"/>
          <w:b/>
          <w:szCs w:val="21"/>
        </w:rPr>
        <w:t>回收率实验</w:t>
      </w:r>
      <w:r>
        <w:rPr>
          <w:rFonts w:hint="eastAsia" w:hAnsi="宋体"/>
          <w:b/>
          <w:szCs w:val="21"/>
        </w:rPr>
        <w:t>数据</w:t>
      </w:r>
    </w:p>
    <w:tbl>
      <w:tblPr>
        <w:tblStyle w:val="10"/>
        <w:tblW w:w="6440" w:type="dxa"/>
        <w:jc w:val="center"/>
        <w:tblInd w:w="0" w:type="dxa"/>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33"/>
        <w:gridCol w:w="1297"/>
        <w:gridCol w:w="1358"/>
        <w:gridCol w:w="1420"/>
        <w:gridCol w:w="1332"/>
      </w:tblGrid>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15" w:hRule="atLeast"/>
          <w:jc w:val="center"/>
        </w:trPr>
        <w:tc>
          <w:tcPr>
            <w:tcW w:w="1033" w:type="dxa"/>
            <w:tcBorders>
              <w:top w:val="single" w:color="000000" w:sz="12" w:space="0"/>
              <w:bottom w:val="single" w:color="000000" w:sz="8" w:space="0"/>
            </w:tcBorders>
            <w:shd w:val="clear" w:color="auto" w:fill="auto"/>
            <w:noWrap w:val="0"/>
            <w:vAlign w:val="center"/>
          </w:tcPr>
          <w:p>
            <w:pPr>
              <w:widowControl/>
              <w:spacing w:line="200" w:lineRule="exact"/>
              <w:rPr>
                <w:rFonts w:hint="eastAsia" w:hAnsi="宋体"/>
                <w:kern w:val="0"/>
                <w:sz w:val="15"/>
                <w:szCs w:val="15"/>
              </w:rPr>
            </w:pPr>
          </w:p>
        </w:tc>
        <w:tc>
          <w:tcPr>
            <w:tcW w:w="1297" w:type="dxa"/>
            <w:tcBorders>
              <w:top w:val="single" w:color="000000" w:sz="12" w:space="0"/>
              <w:bottom w:val="single" w:color="000000" w:sz="8" w:space="0"/>
            </w:tcBorders>
            <w:shd w:val="clear" w:color="auto" w:fill="auto"/>
            <w:noWrap w:val="0"/>
            <w:vAlign w:val="center"/>
          </w:tcPr>
          <w:p>
            <w:pPr>
              <w:widowControl/>
              <w:spacing w:line="200" w:lineRule="exact"/>
              <w:jc w:val="center"/>
              <w:rPr>
                <w:kern w:val="0"/>
                <w:sz w:val="15"/>
                <w:szCs w:val="15"/>
              </w:rPr>
            </w:pPr>
            <w:r>
              <w:rPr>
                <w:rFonts w:hint="eastAsia" w:hAnsi="宋体"/>
                <w:kern w:val="0"/>
                <w:sz w:val="15"/>
                <w:szCs w:val="15"/>
              </w:rPr>
              <w:t>添加</w:t>
            </w:r>
            <w:r>
              <w:rPr>
                <w:rFonts w:hAnsi="宋体"/>
                <w:kern w:val="0"/>
                <w:sz w:val="15"/>
                <w:szCs w:val="15"/>
              </w:rPr>
              <w:t>农药</w:t>
            </w:r>
          </w:p>
        </w:tc>
        <w:tc>
          <w:tcPr>
            <w:tcW w:w="1358" w:type="dxa"/>
            <w:tcBorders>
              <w:top w:val="single" w:color="000000" w:sz="12" w:space="0"/>
              <w:bottom w:val="single" w:color="000000" w:sz="8" w:space="0"/>
            </w:tcBorders>
            <w:shd w:val="clear" w:color="auto" w:fill="auto"/>
            <w:noWrap w:val="0"/>
            <w:vAlign w:val="center"/>
          </w:tcPr>
          <w:p>
            <w:pPr>
              <w:widowControl/>
              <w:spacing w:line="200" w:lineRule="exact"/>
              <w:jc w:val="center"/>
              <w:rPr>
                <w:rFonts w:hint="eastAsia"/>
                <w:kern w:val="0"/>
                <w:sz w:val="15"/>
                <w:szCs w:val="15"/>
              </w:rPr>
            </w:pPr>
            <w:r>
              <w:rPr>
                <w:rFonts w:hint="eastAsia" w:hAnsi="宋体"/>
                <w:kern w:val="0"/>
                <w:sz w:val="15"/>
                <w:szCs w:val="15"/>
              </w:rPr>
              <w:t>添加量</w:t>
            </w:r>
            <w:r>
              <w:rPr>
                <w:kern w:val="0"/>
                <w:sz w:val="15"/>
                <w:szCs w:val="15"/>
              </w:rPr>
              <w:t>/</w:t>
            </w:r>
            <w:r>
              <w:rPr>
                <w:rFonts w:hint="eastAsia"/>
                <w:kern w:val="0"/>
                <w:sz w:val="15"/>
                <w:szCs w:val="15"/>
              </w:rPr>
              <w:t>m/m,</w:t>
            </w:r>
            <w:r>
              <w:rPr>
                <w:kern w:val="0"/>
                <w:sz w:val="15"/>
                <w:szCs w:val="15"/>
              </w:rPr>
              <w:t>%</w:t>
            </w:r>
          </w:p>
        </w:tc>
        <w:tc>
          <w:tcPr>
            <w:tcW w:w="1420" w:type="dxa"/>
            <w:tcBorders>
              <w:top w:val="single" w:color="000000" w:sz="12" w:space="0"/>
              <w:bottom w:val="single" w:color="000000" w:sz="8" w:space="0"/>
            </w:tcBorders>
            <w:shd w:val="clear" w:color="auto" w:fill="auto"/>
            <w:noWrap w:val="0"/>
            <w:vAlign w:val="center"/>
          </w:tcPr>
          <w:p>
            <w:pPr>
              <w:widowControl/>
              <w:spacing w:line="200" w:lineRule="exact"/>
              <w:jc w:val="center"/>
              <w:rPr>
                <w:kern w:val="0"/>
                <w:sz w:val="15"/>
                <w:szCs w:val="15"/>
              </w:rPr>
            </w:pPr>
            <w:r>
              <w:rPr>
                <w:rFonts w:hAnsi="宋体"/>
                <w:kern w:val="0"/>
                <w:sz w:val="15"/>
                <w:szCs w:val="15"/>
              </w:rPr>
              <w:t>平均回收率</w:t>
            </w:r>
            <w:r>
              <w:rPr>
                <w:kern w:val="0"/>
                <w:sz w:val="15"/>
                <w:szCs w:val="15"/>
              </w:rPr>
              <w:t>/%</w:t>
            </w:r>
          </w:p>
        </w:tc>
        <w:tc>
          <w:tcPr>
            <w:tcW w:w="1332" w:type="dxa"/>
            <w:tcBorders>
              <w:top w:val="single" w:color="000000" w:sz="12" w:space="0"/>
              <w:bottom w:val="single" w:color="000000" w:sz="8" w:space="0"/>
            </w:tcBorders>
            <w:noWrap w:val="0"/>
            <w:vAlign w:val="center"/>
          </w:tcPr>
          <w:p>
            <w:pPr>
              <w:widowControl/>
              <w:spacing w:line="200" w:lineRule="exact"/>
              <w:jc w:val="center"/>
              <w:rPr>
                <w:kern w:val="0"/>
                <w:sz w:val="15"/>
                <w:szCs w:val="15"/>
              </w:rPr>
            </w:pPr>
            <w:r>
              <w:rPr>
                <w:kern w:val="0"/>
                <w:sz w:val="15"/>
                <w:szCs w:val="15"/>
              </w:rPr>
              <w:t>RSD</w:t>
            </w:r>
            <w:r>
              <w:rPr>
                <w:rFonts w:hint="eastAsia"/>
                <w:kern w:val="0"/>
                <w:sz w:val="15"/>
                <w:szCs w:val="15"/>
              </w:rPr>
              <w:t>（n=6）</w:t>
            </w:r>
            <w:r>
              <w:rPr>
                <w:kern w:val="0"/>
                <w:sz w:val="15"/>
                <w:szCs w:val="15"/>
              </w:rPr>
              <w:t>/%</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09" w:hRule="atLeast"/>
          <w:jc w:val="center"/>
        </w:trPr>
        <w:tc>
          <w:tcPr>
            <w:tcW w:w="1033" w:type="dxa"/>
            <w:vMerge w:val="restart"/>
            <w:tcBorders>
              <w:top w:val="single" w:color="000000" w:sz="8" w:space="0"/>
            </w:tcBorders>
            <w:shd w:val="clear" w:color="auto" w:fill="auto"/>
            <w:noWrap w:val="0"/>
            <w:vAlign w:val="center"/>
          </w:tcPr>
          <w:p>
            <w:pPr>
              <w:widowControl/>
              <w:spacing w:line="200" w:lineRule="exact"/>
              <w:jc w:val="center"/>
              <w:rPr>
                <w:kern w:val="0"/>
                <w:sz w:val="15"/>
                <w:szCs w:val="15"/>
              </w:rPr>
            </w:pPr>
            <w:r>
              <w:rPr>
                <w:rFonts w:hAnsi="宋体"/>
                <w:sz w:val="15"/>
                <w:szCs w:val="15"/>
              </w:rPr>
              <w:t>敌敌畏</w:t>
            </w:r>
            <w:r>
              <w:rPr>
                <w:rFonts w:hint="eastAsia" w:hAnsi="宋体"/>
                <w:kern w:val="0"/>
                <w:sz w:val="15"/>
                <w:szCs w:val="15"/>
              </w:rPr>
              <w:t>乳油</w:t>
            </w:r>
          </w:p>
        </w:tc>
        <w:tc>
          <w:tcPr>
            <w:tcW w:w="1297" w:type="dxa"/>
            <w:tcBorders>
              <w:top w:val="single" w:color="000000" w:sz="8" w:space="0"/>
            </w:tcBorders>
            <w:shd w:val="clear" w:color="auto" w:fill="auto"/>
            <w:noWrap w:val="0"/>
            <w:vAlign w:val="center"/>
          </w:tcPr>
          <w:p>
            <w:pPr>
              <w:spacing w:line="200" w:lineRule="exact"/>
              <w:jc w:val="center"/>
              <w:rPr>
                <w:sz w:val="15"/>
                <w:szCs w:val="15"/>
              </w:rPr>
            </w:pPr>
            <w:r>
              <w:rPr>
                <w:rFonts w:hAnsi="宋体"/>
                <w:sz w:val="15"/>
                <w:szCs w:val="15"/>
              </w:rPr>
              <w:t>甲胺磷</w:t>
            </w:r>
          </w:p>
        </w:tc>
        <w:tc>
          <w:tcPr>
            <w:tcW w:w="1358" w:type="dxa"/>
            <w:tcBorders>
              <w:top w:val="single" w:color="000000" w:sz="8" w:space="0"/>
            </w:tcBorders>
            <w:shd w:val="clear" w:color="auto" w:fill="auto"/>
            <w:noWrap w:val="0"/>
            <w:vAlign w:val="center"/>
          </w:tcPr>
          <w:p>
            <w:pPr>
              <w:spacing w:line="200" w:lineRule="exact"/>
              <w:jc w:val="center"/>
              <w:rPr>
                <w:sz w:val="15"/>
                <w:szCs w:val="15"/>
              </w:rPr>
            </w:pPr>
            <w:r>
              <w:rPr>
                <w:sz w:val="15"/>
                <w:szCs w:val="15"/>
              </w:rPr>
              <w:t xml:space="preserve">1.563 </w:t>
            </w:r>
          </w:p>
        </w:tc>
        <w:tc>
          <w:tcPr>
            <w:tcW w:w="1420" w:type="dxa"/>
            <w:tcBorders>
              <w:top w:val="single" w:color="000000" w:sz="8" w:space="0"/>
            </w:tcBorders>
            <w:shd w:val="clear" w:color="auto" w:fill="auto"/>
            <w:noWrap w:val="0"/>
            <w:vAlign w:val="center"/>
          </w:tcPr>
          <w:p>
            <w:pPr>
              <w:spacing w:line="200" w:lineRule="exact"/>
              <w:jc w:val="center"/>
              <w:rPr>
                <w:sz w:val="15"/>
                <w:szCs w:val="15"/>
              </w:rPr>
            </w:pPr>
            <w:r>
              <w:rPr>
                <w:sz w:val="15"/>
                <w:szCs w:val="15"/>
              </w:rPr>
              <w:t xml:space="preserve">98.1 </w:t>
            </w:r>
          </w:p>
        </w:tc>
        <w:tc>
          <w:tcPr>
            <w:tcW w:w="1332" w:type="dxa"/>
            <w:tcBorders>
              <w:top w:val="single" w:color="000000" w:sz="8" w:space="0"/>
            </w:tcBorders>
            <w:noWrap w:val="0"/>
            <w:vAlign w:val="center"/>
          </w:tcPr>
          <w:p>
            <w:pPr>
              <w:spacing w:line="200" w:lineRule="exact"/>
              <w:jc w:val="center"/>
              <w:rPr>
                <w:sz w:val="15"/>
                <w:szCs w:val="15"/>
              </w:rPr>
            </w:pPr>
            <w:r>
              <w:rPr>
                <w:sz w:val="15"/>
                <w:szCs w:val="15"/>
              </w:rPr>
              <w:t xml:space="preserve">2.13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15" w:hRule="atLeast"/>
          <w:jc w:val="center"/>
        </w:trPr>
        <w:tc>
          <w:tcPr>
            <w:tcW w:w="1033" w:type="dxa"/>
            <w:vMerge w:val="continue"/>
            <w:shd w:val="clear" w:color="auto" w:fill="auto"/>
            <w:noWrap w:val="0"/>
            <w:vAlign w:val="center"/>
          </w:tcPr>
          <w:p>
            <w:pPr>
              <w:widowControl/>
              <w:spacing w:line="200" w:lineRule="exact"/>
              <w:jc w:val="center"/>
              <w:rPr>
                <w:kern w:val="0"/>
                <w:sz w:val="15"/>
                <w:szCs w:val="15"/>
              </w:rPr>
            </w:pPr>
          </w:p>
        </w:tc>
        <w:tc>
          <w:tcPr>
            <w:tcW w:w="1297" w:type="dxa"/>
            <w:shd w:val="clear" w:color="auto" w:fill="auto"/>
            <w:noWrap w:val="0"/>
            <w:vAlign w:val="center"/>
          </w:tcPr>
          <w:p>
            <w:pPr>
              <w:spacing w:line="200" w:lineRule="exact"/>
              <w:jc w:val="center"/>
              <w:rPr>
                <w:sz w:val="15"/>
                <w:szCs w:val="15"/>
              </w:rPr>
            </w:pPr>
            <w:r>
              <w:rPr>
                <w:rFonts w:hAnsi="宋体"/>
                <w:sz w:val="15"/>
                <w:szCs w:val="15"/>
              </w:rPr>
              <w:t>甲拌磷</w:t>
            </w:r>
          </w:p>
        </w:tc>
        <w:tc>
          <w:tcPr>
            <w:tcW w:w="1358" w:type="dxa"/>
            <w:shd w:val="clear" w:color="auto" w:fill="auto"/>
            <w:noWrap w:val="0"/>
            <w:vAlign w:val="center"/>
          </w:tcPr>
          <w:p>
            <w:pPr>
              <w:spacing w:line="200" w:lineRule="exact"/>
              <w:jc w:val="center"/>
              <w:rPr>
                <w:sz w:val="15"/>
                <w:szCs w:val="15"/>
              </w:rPr>
            </w:pPr>
            <w:r>
              <w:rPr>
                <w:sz w:val="15"/>
                <w:szCs w:val="15"/>
              </w:rPr>
              <w:t xml:space="preserve">0.684 </w:t>
            </w:r>
          </w:p>
        </w:tc>
        <w:tc>
          <w:tcPr>
            <w:tcW w:w="1420" w:type="dxa"/>
            <w:shd w:val="clear" w:color="auto" w:fill="auto"/>
            <w:noWrap w:val="0"/>
            <w:vAlign w:val="center"/>
          </w:tcPr>
          <w:p>
            <w:pPr>
              <w:spacing w:line="200" w:lineRule="exact"/>
              <w:jc w:val="center"/>
              <w:rPr>
                <w:sz w:val="15"/>
                <w:szCs w:val="15"/>
              </w:rPr>
            </w:pPr>
            <w:r>
              <w:rPr>
                <w:sz w:val="15"/>
                <w:szCs w:val="15"/>
              </w:rPr>
              <w:t xml:space="preserve">96.7 </w:t>
            </w:r>
          </w:p>
        </w:tc>
        <w:tc>
          <w:tcPr>
            <w:tcW w:w="1332" w:type="dxa"/>
            <w:noWrap w:val="0"/>
            <w:vAlign w:val="center"/>
          </w:tcPr>
          <w:p>
            <w:pPr>
              <w:spacing w:line="200" w:lineRule="exact"/>
              <w:jc w:val="center"/>
              <w:rPr>
                <w:sz w:val="15"/>
                <w:szCs w:val="15"/>
              </w:rPr>
            </w:pPr>
            <w:r>
              <w:rPr>
                <w:sz w:val="15"/>
                <w:szCs w:val="15"/>
              </w:rPr>
              <w:t xml:space="preserve">2.53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15" w:hRule="atLeast"/>
          <w:jc w:val="center"/>
        </w:trPr>
        <w:tc>
          <w:tcPr>
            <w:tcW w:w="1033" w:type="dxa"/>
            <w:vMerge w:val="continue"/>
            <w:shd w:val="clear" w:color="auto" w:fill="auto"/>
            <w:noWrap w:val="0"/>
            <w:vAlign w:val="center"/>
          </w:tcPr>
          <w:p>
            <w:pPr>
              <w:widowControl/>
              <w:spacing w:line="200" w:lineRule="exact"/>
              <w:jc w:val="center"/>
              <w:rPr>
                <w:kern w:val="0"/>
                <w:sz w:val="15"/>
                <w:szCs w:val="15"/>
              </w:rPr>
            </w:pPr>
          </w:p>
        </w:tc>
        <w:tc>
          <w:tcPr>
            <w:tcW w:w="1297" w:type="dxa"/>
            <w:shd w:val="clear" w:color="auto" w:fill="auto"/>
            <w:noWrap w:val="0"/>
            <w:vAlign w:val="center"/>
          </w:tcPr>
          <w:p>
            <w:pPr>
              <w:spacing w:line="200" w:lineRule="exact"/>
              <w:jc w:val="center"/>
              <w:rPr>
                <w:sz w:val="15"/>
                <w:szCs w:val="15"/>
              </w:rPr>
            </w:pPr>
            <w:r>
              <w:rPr>
                <w:rFonts w:hAnsi="宋体"/>
                <w:sz w:val="15"/>
                <w:szCs w:val="15"/>
              </w:rPr>
              <w:t>治螟磷</w:t>
            </w:r>
          </w:p>
        </w:tc>
        <w:tc>
          <w:tcPr>
            <w:tcW w:w="1358" w:type="dxa"/>
            <w:shd w:val="clear" w:color="auto" w:fill="auto"/>
            <w:noWrap w:val="0"/>
            <w:vAlign w:val="center"/>
          </w:tcPr>
          <w:p>
            <w:pPr>
              <w:spacing w:line="200" w:lineRule="exact"/>
              <w:jc w:val="center"/>
              <w:rPr>
                <w:sz w:val="15"/>
                <w:szCs w:val="15"/>
              </w:rPr>
            </w:pPr>
            <w:r>
              <w:rPr>
                <w:sz w:val="15"/>
                <w:szCs w:val="15"/>
              </w:rPr>
              <w:t xml:space="preserve">0.922 </w:t>
            </w:r>
          </w:p>
        </w:tc>
        <w:tc>
          <w:tcPr>
            <w:tcW w:w="1420" w:type="dxa"/>
            <w:shd w:val="clear" w:color="auto" w:fill="auto"/>
            <w:noWrap w:val="0"/>
            <w:vAlign w:val="center"/>
          </w:tcPr>
          <w:p>
            <w:pPr>
              <w:spacing w:line="200" w:lineRule="exact"/>
              <w:jc w:val="center"/>
              <w:rPr>
                <w:sz w:val="15"/>
                <w:szCs w:val="15"/>
              </w:rPr>
            </w:pPr>
            <w:r>
              <w:rPr>
                <w:sz w:val="15"/>
                <w:szCs w:val="15"/>
              </w:rPr>
              <w:t xml:space="preserve">100.3 </w:t>
            </w:r>
          </w:p>
        </w:tc>
        <w:tc>
          <w:tcPr>
            <w:tcW w:w="1332" w:type="dxa"/>
            <w:noWrap w:val="0"/>
            <w:vAlign w:val="center"/>
          </w:tcPr>
          <w:p>
            <w:pPr>
              <w:spacing w:line="200" w:lineRule="exact"/>
              <w:jc w:val="center"/>
              <w:rPr>
                <w:sz w:val="15"/>
                <w:szCs w:val="15"/>
              </w:rPr>
            </w:pPr>
            <w:r>
              <w:rPr>
                <w:sz w:val="15"/>
                <w:szCs w:val="15"/>
              </w:rPr>
              <w:t xml:space="preserve">1.70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15" w:hRule="atLeast"/>
          <w:jc w:val="center"/>
        </w:trPr>
        <w:tc>
          <w:tcPr>
            <w:tcW w:w="1033" w:type="dxa"/>
            <w:vMerge w:val="continue"/>
            <w:shd w:val="clear" w:color="auto" w:fill="auto"/>
            <w:noWrap w:val="0"/>
            <w:vAlign w:val="center"/>
          </w:tcPr>
          <w:p>
            <w:pPr>
              <w:widowControl/>
              <w:spacing w:line="200" w:lineRule="exact"/>
              <w:jc w:val="center"/>
              <w:rPr>
                <w:kern w:val="0"/>
                <w:sz w:val="15"/>
                <w:szCs w:val="15"/>
              </w:rPr>
            </w:pPr>
          </w:p>
        </w:tc>
        <w:tc>
          <w:tcPr>
            <w:tcW w:w="1297" w:type="dxa"/>
            <w:shd w:val="clear" w:color="auto" w:fill="auto"/>
            <w:noWrap w:val="0"/>
            <w:vAlign w:val="center"/>
          </w:tcPr>
          <w:p>
            <w:pPr>
              <w:spacing w:line="200" w:lineRule="exact"/>
              <w:jc w:val="center"/>
              <w:rPr>
                <w:sz w:val="15"/>
                <w:szCs w:val="15"/>
              </w:rPr>
            </w:pPr>
            <w:r>
              <w:rPr>
                <w:rFonts w:hAnsi="宋体"/>
                <w:sz w:val="15"/>
                <w:szCs w:val="15"/>
              </w:rPr>
              <w:t>氧乐果</w:t>
            </w:r>
          </w:p>
        </w:tc>
        <w:tc>
          <w:tcPr>
            <w:tcW w:w="1358" w:type="dxa"/>
            <w:shd w:val="clear" w:color="auto" w:fill="auto"/>
            <w:noWrap w:val="0"/>
            <w:vAlign w:val="center"/>
          </w:tcPr>
          <w:p>
            <w:pPr>
              <w:spacing w:line="200" w:lineRule="exact"/>
              <w:jc w:val="center"/>
              <w:rPr>
                <w:sz w:val="15"/>
                <w:szCs w:val="15"/>
              </w:rPr>
            </w:pPr>
            <w:r>
              <w:rPr>
                <w:sz w:val="15"/>
                <w:szCs w:val="15"/>
              </w:rPr>
              <w:t xml:space="preserve">0.636 </w:t>
            </w:r>
          </w:p>
        </w:tc>
        <w:tc>
          <w:tcPr>
            <w:tcW w:w="1420" w:type="dxa"/>
            <w:shd w:val="clear" w:color="auto" w:fill="auto"/>
            <w:noWrap w:val="0"/>
            <w:vAlign w:val="center"/>
          </w:tcPr>
          <w:p>
            <w:pPr>
              <w:spacing w:line="200" w:lineRule="exact"/>
              <w:jc w:val="center"/>
              <w:rPr>
                <w:sz w:val="15"/>
                <w:szCs w:val="15"/>
              </w:rPr>
            </w:pPr>
            <w:r>
              <w:rPr>
                <w:sz w:val="15"/>
                <w:szCs w:val="15"/>
              </w:rPr>
              <w:t xml:space="preserve">93.2 </w:t>
            </w:r>
          </w:p>
        </w:tc>
        <w:tc>
          <w:tcPr>
            <w:tcW w:w="1332" w:type="dxa"/>
            <w:noWrap w:val="0"/>
            <w:vAlign w:val="center"/>
          </w:tcPr>
          <w:p>
            <w:pPr>
              <w:spacing w:line="200" w:lineRule="exact"/>
              <w:jc w:val="center"/>
              <w:rPr>
                <w:sz w:val="15"/>
                <w:szCs w:val="15"/>
              </w:rPr>
            </w:pPr>
            <w:r>
              <w:rPr>
                <w:sz w:val="15"/>
                <w:szCs w:val="15"/>
              </w:rPr>
              <w:t xml:space="preserve">2.10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15" w:hRule="atLeast"/>
          <w:jc w:val="center"/>
        </w:trPr>
        <w:tc>
          <w:tcPr>
            <w:tcW w:w="1033" w:type="dxa"/>
            <w:vMerge w:val="continue"/>
            <w:shd w:val="clear" w:color="auto" w:fill="auto"/>
            <w:noWrap w:val="0"/>
            <w:vAlign w:val="center"/>
          </w:tcPr>
          <w:p>
            <w:pPr>
              <w:widowControl/>
              <w:spacing w:line="200" w:lineRule="exact"/>
              <w:jc w:val="center"/>
              <w:rPr>
                <w:kern w:val="0"/>
                <w:sz w:val="15"/>
                <w:szCs w:val="15"/>
              </w:rPr>
            </w:pPr>
          </w:p>
        </w:tc>
        <w:tc>
          <w:tcPr>
            <w:tcW w:w="1297" w:type="dxa"/>
            <w:shd w:val="clear" w:color="auto" w:fill="auto"/>
            <w:noWrap w:val="0"/>
            <w:vAlign w:val="center"/>
          </w:tcPr>
          <w:p>
            <w:pPr>
              <w:spacing w:line="200" w:lineRule="exact"/>
              <w:jc w:val="center"/>
              <w:rPr>
                <w:sz w:val="15"/>
                <w:szCs w:val="15"/>
              </w:rPr>
            </w:pPr>
            <w:r>
              <w:rPr>
                <w:rFonts w:hAnsi="宋体"/>
                <w:sz w:val="15"/>
                <w:szCs w:val="15"/>
              </w:rPr>
              <w:t>特丁硫磷</w:t>
            </w:r>
          </w:p>
        </w:tc>
        <w:tc>
          <w:tcPr>
            <w:tcW w:w="1358" w:type="dxa"/>
            <w:shd w:val="clear" w:color="auto" w:fill="auto"/>
            <w:noWrap w:val="0"/>
            <w:vAlign w:val="center"/>
          </w:tcPr>
          <w:p>
            <w:pPr>
              <w:spacing w:line="200" w:lineRule="exact"/>
              <w:jc w:val="center"/>
              <w:rPr>
                <w:sz w:val="15"/>
                <w:szCs w:val="15"/>
              </w:rPr>
            </w:pPr>
            <w:r>
              <w:rPr>
                <w:sz w:val="15"/>
                <w:szCs w:val="15"/>
              </w:rPr>
              <w:t xml:space="preserve">0.426 </w:t>
            </w:r>
          </w:p>
        </w:tc>
        <w:tc>
          <w:tcPr>
            <w:tcW w:w="1420" w:type="dxa"/>
            <w:shd w:val="clear" w:color="auto" w:fill="auto"/>
            <w:noWrap w:val="0"/>
            <w:vAlign w:val="center"/>
          </w:tcPr>
          <w:p>
            <w:pPr>
              <w:spacing w:line="200" w:lineRule="exact"/>
              <w:jc w:val="center"/>
              <w:rPr>
                <w:sz w:val="15"/>
                <w:szCs w:val="15"/>
              </w:rPr>
            </w:pPr>
            <w:r>
              <w:rPr>
                <w:sz w:val="15"/>
                <w:szCs w:val="15"/>
              </w:rPr>
              <w:t xml:space="preserve">95.3 </w:t>
            </w:r>
          </w:p>
        </w:tc>
        <w:tc>
          <w:tcPr>
            <w:tcW w:w="1332" w:type="dxa"/>
            <w:noWrap w:val="0"/>
            <w:vAlign w:val="center"/>
          </w:tcPr>
          <w:p>
            <w:pPr>
              <w:spacing w:line="200" w:lineRule="exact"/>
              <w:jc w:val="center"/>
              <w:rPr>
                <w:sz w:val="15"/>
                <w:szCs w:val="15"/>
              </w:rPr>
            </w:pPr>
            <w:r>
              <w:rPr>
                <w:sz w:val="15"/>
                <w:szCs w:val="15"/>
              </w:rPr>
              <w:t xml:space="preserve">2.92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15" w:hRule="atLeast"/>
          <w:jc w:val="center"/>
        </w:trPr>
        <w:tc>
          <w:tcPr>
            <w:tcW w:w="1033" w:type="dxa"/>
            <w:vMerge w:val="continue"/>
            <w:shd w:val="clear" w:color="auto" w:fill="auto"/>
            <w:noWrap w:val="0"/>
            <w:vAlign w:val="center"/>
          </w:tcPr>
          <w:p>
            <w:pPr>
              <w:widowControl/>
              <w:spacing w:line="200" w:lineRule="exact"/>
              <w:jc w:val="center"/>
              <w:rPr>
                <w:kern w:val="0"/>
                <w:sz w:val="15"/>
                <w:szCs w:val="15"/>
              </w:rPr>
            </w:pPr>
          </w:p>
        </w:tc>
        <w:tc>
          <w:tcPr>
            <w:tcW w:w="1297" w:type="dxa"/>
            <w:shd w:val="clear" w:color="auto" w:fill="auto"/>
            <w:noWrap w:val="0"/>
            <w:vAlign w:val="center"/>
          </w:tcPr>
          <w:p>
            <w:pPr>
              <w:spacing w:line="200" w:lineRule="exact"/>
              <w:jc w:val="center"/>
              <w:rPr>
                <w:sz w:val="15"/>
                <w:szCs w:val="15"/>
              </w:rPr>
            </w:pPr>
            <w:r>
              <w:rPr>
                <w:rFonts w:hAnsi="宋体"/>
                <w:sz w:val="15"/>
                <w:szCs w:val="15"/>
              </w:rPr>
              <w:t>久效磷</w:t>
            </w:r>
          </w:p>
        </w:tc>
        <w:tc>
          <w:tcPr>
            <w:tcW w:w="1358" w:type="dxa"/>
            <w:shd w:val="clear" w:color="auto" w:fill="auto"/>
            <w:noWrap w:val="0"/>
            <w:vAlign w:val="center"/>
          </w:tcPr>
          <w:p>
            <w:pPr>
              <w:spacing w:line="200" w:lineRule="exact"/>
              <w:jc w:val="center"/>
              <w:rPr>
                <w:sz w:val="15"/>
                <w:szCs w:val="15"/>
              </w:rPr>
            </w:pPr>
            <w:r>
              <w:rPr>
                <w:sz w:val="15"/>
                <w:szCs w:val="15"/>
              </w:rPr>
              <w:t xml:space="preserve">1.026 </w:t>
            </w:r>
          </w:p>
        </w:tc>
        <w:tc>
          <w:tcPr>
            <w:tcW w:w="1420" w:type="dxa"/>
            <w:shd w:val="clear" w:color="auto" w:fill="auto"/>
            <w:noWrap w:val="0"/>
            <w:vAlign w:val="center"/>
          </w:tcPr>
          <w:p>
            <w:pPr>
              <w:spacing w:line="200" w:lineRule="exact"/>
              <w:jc w:val="center"/>
              <w:rPr>
                <w:sz w:val="15"/>
                <w:szCs w:val="15"/>
              </w:rPr>
            </w:pPr>
            <w:r>
              <w:rPr>
                <w:sz w:val="15"/>
                <w:szCs w:val="15"/>
              </w:rPr>
              <w:t xml:space="preserve">95.3 </w:t>
            </w:r>
          </w:p>
        </w:tc>
        <w:tc>
          <w:tcPr>
            <w:tcW w:w="1332" w:type="dxa"/>
            <w:noWrap w:val="0"/>
            <w:vAlign w:val="center"/>
          </w:tcPr>
          <w:p>
            <w:pPr>
              <w:spacing w:line="200" w:lineRule="exact"/>
              <w:jc w:val="center"/>
              <w:rPr>
                <w:sz w:val="15"/>
                <w:szCs w:val="15"/>
              </w:rPr>
            </w:pPr>
            <w:r>
              <w:rPr>
                <w:sz w:val="15"/>
                <w:szCs w:val="15"/>
              </w:rPr>
              <w:t xml:space="preserve">2.71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15" w:hRule="atLeast"/>
          <w:jc w:val="center"/>
        </w:trPr>
        <w:tc>
          <w:tcPr>
            <w:tcW w:w="1033" w:type="dxa"/>
            <w:vMerge w:val="continue"/>
            <w:shd w:val="clear" w:color="auto" w:fill="auto"/>
            <w:noWrap w:val="0"/>
            <w:vAlign w:val="center"/>
          </w:tcPr>
          <w:p>
            <w:pPr>
              <w:widowControl/>
              <w:spacing w:line="200" w:lineRule="exact"/>
              <w:jc w:val="center"/>
              <w:rPr>
                <w:kern w:val="0"/>
                <w:sz w:val="15"/>
                <w:szCs w:val="15"/>
              </w:rPr>
            </w:pPr>
          </w:p>
        </w:tc>
        <w:tc>
          <w:tcPr>
            <w:tcW w:w="1297" w:type="dxa"/>
            <w:shd w:val="clear" w:color="auto" w:fill="auto"/>
            <w:noWrap w:val="0"/>
            <w:vAlign w:val="center"/>
          </w:tcPr>
          <w:p>
            <w:pPr>
              <w:spacing w:line="200" w:lineRule="exact"/>
              <w:jc w:val="center"/>
              <w:rPr>
                <w:sz w:val="15"/>
                <w:szCs w:val="15"/>
              </w:rPr>
            </w:pPr>
            <w:r>
              <w:rPr>
                <w:rFonts w:hAnsi="宋体"/>
                <w:sz w:val="15"/>
                <w:szCs w:val="15"/>
              </w:rPr>
              <w:t>甲基对硫磷</w:t>
            </w:r>
          </w:p>
        </w:tc>
        <w:tc>
          <w:tcPr>
            <w:tcW w:w="1358" w:type="dxa"/>
            <w:shd w:val="clear" w:color="auto" w:fill="auto"/>
            <w:noWrap w:val="0"/>
            <w:vAlign w:val="center"/>
          </w:tcPr>
          <w:p>
            <w:pPr>
              <w:spacing w:line="200" w:lineRule="exact"/>
              <w:jc w:val="center"/>
              <w:rPr>
                <w:sz w:val="15"/>
                <w:szCs w:val="15"/>
              </w:rPr>
            </w:pPr>
            <w:r>
              <w:rPr>
                <w:sz w:val="15"/>
                <w:szCs w:val="15"/>
              </w:rPr>
              <w:t xml:space="preserve">0.615 </w:t>
            </w:r>
          </w:p>
        </w:tc>
        <w:tc>
          <w:tcPr>
            <w:tcW w:w="1420" w:type="dxa"/>
            <w:shd w:val="clear" w:color="auto" w:fill="auto"/>
            <w:noWrap w:val="0"/>
            <w:vAlign w:val="center"/>
          </w:tcPr>
          <w:p>
            <w:pPr>
              <w:spacing w:line="200" w:lineRule="exact"/>
              <w:jc w:val="center"/>
              <w:rPr>
                <w:sz w:val="15"/>
                <w:szCs w:val="15"/>
              </w:rPr>
            </w:pPr>
            <w:r>
              <w:rPr>
                <w:sz w:val="15"/>
                <w:szCs w:val="15"/>
              </w:rPr>
              <w:t xml:space="preserve">96.4 </w:t>
            </w:r>
          </w:p>
        </w:tc>
        <w:tc>
          <w:tcPr>
            <w:tcW w:w="1332" w:type="dxa"/>
            <w:noWrap w:val="0"/>
            <w:vAlign w:val="center"/>
          </w:tcPr>
          <w:p>
            <w:pPr>
              <w:spacing w:line="200" w:lineRule="exact"/>
              <w:jc w:val="center"/>
              <w:rPr>
                <w:sz w:val="15"/>
                <w:szCs w:val="15"/>
              </w:rPr>
            </w:pPr>
            <w:r>
              <w:rPr>
                <w:sz w:val="15"/>
                <w:szCs w:val="15"/>
              </w:rPr>
              <w:t xml:space="preserve">1.25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15" w:hRule="atLeast"/>
          <w:jc w:val="center"/>
        </w:trPr>
        <w:tc>
          <w:tcPr>
            <w:tcW w:w="1033" w:type="dxa"/>
            <w:vMerge w:val="continue"/>
            <w:shd w:val="clear" w:color="auto" w:fill="auto"/>
            <w:noWrap w:val="0"/>
            <w:vAlign w:val="center"/>
          </w:tcPr>
          <w:p>
            <w:pPr>
              <w:widowControl/>
              <w:spacing w:line="200" w:lineRule="exact"/>
              <w:jc w:val="center"/>
              <w:rPr>
                <w:kern w:val="0"/>
                <w:sz w:val="15"/>
                <w:szCs w:val="15"/>
              </w:rPr>
            </w:pPr>
          </w:p>
        </w:tc>
        <w:tc>
          <w:tcPr>
            <w:tcW w:w="1297" w:type="dxa"/>
            <w:shd w:val="clear" w:color="auto" w:fill="auto"/>
            <w:noWrap w:val="0"/>
            <w:vAlign w:val="center"/>
          </w:tcPr>
          <w:p>
            <w:pPr>
              <w:spacing w:line="200" w:lineRule="exact"/>
              <w:jc w:val="center"/>
              <w:rPr>
                <w:sz w:val="15"/>
                <w:szCs w:val="15"/>
              </w:rPr>
            </w:pPr>
            <w:r>
              <w:rPr>
                <w:rFonts w:hAnsi="宋体"/>
                <w:sz w:val="15"/>
                <w:szCs w:val="15"/>
              </w:rPr>
              <w:t>对硫磷</w:t>
            </w:r>
          </w:p>
        </w:tc>
        <w:tc>
          <w:tcPr>
            <w:tcW w:w="1358" w:type="dxa"/>
            <w:shd w:val="clear" w:color="auto" w:fill="auto"/>
            <w:noWrap w:val="0"/>
            <w:vAlign w:val="center"/>
          </w:tcPr>
          <w:p>
            <w:pPr>
              <w:spacing w:line="200" w:lineRule="exact"/>
              <w:jc w:val="center"/>
              <w:rPr>
                <w:sz w:val="15"/>
                <w:szCs w:val="15"/>
              </w:rPr>
            </w:pPr>
            <w:r>
              <w:rPr>
                <w:sz w:val="15"/>
                <w:szCs w:val="15"/>
              </w:rPr>
              <w:t xml:space="preserve">0.701 </w:t>
            </w:r>
          </w:p>
        </w:tc>
        <w:tc>
          <w:tcPr>
            <w:tcW w:w="1420" w:type="dxa"/>
            <w:shd w:val="clear" w:color="auto" w:fill="auto"/>
            <w:noWrap w:val="0"/>
            <w:vAlign w:val="center"/>
          </w:tcPr>
          <w:p>
            <w:pPr>
              <w:spacing w:line="200" w:lineRule="exact"/>
              <w:jc w:val="center"/>
              <w:rPr>
                <w:sz w:val="15"/>
                <w:szCs w:val="15"/>
              </w:rPr>
            </w:pPr>
            <w:r>
              <w:rPr>
                <w:sz w:val="15"/>
                <w:szCs w:val="15"/>
              </w:rPr>
              <w:t xml:space="preserve">96.9 </w:t>
            </w:r>
          </w:p>
        </w:tc>
        <w:tc>
          <w:tcPr>
            <w:tcW w:w="1332" w:type="dxa"/>
            <w:noWrap w:val="0"/>
            <w:vAlign w:val="center"/>
          </w:tcPr>
          <w:p>
            <w:pPr>
              <w:spacing w:line="200" w:lineRule="exact"/>
              <w:jc w:val="center"/>
              <w:rPr>
                <w:sz w:val="15"/>
                <w:szCs w:val="15"/>
              </w:rPr>
            </w:pPr>
            <w:r>
              <w:rPr>
                <w:sz w:val="15"/>
                <w:szCs w:val="15"/>
              </w:rPr>
              <w:t xml:space="preserve">3.44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 w:hRule="atLeast"/>
          <w:jc w:val="center"/>
        </w:trPr>
        <w:tc>
          <w:tcPr>
            <w:tcW w:w="1033" w:type="dxa"/>
            <w:vMerge w:val="continue"/>
            <w:shd w:val="clear" w:color="auto" w:fill="auto"/>
            <w:noWrap w:val="0"/>
            <w:vAlign w:val="center"/>
          </w:tcPr>
          <w:p>
            <w:pPr>
              <w:widowControl/>
              <w:spacing w:line="200" w:lineRule="exact"/>
              <w:jc w:val="center"/>
              <w:rPr>
                <w:kern w:val="0"/>
                <w:sz w:val="15"/>
                <w:szCs w:val="15"/>
              </w:rPr>
            </w:pPr>
          </w:p>
        </w:tc>
        <w:tc>
          <w:tcPr>
            <w:tcW w:w="1297" w:type="dxa"/>
            <w:shd w:val="clear" w:color="auto" w:fill="auto"/>
            <w:noWrap w:val="0"/>
            <w:vAlign w:val="center"/>
          </w:tcPr>
          <w:p>
            <w:pPr>
              <w:spacing w:line="200" w:lineRule="exact"/>
              <w:jc w:val="center"/>
              <w:rPr>
                <w:sz w:val="15"/>
                <w:szCs w:val="15"/>
              </w:rPr>
            </w:pPr>
            <w:r>
              <w:rPr>
                <w:rFonts w:hAnsi="宋体"/>
                <w:sz w:val="15"/>
                <w:szCs w:val="15"/>
              </w:rPr>
              <w:t>甲基异柳磷</w:t>
            </w:r>
          </w:p>
        </w:tc>
        <w:tc>
          <w:tcPr>
            <w:tcW w:w="1358" w:type="dxa"/>
            <w:shd w:val="clear" w:color="auto" w:fill="auto"/>
            <w:noWrap w:val="0"/>
            <w:vAlign w:val="center"/>
          </w:tcPr>
          <w:p>
            <w:pPr>
              <w:spacing w:line="200" w:lineRule="exact"/>
              <w:jc w:val="center"/>
              <w:rPr>
                <w:sz w:val="15"/>
                <w:szCs w:val="15"/>
              </w:rPr>
            </w:pPr>
            <w:r>
              <w:rPr>
                <w:sz w:val="15"/>
                <w:szCs w:val="15"/>
              </w:rPr>
              <w:t xml:space="preserve">0.172 </w:t>
            </w:r>
          </w:p>
        </w:tc>
        <w:tc>
          <w:tcPr>
            <w:tcW w:w="1420" w:type="dxa"/>
            <w:shd w:val="clear" w:color="auto" w:fill="auto"/>
            <w:noWrap w:val="0"/>
            <w:vAlign w:val="center"/>
          </w:tcPr>
          <w:p>
            <w:pPr>
              <w:spacing w:line="200" w:lineRule="exact"/>
              <w:jc w:val="center"/>
              <w:rPr>
                <w:sz w:val="15"/>
                <w:szCs w:val="15"/>
              </w:rPr>
            </w:pPr>
            <w:r>
              <w:rPr>
                <w:sz w:val="15"/>
                <w:szCs w:val="15"/>
              </w:rPr>
              <w:t xml:space="preserve">97.5 </w:t>
            </w:r>
          </w:p>
        </w:tc>
        <w:tc>
          <w:tcPr>
            <w:tcW w:w="1332" w:type="dxa"/>
            <w:noWrap w:val="0"/>
            <w:vAlign w:val="center"/>
          </w:tcPr>
          <w:p>
            <w:pPr>
              <w:spacing w:line="200" w:lineRule="exact"/>
              <w:jc w:val="center"/>
              <w:rPr>
                <w:sz w:val="15"/>
                <w:szCs w:val="15"/>
              </w:rPr>
            </w:pPr>
            <w:r>
              <w:rPr>
                <w:sz w:val="15"/>
                <w:szCs w:val="15"/>
              </w:rPr>
              <w:t xml:space="preserve">2.58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 w:hRule="atLeast"/>
          <w:jc w:val="center"/>
        </w:trPr>
        <w:tc>
          <w:tcPr>
            <w:tcW w:w="1033" w:type="dxa"/>
            <w:vMerge w:val="continue"/>
            <w:shd w:val="clear" w:color="auto" w:fill="auto"/>
            <w:noWrap w:val="0"/>
            <w:vAlign w:val="center"/>
          </w:tcPr>
          <w:p>
            <w:pPr>
              <w:widowControl/>
              <w:spacing w:line="200" w:lineRule="exact"/>
              <w:jc w:val="center"/>
              <w:rPr>
                <w:kern w:val="0"/>
                <w:sz w:val="15"/>
                <w:szCs w:val="15"/>
              </w:rPr>
            </w:pPr>
          </w:p>
        </w:tc>
        <w:tc>
          <w:tcPr>
            <w:tcW w:w="1297" w:type="dxa"/>
            <w:shd w:val="clear" w:color="auto" w:fill="auto"/>
            <w:noWrap w:val="0"/>
            <w:vAlign w:val="center"/>
          </w:tcPr>
          <w:p>
            <w:pPr>
              <w:spacing w:line="200" w:lineRule="exact"/>
              <w:jc w:val="center"/>
              <w:rPr>
                <w:sz w:val="15"/>
                <w:szCs w:val="15"/>
              </w:rPr>
            </w:pPr>
            <w:r>
              <w:rPr>
                <w:rFonts w:hAnsi="宋体"/>
                <w:sz w:val="15"/>
                <w:szCs w:val="15"/>
              </w:rPr>
              <w:t>水胺硫磷</w:t>
            </w:r>
          </w:p>
        </w:tc>
        <w:tc>
          <w:tcPr>
            <w:tcW w:w="1358" w:type="dxa"/>
            <w:shd w:val="clear" w:color="auto" w:fill="auto"/>
            <w:noWrap w:val="0"/>
            <w:vAlign w:val="center"/>
          </w:tcPr>
          <w:p>
            <w:pPr>
              <w:spacing w:line="200" w:lineRule="exact"/>
              <w:jc w:val="center"/>
              <w:rPr>
                <w:sz w:val="15"/>
                <w:szCs w:val="15"/>
              </w:rPr>
            </w:pPr>
            <w:r>
              <w:rPr>
                <w:sz w:val="15"/>
                <w:szCs w:val="15"/>
              </w:rPr>
              <w:t xml:space="preserve">0.566 </w:t>
            </w:r>
          </w:p>
        </w:tc>
        <w:tc>
          <w:tcPr>
            <w:tcW w:w="1420" w:type="dxa"/>
            <w:shd w:val="clear" w:color="auto" w:fill="auto"/>
            <w:noWrap w:val="0"/>
            <w:vAlign w:val="center"/>
          </w:tcPr>
          <w:p>
            <w:pPr>
              <w:spacing w:line="200" w:lineRule="exact"/>
              <w:jc w:val="center"/>
              <w:rPr>
                <w:sz w:val="15"/>
                <w:szCs w:val="15"/>
              </w:rPr>
            </w:pPr>
            <w:r>
              <w:rPr>
                <w:sz w:val="15"/>
                <w:szCs w:val="15"/>
              </w:rPr>
              <w:t xml:space="preserve">95.7 </w:t>
            </w:r>
          </w:p>
        </w:tc>
        <w:tc>
          <w:tcPr>
            <w:tcW w:w="1332" w:type="dxa"/>
            <w:noWrap w:val="0"/>
            <w:vAlign w:val="center"/>
          </w:tcPr>
          <w:p>
            <w:pPr>
              <w:spacing w:line="200" w:lineRule="exact"/>
              <w:jc w:val="center"/>
              <w:rPr>
                <w:sz w:val="15"/>
                <w:szCs w:val="15"/>
              </w:rPr>
            </w:pPr>
            <w:r>
              <w:rPr>
                <w:sz w:val="15"/>
                <w:szCs w:val="15"/>
              </w:rPr>
              <w:t xml:space="preserve">2.81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09" w:hRule="atLeast"/>
          <w:jc w:val="center"/>
        </w:trPr>
        <w:tc>
          <w:tcPr>
            <w:tcW w:w="1033" w:type="dxa"/>
            <w:vMerge w:val="restart"/>
            <w:shd w:val="clear" w:color="auto" w:fill="auto"/>
            <w:noWrap w:val="0"/>
            <w:vAlign w:val="center"/>
          </w:tcPr>
          <w:p>
            <w:pPr>
              <w:widowControl/>
              <w:spacing w:line="200" w:lineRule="exact"/>
              <w:jc w:val="center"/>
              <w:rPr>
                <w:kern w:val="0"/>
                <w:sz w:val="15"/>
                <w:szCs w:val="15"/>
              </w:rPr>
            </w:pPr>
            <w:r>
              <w:rPr>
                <w:rFonts w:hAnsi="宋体"/>
                <w:sz w:val="15"/>
                <w:szCs w:val="15"/>
              </w:rPr>
              <w:t>乐果</w:t>
            </w:r>
            <w:r>
              <w:rPr>
                <w:rFonts w:hint="eastAsia" w:hAnsi="宋体"/>
                <w:kern w:val="0"/>
                <w:sz w:val="15"/>
                <w:szCs w:val="15"/>
              </w:rPr>
              <w:t>乳油</w:t>
            </w:r>
          </w:p>
        </w:tc>
        <w:tc>
          <w:tcPr>
            <w:tcW w:w="1297" w:type="dxa"/>
            <w:shd w:val="clear" w:color="auto" w:fill="auto"/>
            <w:noWrap w:val="0"/>
            <w:vAlign w:val="center"/>
          </w:tcPr>
          <w:p>
            <w:pPr>
              <w:spacing w:line="200" w:lineRule="exact"/>
              <w:jc w:val="center"/>
              <w:rPr>
                <w:sz w:val="15"/>
                <w:szCs w:val="15"/>
              </w:rPr>
            </w:pPr>
            <w:r>
              <w:rPr>
                <w:rFonts w:hAnsi="宋体"/>
                <w:sz w:val="15"/>
                <w:szCs w:val="15"/>
              </w:rPr>
              <w:t>甲胺磷</w:t>
            </w:r>
          </w:p>
        </w:tc>
        <w:tc>
          <w:tcPr>
            <w:tcW w:w="1358" w:type="dxa"/>
            <w:shd w:val="clear" w:color="auto" w:fill="auto"/>
            <w:noWrap w:val="0"/>
            <w:vAlign w:val="center"/>
          </w:tcPr>
          <w:p>
            <w:pPr>
              <w:spacing w:line="200" w:lineRule="exact"/>
              <w:jc w:val="center"/>
              <w:rPr>
                <w:sz w:val="15"/>
                <w:szCs w:val="15"/>
              </w:rPr>
            </w:pPr>
            <w:r>
              <w:rPr>
                <w:sz w:val="15"/>
                <w:szCs w:val="15"/>
              </w:rPr>
              <w:t xml:space="preserve">1.442 </w:t>
            </w:r>
          </w:p>
        </w:tc>
        <w:tc>
          <w:tcPr>
            <w:tcW w:w="1420" w:type="dxa"/>
            <w:shd w:val="clear" w:color="auto" w:fill="auto"/>
            <w:noWrap w:val="0"/>
            <w:vAlign w:val="center"/>
          </w:tcPr>
          <w:p>
            <w:pPr>
              <w:spacing w:line="200" w:lineRule="exact"/>
              <w:jc w:val="center"/>
              <w:rPr>
                <w:sz w:val="15"/>
                <w:szCs w:val="15"/>
              </w:rPr>
            </w:pPr>
            <w:r>
              <w:rPr>
                <w:sz w:val="15"/>
                <w:szCs w:val="15"/>
              </w:rPr>
              <w:t xml:space="preserve">98.7 </w:t>
            </w:r>
          </w:p>
        </w:tc>
        <w:tc>
          <w:tcPr>
            <w:tcW w:w="1332" w:type="dxa"/>
            <w:noWrap w:val="0"/>
            <w:vAlign w:val="center"/>
          </w:tcPr>
          <w:p>
            <w:pPr>
              <w:spacing w:line="200" w:lineRule="exact"/>
              <w:jc w:val="center"/>
              <w:rPr>
                <w:sz w:val="15"/>
                <w:szCs w:val="15"/>
              </w:rPr>
            </w:pPr>
            <w:r>
              <w:rPr>
                <w:sz w:val="15"/>
                <w:szCs w:val="15"/>
              </w:rPr>
              <w:t xml:space="preserve">1.27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15" w:hRule="atLeast"/>
          <w:jc w:val="center"/>
        </w:trPr>
        <w:tc>
          <w:tcPr>
            <w:tcW w:w="1033" w:type="dxa"/>
            <w:vMerge w:val="continue"/>
            <w:shd w:val="clear" w:color="auto" w:fill="auto"/>
            <w:noWrap w:val="0"/>
            <w:vAlign w:val="center"/>
          </w:tcPr>
          <w:p>
            <w:pPr>
              <w:widowControl/>
              <w:spacing w:line="200" w:lineRule="exact"/>
              <w:jc w:val="center"/>
              <w:rPr>
                <w:kern w:val="0"/>
                <w:sz w:val="15"/>
                <w:szCs w:val="15"/>
              </w:rPr>
            </w:pPr>
          </w:p>
        </w:tc>
        <w:tc>
          <w:tcPr>
            <w:tcW w:w="1297" w:type="dxa"/>
            <w:shd w:val="clear" w:color="auto" w:fill="auto"/>
            <w:noWrap w:val="0"/>
            <w:vAlign w:val="center"/>
          </w:tcPr>
          <w:p>
            <w:pPr>
              <w:spacing w:line="200" w:lineRule="exact"/>
              <w:jc w:val="center"/>
              <w:rPr>
                <w:sz w:val="15"/>
                <w:szCs w:val="15"/>
              </w:rPr>
            </w:pPr>
            <w:r>
              <w:rPr>
                <w:rFonts w:hAnsi="宋体"/>
                <w:sz w:val="15"/>
                <w:szCs w:val="15"/>
              </w:rPr>
              <w:t>甲拌磷</w:t>
            </w:r>
          </w:p>
        </w:tc>
        <w:tc>
          <w:tcPr>
            <w:tcW w:w="1358" w:type="dxa"/>
            <w:shd w:val="clear" w:color="auto" w:fill="auto"/>
            <w:noWrap w:val="0"/>
            <w:vAlign w:val="center"/>
          </w:tcPr>
          <w:p>
            <w:pPr>
              <w:spacing w:line="200" w:lineRule="exact"/>
              <w:jc w:val="center"/>
              <w:rPr>
                <w:sz w:val="15"/>
                <w:szCs w:val="15"/>
              </w:rPr>
            </w:pPr>
            <w:r>
              <w:rPr>
                <w:sz w:val="15"/>
                <w:szCs w:val="15"/>
              </w:rPr>
              <w:t xml:space="preserve">0.631 </w:t>
            </w:r>
          </w:p>
        </w:tc>
        <w:tc>
          <w:tcPr>
            <w:tcW w:w="1420" w:type="dxa"/>
            <w:shd w:val="clear" w:color="auto" w:fill="auto"/>
            <w:noWrap w:val="0"/>
            <w:vAlign w:val="center"/>
          </w:tcPr>
          <w:p>
            <w:pPr>
              <w:spacing w:line="200" w:lineRule="exact"/>
              <w:jc w:val="center"/>
              <w:rPr>
                <w:sz w:val="15"/>
                <w:szCs w:val="15"/>
              </w:rPr>
            </w:pPr>
            <w:r>
              <w:rPr>
                <w:sz w:val="15"/>
                <w:szCs w:val="15"/>
              </w:rPr>
              <w:t xml:space="preserve">97.9 </w:t>
            </w:r>
          </w:p>
        </w:tc>
        <w:tc>
          <w:tcPr>
            <w:tcW w:w="1332" w:type="dxa"/>
            <w:noWrap w:val="0"/>
            <w:vAlign w:val="center"/>
          </w:tcPr>
          <w:p>
            <w:pPr>
              <w:spacing w:line="200" w:lineRule="exact"/>
              <w:jc w:val="center"/>
              <w:rPr>
                <w:sz w:val="15"/>
                <w:szCs w:val="15"/>
              </w:rPr>
            </w:pPr>
            <w:r>
              <w:rPr>
                <w:sz w:val="15"/>
                <w:szCs w:val="15"/>
              </w:rPr>
              <w:t xml:space="preserve">3.13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15" w:hRule="atLeast"/>
          <w:jc w:val="center"/>
        </w:trPr>
        <w:tc>
          <w:tcPr>
            <w:tcW w:w="1033" w:type="dxa"/>
            <w:vMerge w:val="continue"/>
            <w:shd w:val="clear" w:color="auto" w:fill="auto"/>
            <w:noWrap w:val="0"/>
            <w:vAlign w:val="center"/>
          </w:tcPr>
          <w:p>
            <w:pPr>
              <w:widowControl/>
              <w:spacing w:line="200" w:lineRule="exact"/>
              <w:jc w:val="center"/>
              <w:rPr>
                <w:kern w:val="0"/>
                <w:sz w:val="15"/>
                <w:szCs w:val="15"/>
              </w:rPr>
            </w:pPr>
          </w:p>
        </w:tc>
        <w:tc>
          <w:tcPr>
            <w:tcW w:w="1297" w:type="dxa"/>
            <w:shd w:val="clear" w:color="auto" w:fill="auto"/>
            <w:noWrap w:val="0"/>
            <w:vAlign w:val="center"/>
          </w:tcPr>
          <w:p>
            <w:pPr>
              <w:spacing w:line="200" w:lineRule="exact"/>
              <w:jc w:val="center"/>
              <w:rPr>
                <w:sz w:val="15"/>
                <w:szCs w:val="15"/>
              </w:rPr>
            </w:pPr>
            <w:r>
              <w:rPr>
                <w:rFonts w:hAnsi="宋体"/>
                <w:sz w:val="15"/>
                <w:szCs w:val="15"/>
              </w:rPr>
              <w:t>治螟磷</w:t>
            </w:r>
          </w:p>
        </w:tc>
        <w:tc>
          <w:tcPr>
            <w:tcW w:w="1358" w:type="dxa"/>
            <w:shd w:val="clear" w:color="auto" w:fill="auto"/>
            <w:noWrap w:val="0"/>
            <w:vAlign w:val="center"/>
          </w:tcPr>
          <w:p>
            <w:pPr>
              <w:spacing w:line="200" w:lineRule="exact"/>
              <w:jc w:val="center"/>
              <w:rPr>
                <w:sz w:val="15"/>
                <w:szCs w:val="15"/>
              </w:rPr>
            </w:pPr>
            <w:r>
              <w:rPr>
                <w:sz w:val="15"/>
                <w:szCs w:val="15"/>
              </w:rPr>
              <w:t xml:space="preserve">0.851 </w:t>
            </w:r>
          </w:p>
        </w:tc>
        <w:tc>
          <w:tcPr>
            <w:tcW w:w="1420" w:type="dxa"/>
            <w:shd w:val="clear" w:color="auto" w:fill="auto"/>
            <w:noWrap w:val="0"/>
            <w:vAlign w:val="center"/>
          </w:tcPr>
          <w:p>
            <w:pPr>
              <w:spacing w:line="200" w:lineRule="exact"/>
              <w:jc w:val="center"/>
              <w:rPr>
                <w:sz w:val="15"/>
                <w:szCs w:val="15"/>
              </w:rPr>
            </w:pPr>
            <w:r>
              <w:rPr>
                <w:sz w:val="15"/>
                <w:szCs w:val="15"/>
              </w:rPr>
              <w:t xml:space="preserve">97.9 </w:t>
            </w:r>
          </w:p>
        </w:tc>
        <w:tc>
          <w:tcPr>
            <w:tcW w:w="1332" w:type="dxa"/>
            <w:noWrap w:val="0"/>
            <w:vAlign w:val="center"/>
          </w:tcPr>
          <w:p>
            <w:pPr>
              <w:spacing w:line="200" w:lineRule="exact"/>
              <w:jc w:val="center"/>
              <w:rPr>
                <w:sz w:val="15"/>
                <w:szCs w:val="15"/>
              </w:rPr>
            </w:pPr>
            <w:r>
              <w:rPr>
                <w:sz w:val="15"/>
                <w:szCs w:val="15"/>
              </w:rPr>
              <w:t xml:space="preserve">2.64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15" w:hRule="atLeast"/>
          <w:jc w:val="center"/>
        </w:trPr>
        <w:tc>
          <w:tcPr>
            <w:tcW w:w="1033" w:type="dxa"/>
            <w:vMerge w:val="continue"/>
            <w:shd w:val="clear" w:color="auto" w:fill="auto"/>
            <w:noWrap w:val="0"/>
            <w:vAlign w:val="center"/>
          </w:tcPr>
          <w:p>
            <w:pPr>
              <w:widowControl/>
              <w:spacing w:line="200" w:lineRule="exact"/>
              <w:jc w:val="center"/>
              <w:rPr>
                <w:kern w:val="0"/>
                <w:sz w:val="15"/>
                <w:szCs w:val="15"/>
              </w:rPr>
            </w:pPr>
          </w:p>
        </w:tc>
        <w:tc>
          <w:tcPr>
            <w:tcW w:w="1297" w:type="dxa"/>
            <w:shd w:val="clear" w:color="auto" w:fill="auto"/>
            <w:noWrap w:val="0"/>
            <w:vAlign w:val="center"/>
          </w:tcPr>
          <w:p>
            <w:pPr>
              <w:spacing w:line="200" w:lineRule="exact"/>
              <w:jc w:val="center"/>
              <w:rPr>
                <w:sz w:val="15"/>
                <w:szCs w:val="15"/>
              </w:rPr>
            </w:pPr>
            <w:r>
              <w:rPr>
                <w:rFonts w:hAnsi="宋体"/>
                <w:sz w:val="15"/>
                <w:szCs w:val="15"/>
              </w:rPr>
              <w:t>氧乐果</w:t>
            </w:r>
          </w:p>
        </w:tc>
        <w:tc>
          <w:tcPr>
            <w:tcW w:w="1358" w:type="dxa"/>
            <w:shd w:val="clear" w:color="auto" w:fill="auto"/>
            <w:noWrap w:val="0"/>
            <w:vAlign w:val="center"/>
          </w:tcPr>
          <w:p>
            <w:pPr>
              <w:spacing w:line="200" w:lineRule="exact"/>
              <w:jc w:val="center"/>
              <w:rPr>
                <w:sz w:val="15"/>
                <w:szCs w:val="15"/>
              </w:rPr>
            </w:pPr>
            <w:r>
              <w:rPr>
                <w:sz w:val="15"/>
                <w:szCs w:val="15"/>
              </w:rPr>
              <w:t xml:space="preserve">0.587 </w:t>
            </w:r>
          </w:p>
        </w:tc>
        <w:tc>
          <w:tcPr>
            <w:tcW w:w="1420" w:type="dxa"/>
            <w:shd w:val="clear" w:color="auto" w:fill="auto"/>
            <w:noWrap w:val="0"/>
            <w:vAlign w:val="center"/>
          </w:tcPr>
          <w:p>
            <w:pPr>
              <w:spacing w:line="200" w:lineRule="exact"/>
              <w:jc w:val="center"/>
              <w:rPr>
                <w:sz w:val="15"/>
                <w:szCs w:val="15"/>
              </w:rPr>
            </w:pPr>
            <w:r>
              <w:rPr>
                <w:sz w:val="15"/>
                <w:szCs w:val="15"/>
              </w:rPr>
              <w:t xml:space="preserve">97.1 </w:t>
            </w:r>
          </w:p>
        </w:tc>
        <w:tc>
          <w:tcPr>
            <w:tcW w:w="1332" w:type="dxa"/>
            <w:noWrap w:val="0"/>
            <w:vAlign w:val="center"/>
          </w:tcPr>
          <w:p>
            <w:pPr>
              <w:spacing w:line="200" w:lineRule="exact"/>
              <w:jc w:val="center"/>
              <w:rPr>
                <w:sz w:val="15"/>
                <w:szCs w:val="15"/>
              </w:rPr>
            </w:pPr>
            <w:r>
              <w:rPr>
                <w:sz w:val="15"/>
                <w:szCs w:val="15"/>
              </w:rPr>
              <w:t xml:space="preserve">3.67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15" w:hRule="atLeast"/>
          <w:jc w:val="center"/>
        </w:trPr>
        <w:tc>
          <w:tcPr>
            <w:tcW w:w="1033" w:type="dxa"/>
            <w:vMerge w:val="continue"/>
            <w:shd w:val="clear" w:color="auto" w:fill="auto"/>
            <w:noWrap w:val="0"/>
            <w:vAlign w:val="center"/>
          </w:tcPr>
          <w:p>
            <w:pPr>
              <w:widowControl/>
              <w:spacing w:line="200" w:lineRule="exact"/>
              <w:jc w:val="center"/>
              <w:rPr>
                <w:kern w:val="0"/>
                <w:sz w:val="15"/>
                <w:szCs w:val="15"/>
              </w:rPr>
            </w:pPr>
          </w:p>
        </w:tc>
        <w:tc>
          <w:tcPr>
            <w:tcW w:w="1297" w:type="dxa"/>
            <w:shd w:val="clear" w:color="auto" w:fill="auto"/>
            <w:noWrap w:val="0"/>
            <w:vAlign w:val="center"/>
          </w:tcPr>
          <w:p>
            <w:pPr>
              <w:spacing w:line="200" w:lineRule="exact"/>
              <w:jc w:val="center"/>
              <w:rPr>
                <w:sz w:val="15"/>
                <w:szCs w:val="15"/>
              </w:rPr>
            </w:pPr>
            <w:r>
              <w:rPr>
                <w:rFonts w:hAnsi="宋体"/>
                <w:sz w:val="15"/>
                <w:szCs w:val="15"/>
              </w:rPr>
              <w:t>特丁硫磷</w:t>
            </w:r>
          </w:p>
        </w:tc>
        <w:tc>
          <w:tcPr>
            <w:tcW w:w="1358" w:type="dxa"/>
            <w:shd w:val="clear" w:color="auto" w:fill="auto"/>
            <w:noWrap w:val="0"/>
            <w:vAlign w:val="center"/>
          </w:tcPr>
          <w:p>
            <w:pPr>
              <w:spacing w:line="200" w:lineRule="exact"/>
              <w:jc w:val="center"/>
              <w:rPr>
                <w:sz w:val="15"/>
                <w:szCs w:val="15"/>
              </w:rPr>
            </w:pPr>
            <w:r>
              <w:rPr>
                <w:sz w:val="15"/>
                <w:szCs w:val="15"/>
              </w:rPr>
              <w:t xml:space="preserve">0.394 </w:t>
            </w:r>
          </w:p>
        </w:tc>
        <w:tc>
          <w:tcPr>
            <w:tcW w:w="1420" w:type="dxa"/>
            <w:shd w:val="clear" w:color="auto" w:fill="auto"/>
            <w:noWrap w:val="0"/>
            <w:vAlign w:val="center"/>
          </w:tcPr>
          <w:p>
            <w:pPr>
              <w:spacing w:line="200" w:lineRule="exact"/>
              <w:jc w:val="center"/>
              <w:rPr>
                <w:sz w:val="15"/>
                <w:szCs w:val="15"/>
              </w:rPr>
            </w:pPr>
            <w:r>
              <w:rPr>
                <w:sz w:val="15"/>
                <w:szCs w:val="15"/>
              </w:rPr>
              <w:t xml:space="preserve">94.1 </w:t>
            </w:r>
          </w:p>
        </w:tc>
        <w:tc>
          <w:tcPr>
            <w:tcW w:w="1332" w:type="dxa"/>
            <w:noWrap w:val="0"/>
            <w:vAlign w:val="center"/>
          </w:tcPr>
          <w:p>
            <w:pPr>
              <w:spacing w:line="200" w:lineRule="exact"/>
              <w:jc w:val="center"/>
              <w:rPr>
                <w:sz w:val="15"/>
                <w:szCs w:val="15"/>
              </w:rPr>
            </w:pPr>
            <w:r>
              <w:rPr>
                <w:sz w:val="15"/>
                <w:szCs w:val="15"/>
              </w:rPr>
              <w:t xml:space="preserve">2.87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15" w:hRule="atLeast"/>
          <w:jc w:val="center"/>
        </w:trPr>
        <w:tc>
          <w:tcPr>
            <w:tcW w:w="1033" w:type="dxa"/>
            <w:vMerge w:val="continue"/>
            <w:shd w:val="clear" w:color="auto" w:fill="auto"/>
            <w:noWrap w:val="0"/>
            <w:vAlign w:val="center"/>
          </w:tcPr>
          <w:p>
            <w:pPr>
              <w:widowControl/>
              <w:spacing w:line="200" w:lineRule="exact"/>
              <w:jc w:val="center"/>
              <w:rPr>
                <w:kern w:val="0"/>
                <w:sz w:val="15"/>
                <w:szCs w:val="15"/>
              </w:rPr>
            </w:pPr>
          </w:p>
        </w:tc>
        <w:tc>
          <w:tcPr>
            <w:tcW w:w="1297" w:type="dxa"/>
            <w:shd w:val="clear" w:color="auto" w:fill="auto"/>
            <w:noWrap w:val="0"/>
            <w:vAlign w:val="center"/>
          </w:tcPr>
          <w:p>
            <w:pPr>
              <w:spacing w:line="200" w:lineRule="exact"/>
              <w:jc w:val="center"/>
              <w:rPr>
                <w:sz w:val="15"/>
                <w:szCs w:val="15"/>
              </w:rPr>
            </w:pPr>
            <w:r>
              <w:rPr>
                <w:rFonts w:hAnsi="宋体"/>
                <w:sz w:val="15"/>
                <w:szCs w:val="15"/>
              </w:rPr>
              <w:t>久效磷</w:t>
            </w:r>
          </w:p>
        </w:tc>
        <w:tc>
          <w:tcPr>
            <w:tcW w:w="1358" w:type="dxa"/>
            <w:shd w:val="clear" w:color="auto" w:fill="auto"/>
            <w:noWrap w:val="0"/>
            <w:vAlign w:val="center"/>
          </w:tcPr>
          <w:p>
            <w:pPr>
              <w:spacing w:line="200" w:lineRule="exact"/>
              <w:jc w:val="center"/>
              <w:rPr>
                <w:sz w:val="15"/>
                <w:szCs w:val="15"/>
              </w:rPr>
            </w:pPr>
            <w:r>
              <w:rPr>
                <w:sz w:val="15"/>
                <w:szCs w:val="15"/>
              </w:rPr>
              <w:t xml:space="preserve">0.947 </w:t>
            </w:r>
          </w:p>
        </w:tc>
        <w:tc>
          <w:tcPr>
            <w:tcW w:w="1420" w:type="dxa"/>
            <w:shd w:val="clear" w:color="auto" w:fill="auto"/>
            <w:noWrap w:val="0"/>
            <w:vAlign w:val="center"/>
          </w:tcPr>
          <w:p>
            <w:pPr>
              <w:spacing w:line="200" w:lineRule="exact"/>
              <w:jc w:val="center"/>
              <w:rPr>
                <w:sz w:val="15"/>
                <w:szCs w:val="15"/>
              </w:rPr>
            </w:pPr>
            <w:r>
              <w:rPr>
                <w:sz w:val="15"/>
                <w:szCs w:val="15"/>
              </w:rPr>
              <w:t xml:space="preserve">99.5 </w:t>
            </w:r>
          </w:p>
        </w:tc>
        <w:tc>
          <w:tcPr>
            <w:tcW w:w="1332" w:type="dxa"/>
            <w:noWrap w:val="0"/>
            <w:vAlign w:val="center"/>
          </w:tcPr>
          <w:p>
            <w:pPr>
              <w:spacing w:line="200" w:lineRule="exact"/>
              <w:jc w:val="center"/>
              <w:rPr>
                <w:sz w:val="15"/>
                <w:szCs w:val="15"/>
              </w:rPr>
            </w:pPr>
            <w:r>
              <w:rPr>
                <w:sz w:val="15"/>
                <w:szCs w:val="15"/>
              </w:rPr>
              <w:t xml:space="preserve">2.08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15" w:hRule="atLeast"/>
          <w:jc w:val="center"/>
        </w:trPr>
        <w:tc>
          <w:tcPr>
            <w:tcW w:w="1033" w:type="dxa"/>
            <w:vMerge w:val="continue"/>
            <w:shd w:val="clear" w:color="auto" w:fill="auto"/>
            <w:noWrap w:val="0"/>
            <w:vAlign w:val="center"/>
          </w:tcPr>
          <w:p>
            <w:pPr>
              <w:widowControl/>
              <w:spacing w:line="200" w:lineRule="exact"/>
              <w:jc w:val="center"/>
              <w:rPr>
                <w:kern w:val="0"/>
                <w:sz w:val="15"/>
                <w:szCs w:val="15"/>
              </w:rPr>
            </w:pPr>
          </w:p>
        </w:tc>
        <w:tc>
          <w:tcPr>
            <w:tcW w:w="1297" w:type="dxa"/>
            <w:shd w:val="clear" w:color="auto" w:fill="auto"/>
            <w:noWrap w:val="0"/>
            <w:vAlign w:val="center"/>
          </w:tcPr>
          <w:p>
            <w:pPr>
              <w:spacing w:line="200" w:lineRule="exact"/>
              <w:jc w:val="center"/>
              <w:rPr>
                <w:sz w:val="15"/>
                <w:szCs w:val="15"/>
              </w:rPr>
            </w:pPr>
            <w:r>
              <w:rPr>
                <w:rFonts w:hAnsi="宋体"/>
                <w:sz w:val="15"/>
                <w:szCs w:val="15"/>
              </w:rPr>
              <w:t>甲基对硫磷</w:t>
            </w:r>
          </w:p>
        </w:tc>
        <w:tc>
          <w:tcPr>
            <w:tcW w:w="1358" w:type="dxa"/>
            <w:shd w:val="clear" w:color="auto" w:fill="auto"/>
            <w:noWrap w:val="0"/>
            <w:vAlign w:val="center"/>
          </w:tcPr>
          <w:p>
            <w:pPr>
              <w:spacing w:line="200" w:lineRule="exact"/>
              <w:jc w:val="center"/>
              <w:rPr>
                <w:sz w:val="15"/>
                <w:szCs w:val="15"/>
              </w:rPr>
            </w:pPr>
            <w:r>
              <w:rPr>
                <w:sz w:val="15"/>
                <w:szCs w:val="15"/>
              </w:rPr>
              <w:t xml:space="preserve">0.568 </w:t>
            </w:r>
          </w:p>
        </w:tc>
        <w:tc>
          <w:tcPr>
            <w:tcW w:w="1420" w:type="dxa"/>
            <w:shd w:val="clear" w:color="auto" w:fill="auto"/>
            <w:noWrap w:val="0"/>
            <w:vAlign w:val="center"/>
          </w:tcPr>
          <w:p>
            <w:pPr>
              <w:spacing w:line="200" w:lineRule="exact"/>
              <w:jc w:val="center"/>
              <w:rPr>
                <w:sz w:val="15"/>
                <w:szCs w:val="15"/>
              </w:rPr>
            </w:pPr>
            <w:r>
              <w:rPr>
                <w:sz w:val="15"/>
                <w:szCs w:val="15"/>
              </w:rPr>
              <w:t xml:space="preserve">97.2 </w:t>
            </w:r>
          </w:p>
        </w:tc>
        <w:tc>
          <w:tcPr>
            <w:tcW w:w="1332" w:type="dxa"/>
            <w:noWrap w:val="0"/>
            <w:vAlign w:val="center"/>
          </w:tcPr>
          <w:p>
            <w:pPr>
              <w:spacing w:line="200" w:lineRule="exact"/>
              <w:jc w:val="center"/>
              <w:rPr>
                <w:sz w:val="15"/>
                <w:szCs w:val="15"/>
              </w:rPr>
            </w:pPr>
            <w:r>
              <w:rPr>
                <w:sz w:val="15"/>
                <w:szCs w:val="15"/>
              </w:rPr>
              <w:t xml:space="preserve">3.75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15" w:hRule="atLeast"/>
          <w:jc w:val="center"/>
        </w:trPr>
        <w:tc>
          <w:tcPr>
            <w:tcW w:w="1033" w:type="dxa"/>
            <w:vMerge w:val="continue"/>
            <w:shd w:val="clear" w:color="auto" w:fill="auto"/>
            <w:noWrap w:val="0"/>
            <w:vAlign w:val="center"/>
          </w:tcPr>
          <w:p>
            <w:pPr>
              <w:widowControl/>
              <w:spacing w:line="200" w:lineRule="exact"/>
              <w:jc w:val="center"/>
              <w:rPr>
                <w:kern w:val="0"/>
                <w:sz w:val="15"/>
                <w:szCs w:val="15"/>
              </w:rPr>
            </w:pPr>
          </w:p>
        </w:tc>
        <w:tc>
          <w:tcPr>
            <w:tcW w:w="1297" w:type="dxa"/>
            <w:shd w:val="clear" w:color="auto" w:fill="auto"/>
            <w:noWrap w:val="0"/>
            <w:vAlign w:val="center"/>
          </w:tcPr>
          <w:p>
            <w:pPr>
              <w:spacing w:line="200" w:lineRule="exact"/>
              <w:jc w:val="center"/>
              <w:rPr>
                <w:sz w:val="15"/>
                <w:szCs w:val="15"/>
              </w:rPr>
            </w:pPr>
            <w:r>
              <w:rPr>
                <w:rFonts w:hAnsi="宋体"/>
                <w:sz w:val="15"/>
                <w:szCs w:val="15"/>
              </w:rPr>
              <w:t>对硫磷</w:t>
            </w:r>
          </w:p>
        </w:tc>
        <w:tc>
          <w:tcPr>
            <w:tcW w:w="1358" w:type="dxa"/>
            <w:shd w:val="clear" w:color="auto" w:fill="auto"/>
            <w:noWrap w:val="0"/>
            <w:vAlign w:val="center"/>
          </w:tcPr>
          <w:p>
            <w:pPr>
              <w:spacing w:line="200" w:lineRule="exact"/>
              <w:jc w:val="center"/>
              <w:rPr>
                <w:sz w:val="15"/>
                <w:szCs w:val="15"/>
              </w:rPr>
            </w:pPr>
            <w:r>
              <w:rPr>
                <w:sz w:val="15"/>
                <w:szCs w:val="15"/>
              </w:rPr>
              <w:t xml:space="preserve">0.647 </w:t>
            </w:r>
          </w:p>
        </w:tc>
        <w:tc>
          <w:tcPr>
            <w:tcW w:w="1420" w:type="dxa"/>
            <w:shd w:val="clear" w:color="auto" w:fill="auto"/>
            <w:noWrap w:val="0"/>
            <w:vAlign w:val="center"/>
          </w:tcPr>
          <w:p>
            <w:pPr>
              <w:spacing w:line="200" w:lineRule="exact"/>
              <w:jc w:val="center"/>
              <w:rPr>
                <w:sz w:val="15"/>
                <w:szCs w:val="15"/>
              </w:rPr>
            </w:pPr>
            <w:r>
              <w:rPr>
                <w:sz w:val="15"/>
                <w:szCs w:val="15"/>
              </w:rPr>
              <w:t xml:space="preserve">98.6 </w:t>
            </w:r>
          </w:p>
        </w:tc>
        <w:tc>
          <w:tcPr>
            <w:tcW w:w="1332" w:type="dxa"/>
            <w:noWrap w:val="0"/>
            <w:vAlign w:val="center"/>
          </w:tcPr>
          <w:p>
            <w:pPr>
              <w:spacing w:line="200" w:lineRule="exact"/>
              <w:jc w:val="center"/>
              <w:rPr>
                <w:sz w:val="15"/>
                <w:szCs w:val="15"/>
              </w:rPr>
            </w:pPr>
            <w:r>
              <w:rPr>
                <w:sz w:val="15"/>
                <w:szCs w:val="15"/>
              </w:rPr>
              <w:t xml:space="preserve">3.21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 w:hRule="atLeast"/>
          <w:jc w:val="center"/>
        </w:trPr>
        <w:tc>
          <w:tcPr>
            <w:tcW w:w="1033" w:type="dxa"/>
            <w:vMerge w:val="continue"/>
            <w:shd w:val="clear" w:color="auto" w:fill="auto"/>
            <w:noWrap w:val="0"/>
            <w:vAlign w:val="center"/>
          </w:tcPr>
          <w:p>
            <w:pPr>
              <w:widowControl/>
              <w:spacing w:line="200" w:lineRule="exact"/>
              <w:jc w:val="center"/>
              <w:rPr>
                <w:kern w:val="0"/>
                <w:sz w:val="15"/>
                <w:szCs w:val="15"/>
              </w:rPr>
            </w:pPr>
          </w:p>
        </w:tc>
        <w:tc>
          <w:tcPr>
            <w:tcW w:w="1297" w:type="dxa"/>
            <w:shd w:val="clear" w:color="auto" w:fill="auto"/>
            <w:noWrap w:val="0"/>
            <w:vAlign w:val="center"/>
          </w:tcPr>
          <w:p>
            <w:pPr>
              <w:spacing w:line="200" w:lineRule="exact"/>
              <w:jc w:val="center"/>
              <w:rPr>
                <w:sz w:val="15"/>
                <w:szCs w:val="15"/>
              </w:rPr>
            </w:pPr>
            <w:r>
              <w:rPr>
                <w:rFonts w:hAnsi="宋体"/>
                <w:sz w:val="15"/>
                <w:szCs w:val="15"/>
              </w:rPr>
              <w:t>甲基异柳磷</w:t>
            </w:r>
          </w:p>
        </w:tc>
        <w:tc>
          <w:tcPr>
            <w:tcW w:w="1358" w:type="dxa"/>
            <w:shd w:val="clear" w:color="auto" w:fill="auto"/>
            <w:noWrap w:val="0"/>
            <w:vAlign w:val="center"/>
          </w:tcPr>
          <w:p>
            <w:pPr>
              <w:spacing w:line="200" w:lineRule="exact"/>
              <w:jc w:val="center"/>
              <w:rPr>
                <w:sz w:val="15"/>
                <w:szCs w:val="15"/>
              </w:rPr>
            </w:pPr>
            <w:r>
              <w:rPr>
                <w:sz w:val="15"/>
                <w:szCs w:val="15"/>
              </w:rPr>
              <w:t xml:space="preserve">0.158 </w:t>
            </w:r>
          </w:p>
        </w:tc>
        <w:tc>
          <w:tcPr>
            <w:tcW w:w="1420" w:type="dxa"/>
            <w:shd w:val="clear" w:color="auto" w:fill="auto"/>
            <w:noWrap w:val="0"/>
            <w:vAlign w:val="center"/>
          </w:tcPr>
          <w:p>
            <w:pPr>
              <w:spacing w:line="200" w:lineRule="exact"/>
              <w:jc w:val="center"/>
              <w:rPr>
                <w:sz w:val="15"/>
                <w:szCs w:val="15"/>
              </w:rPr>
            </w:pPr>
            <w:r>
              <w:rPr>
                <w:sz w:val="15"/>
                <w:szCs w:val="15"/>
              </w:rPr>
              <w:t xml:space="preserve">96.3 </w:t>
            </w:r>
          </w:p>
        </w:tc>
        <w:tc>
          <w:tcPr>
            <w:tcW w:w="1332" w:type="dxa"/>
            <w:noWrap w:val="0"/>
            <w:vAlign w:val="center"/>
          </w:tcPr>
          <w:p>
            <w:pPr>
              <w:spacing w:line="200" w:lineRule="exact"/>
              <w:jc w:val="center"/>
              <w:rPr>
                <w:sz w:val="15"/>
                <w:szCs w:val="15"/>
              </w:rPr>
            </w:pPr>
            <w:r>
              <w:rPr>
                <w:sz w:val="15"/>
                <w:szCs w:val="15"/>
              </w:rPr>
              <w:t xml:space="preserve">3.36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 w:hRule="atLeast"/>
          <w:jc w:val="center"/>
        </w:trPr>
        <w:tc>
          <w:tcPr>
            <w:tcW w:w="1033" w:type="dxa"/>
            <w:vMerge w:val="continue"/>
            <w:shd w:val="clear" w:color="auto" w:fill="auto"/>
            <w:noWrap w:val="0"/>
            <w:vAlign w:val="center"/>
          </w:tcPr>
          <w:p>
            <w:pPr>
              <w:widowControl/>
              <w:spacing w:line="200" w:lineRule="exact"/>
              <w:jc w:val="center"/>
              <w:rPr>
                <w:kern w:val="0"/>
                <w:sz w:val="15"/>
                <w:szCs w:val="15"/>
              </w:rPr>
            </w:pPr>
          </w:p>
        </w:tc>
        <w:tc>
          <w:tcPr>
            <w:tcW w:w="1297" w:type="dxa"/>
            <w:shd w:val="clear" w:color="auto" w:fill="auto"/>
            <w:noWrap w:val="0"/>
            <w:vAlign w:val="center"/>
          </w:tcPr>
          <w:p>
            <w:pPr>
              <w:spacing w:line="200" w:lineRule="exact"/>
              <w:jc w:val="center"/>
              <w:rPr>
                <w:sz w:val="15"/>
                <w:szCs w:val="15"/>
              </w:rPr>
            </w:pPr>
            <w:r>
              <w:rPr>
                <w:rFonts w:hAnsi="宋体"/>
                <w:sz w:val="15"/>
                <w:szCs w:val="15"/>
              </w:rPr>
              <w:t>水胺硫磷</w:t>
            </w:r>
          </w:p>
        </w:tc>
        <w:tc>
          <w:tcPr>
            <w:tcW w:w="1358" w:type="dxa"/>
            <w:shd w:val="clear" w:color="auto" w:fill="auto"/>
            <w:noWrap w:val="0"/>
            <w:vAlign w:val="center"/>
          </w:tcPr>
          <w:p>
            <w:pPr>
              <w:spacing w:line="200" w:lineRule="exact"/>
              <w:jc w:val="center"/>
              <w:rPr>
                <w:sz w:val="15"/>
                <w:szCs w:val="15"/>
              </w:rPr>
            </w:pPr>
            <w:r>
              <w:rPr>
                <w:sz w:val="15"/>
                <w:szCs w:val="15"/>
              </w:rPr>
              <w:t xml:space="preserve">0.522 </w:t>
            </w:r>
          </w:p>
        </w:tc>
        <w:tc>
          <w:tcPr>
            <w:tcW w:w="1420" w:type="dxa"/>
            <w:shd w:val="clear" w:color="auto" w:fill="auto"/>
            <w:noWrap w:val="0"/>
            <w:vAlign w:val="center"/>
          </w:tcPr>
          <w:p>
            <w:pPr>
              <w:spacing w:line="200" w:lineRule="exact"/>
              <w:jc w:val="center"/>
              <w:rPr>
                <w:sz w:val="15"/>
                <w:szCs w:val="15"/>
              </w:rPr>
            </w:pPr>
            <w:r>
              <w:rPr>
                <w:sz w:val="15"/>
                <w:szCs w:val="15"/>
              </w:rPr>
              <w:t xml:space="preserve">95.6 </w:t>
            </w:r>
          </w:p>
        </w:tc>
        <w:tc>
          <w:tcPr>
            <w:tcW w:w="1332" w:type="dxa"/>
            <w:noWrap w:val="0"/>
            <w:vAlign w:val="center"/>
          </w:tcPr>
          <w:p>
            <w:pPr>
              <w:spacing w:line="200" w:lineRule="exact"/>
              <w:jc w:val="center"/>
              <w:rPr>
                <w:sz w:val="15"/>
                <w:szCs w:val="15"/>
              </w:rPr>
            </w:pPr>
            <w:r>
              <w:rPr>
                <w:sz w:val="15"/>
                <w:szCs w:val="15"/>
              </w:rPr>
              <w:t xml:space="preserve">3.68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09" w:hRule="atLeast"/>
          <w:jc w:val="center"/>
        </w:trPr>
        <w:tc>
          <w:tcPr>
            <w:tcW w:w="1033" w:type="dxa"/>
            <w:vMerge w:val="restart"/>
            <w:shd w:val="clear" w:color="auto" w:fill="auto"/>
            <w:noWrap w:val="0"/>
            <w:vAlign w:val="center"/>
          </w:tcPr>
          <w:p>
            <w:pPr>
              <w:widowControl/>
              <w:spacing w:line="200" w:lineRule="exact"/>
              <w:jc w:val="center"/>
              <w:rPr>
                <w:kern w:val="0"/>
                <w:sz w:val="15"/>
                <w:szCs w:val="15"/>
              </w:rPr>
            </w:pPr>
            <w:r>
              <w:rPr>
                <w:rFonts w:hAnsi="宋体"/>
                <w:sz w:val="15"/>
                <w:szCs w:val="15"/>
              </w:rPr>
              <w:t>辛硫磷</w:t>
            </w:r>
            <w:r>
              <w:rPr>
                <w:rFonts w:hint="eastAsia" w:hAnsi="宋体"/>
                <w:kern w:val="0"/>
                <w:sz w:val="15"/>
                <w:szCs w:val="15"/>
              </w:rPr>
              <w:t>乳油</w:t>
            </w:r>
          </w:p>
        </w:tc>
        <w:tc>
          <w:tcPr>
            <w:tcW w:w="1297" w:type="dxa"/>
            <w:shd w:val="clear" w:color="auto" w:fill="auto"/>
            <w:noWrap w:val="0"/>
            <w:vAlign w:val="center"/>
          </w:tcPr>
          <w:p>
            <w:pPr>
              <w:spacing w:line="200" w:lineRule="exact"/>
              <w:jc w:val="center"/>
              <w:rPr>
                <w:sz w:val="15"/>
                <w:szCs w:val="15"/>
              </w:rPr>
            </w:pPr>
            <w:r>
              <w:rPr>
                <w:rFonts w:hAnsi="宋体"/>
                <w:sz w:val="15"/>
                <w:szCs w:val="15"/>
              </w:rPr>
              <w:t>甲胺磷</w:t>
            </w:r>
          </w:p>
        </w:tc>
        <w:tc>
          <w:tcPr>
            <w:tcW w:w="1358" w:type="dxa"/>
            <w:shd w:val="clear" w:color="auto" w:fill="auto"/>
            <w:noWrap w:val="0"/>
            <w:vAlign w:val="center"/>
          </w:tcPr>
          <w:p>
            <w:pPr>
              <w:spacing w:line="200" w:lineRule="exact"/>
              <w:jc w:val="center"/>
              <w:rPr>
                <w:sz w:val="15"/>
                <w:szCs w:val="15"/>
              </w:rPr>
            </w:pPr>
            <w:r>
              <w:rPr>
                <w:sz w:val="15"/>
                <w:szCs w:val="15"/>
              </w:rPr>
              <w:t xml:space="preserve">1.202 </w:t>
            </w:r>
          </w:p>
        </w:tc>
        <w:tc>
          <w:tcPr>
            <w:tcW w:w="1420" w:type="dxa"/>
            <w:shd w:val="clear" w:color="auto" w:fill="auto"/>
            <w:noWrap w:val="0"/>
            <w:vAlign w:val="center"/>
          </w:tcPr>
          <w:p>
            <w:pPr>
              <w:spacing w:line="200" w:lineRule="exact"/>
              <w:jc w:val="center"/>
              <w:rPr>
                <w:sz w:val="15"/>
                <w:szCs w:val="15"/>
              </w:rPr>
            </w:pPr>
            <w:r>
              <w:rPr>
                <w:sz w:val="15"/>
                <w:szCs w:val="15"/>
              </w:rPr>
              <w:t xml:space="preserve">96.2 </w:t>
            </w:r>
          </w:p>
        </w:tc>
        <w:tc>
          <w:tcPr>
            <w:tcW w:w="1332" w:type="dxa"/>
            <w:noWrap w:val="0"/>
            <w:vAlign w:val="center"/>
          </w:tcPr>
          <w:p>
            <w:pPr>
              <w:spacing w:line="200" w:lineRule="exact"/>
              <w:jc w:val="center"/>
              <w:rPr>
                <w:sz w:val="15"/>
                <w:szCs w:val="15"/>
              </w:rPr>
            </w:pPr>
            <w:r>
              <w:rPr>
                <w:sz w:val="15"/>
                <w:szCs w:val="15"/>
              </w:rPr>
              <w:t xml:space="preserve">3.72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15" w:hRule="atLeast"/>
          <w:jc w:val="center"/>
        </w:trPr>
        <w:tc>
          <w:tcPr>
            <w:tcW w:w="1033" w:type="dxa"/>
            <w:vMerge w:val="continue"/>
            <w:shd w:val="clear" w:color="auto" w:fill="auto"/>
            <w:noWrap w:val="0"/>
            <w:vAlign w:val="center"/>
          </w:tcPr>
          <w:p>
            <w:pPr>
              <w:widowControl/>
              <w:spacing w:line="200" w:lineRule="exact"/>
              <w:jc w:val="center"/>
              <w:rPr>
                <w:kern w:val="0"/>
                <w:sz w:val="15"/>
                <w:szCs w:val="15"/>
              </w:rPr>
            </w:pPr>
          </w:p>
        </w:tc>
        <w:tc>
          <w:tcPr>
            <w:tcW w:w="1297" w:type="dxa"/>
            <w:shd w:val="clear" w:color="auto" w:fill="auto"/>
            <w:noWrap w:val="0"/>
            <w:vAlign w:val="center"/>
          </w:tcPr>
          <w:p>
            <w:pPr>
              <w:spacing w:line="200" w:lineRule="exact"/>
              <w:jc w:val="center"/>
              <w:rPr>
                <w:sz w:val="15"/>
                <w:szCs w:val="15"/>
              </w:rPr>
            </w:pPr>
            <w:r>
              <w:rPr>
                <w:rFonts w:hAnsi="宋体"/>
                <w:sz w:val="15"/>
                <w:szCs w:val="15"/>
              </w:rPr>
              <w:t>甲拌磷</w:t>
            </w:r>
          </w:p>
        </w:tc>
        <w:tc>
          <w:tcPr>
            <w:tcW w:w="1358" w:type="dxa"/>
            <w:shd w:val="clear" w:color="auto" w:fill="auto"/>
            <w:noWrap w:val="0"/>
            <w:vAlign w:val="center"/>
          </w:tcPr>
          <w:p>
            <w:pPr>
              <w:spacing w:line="200" w:lineRule="exact"/>
              <w:jc w:val="center"/>
              <w:rPr>
                <w:sz w:val="15"/>
                <w:szCs w:val="15"/>
              </w:rPr>
            </w:pPr>
            <w:r>
              <w:rPr>
                <w:sz w:val="15"/>
                <w:szCs w:val="15"/>
              </w:rPr>
              <w:t xml:space="preserve">0.526 </w:t>
            </w:r>
          </w:p>
        </w:tc>
        <w:tc>
          <w:tcPr>
            <w:tcW w:w="1420" w:type="dxa"/>
            <w:shd w:val="clear" w:color="auto" w:fill="auto"/>
            <w:noWrap w:val="0"/>
            <w:vAlign w:val="center"/>
          </w:tcPr>
          <w:p>
            <w:pPr>
              <w:spacing w:line="200" w:lineRule="exact"/>
              <w:jc w:val="center"/>
              <w:rPr>
                <w:sz w:val="15"/>
                <w:szCs w:val="15"/>
              </w:rPr>
            </w:pPr>
            <w:r>
              <w:rPr>
                <w:sz w:val="15"/>
                <w:szCs w:val="15"/>
              </w:rPr>
              <w:t xml:space="preserve">100.9 </w:t>
            </w:r>
          </w:p>
        </w:tc>
        <w:tc>
          <w:tcPr>
            <w:tcW w:w="1332" w:type="dxa"/>
            <w:noWrap w:val="0"/>
            <w:vAlign w:val="center"/>
          </w:tcPr>
          <w:p>
            <w:pPr>
              <w:spacing w:line="200" w:lineRule="exact"/>
              <w:jc w:val="center"/>
              <w:rPr>
                <w:sz w:val="15"/>
                <w:szCs w:val="15"/>
              </w:rPr>
            </w:pPr>
            <w:r>
              <w:rPr>
                <w:sz w:val="15"/>
                <w:szCs w:val="15"/>
              </w:rPr>
              <w:t xml:space="preserve">2.88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15" w:hRule="atLeast"/>
          <w:jc w:val="center"/>
        </w:trPr>
        <w:tc>
          <w:tcPr>
            <w:tcW w:w="1033" w:type="dxa"/>
            <w:vMerge w:val="continue"/>
            <w:shd w:val="clear" w:color="auto" w:fill="auto"/>
            <w:noWrap w:val="0"/>
            <w:vAlign w:val="center"/>
          </w:tcPr>
          <w:p>
            <w:pPr>
              <w:widowControl/>
              <w:spacing w:line="200" w:lineRule="exact"/>
              <w:jc w:val="center"/>
              <w:rPr>
                <w:kern w:val="0"/>
                <w:sz w:val="15"/>
                <w:szCs w:val="15"/>
              </w:rPr>
            </w:pPr>
          </w:p>
        </w:tc>
        <w:tc>
          <w:tcPr>
            <w:tcW w:w="1297" w:type="dxa"/>
            <w:shd w:val="clear" w:color="auto" w:fill="auto"/>
            <w:noWrap w:val="0"/>
            <w:vAlign w:val="center"/>
          </w:tcPr>
          <w:p>
            <w:pPr>
              <w:spacing w:line="200" w:lineRule="exact"/>
              <w:jc w:val="center"/>
              <w:rPr>
                <w:sz w:val="15"/>
                <w:szCs w:val="15"/>
              </w:rPr>
            </w:pPr>
            <w:r>
              <w:rPr>
                <w:rFonts w:hAnsi="宋体"/>
                <w:sz w:val="15"/>
                <w:szCs w:val="15"/>
              </w:rPr>
              <w:t>治螟磷</w:t>
            </w:r>
          </w:p>
        </w:tc>
        <w:tc>
          <w:tcPr>
            <w:tcW w:w="1358" w:type="dxa"/>
            <w:shd w:val="clear" w:color="auto" w:fill="auto"/>
            <w:noWrap w:val="0"/>
            <w:vAlign w:val="center"/>
          </w:tcPr>
          <w:p>
            <w:pPr>
              <w:spacing w:line="200" w:lineRule="exact"/>
              <w:jc w:val="center"/>
              <w:rPr>
                <w:sz w:val="15"/>
                <w:szCs w:val="15"/>
              </w:rPr>
            </w:pPr>
            <w:r>
              <w:rPr>
                <w:sz w:val="15"/>
                <w:szCs w:val="15"/>
              </w:rPr>
              <w:t xml:space="preserve">0.709 </w:t>
            </w:r>
          </w:p>
        </w:tc>
        <w:tc>
          <w:tcPr>
            <w:tcW w:w="1420" w:type="dxa"/>
            <w:shd w:val="clear" w:color="auto" w:fill="auto"/>
            <w:noWrap w:val="0"/>
            <w:vAlign w:val="center"/>
          </w:tcPr>
          <w:p>
            <w:pPr>
              <w:spacing w:line="200" w:lineRule="exact"/>
              <w:jc w:val="center"/>
              <w:rPr>
                <w:sz w:val="15"/>
                <w:szCs w:val="15"/>
              </w:rPr>
            </w:pPr>
            <w:r>
              <w:rPr>
                <w:sz w:val="15"/>
                <w:szCs w:val="15"/>
              </w:rPr>
              <w:t xml:space="preserve">93.8 </w:t>
            </w:r>
          </w:p>
        </w:tc>
        <w:tc>
          <w:tcPr>
            <w:tcW w:w="1332" w:type="dxa"/>
            <w:noWrap w:val="0"/>
            <w:vAlign w:val="center"/>
          </w:tcPr>
          <w:p>
            <w:pPr>
              <w:spacing w:line="200" w:lineRule="exact"/>
              <w:jc w:val="center"/>
              <w:rPr>
                <w:sz w:val="15"/>
                <w:szCs w:val="15"/>
              </w:rPr>
            </w:pPr>
            <w:r>
              <w:rPr>
                <w:sz w:val="15"/>
                <w:szCs w:val="15"/>
              </w:rPr>
              <w:t xml:space="preserve">2.22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15" w:hRule="atLeast"/>
          <w:jc w:val="center"/>
        </w:trPr>
        <w:tc>
          <w:tcPr>
            <w:tcW w:w="1033" w:type="dxa"/>
            <w:vMerge w:val="continue"/>
            <w:shd w:val="clear" w:color="auto" w:fill="auto"/>
            <w:noWrap w:val="0"/>
            <w:vAlign w:val="center"/>
          </w:tcPr>
          <w:p>
            <w:pPr>
              <w:widowControl/>
              <w:spacing w:line="200" w:lineRule="exact"/>
              <w:jc w:val="center"/>
              <w:rPr>
                <w:kern w:val="0"/>
                <w:sz w:val="15"/>
                <w:szCs w:val="15"/>
              </w:rPr>
            </w:pPr>
          </w:p>
        </w:tc>
        <w:tc>
          <w:tcPr>
            <w:tcW w:w="1297" w:type="dxa"/>
            <w:shd w:val="clear" w:color="auto" w:fill="auto"/>
            <w:noWrap w:val="0"/>
            <w:vAlign w:val="center"/>
          </w:tcPr>
          <w:p>
            <w:pPr>
              <w:spacing w:line="200" w:lineRule="exact"/>
              <w:jc w:val="center"/>
              <w:rPr>
                <w:sz w:val="15"/>
                <w:szCs w:val="15"/>
              </w:rPr>
            </w:pPr>
            <w:r>
              <w:rPr>
                <w:rFonts w:hAnsi="宋体"/>
                <w:sz w:val="15"/>
                <w:szCs w:val="15"/>
              </w:rPr>
              <w:t>氧乐果</w:t>
            </w:r>
          </w:p>
        </w:tc>
        <w:tc>
          <w:tcPr>
            <w:tcW w:w="1358" w:type="dxa"/>
            <w:shd w:val="clear" w:color="auto" w:fill="auto"/>
            <w:noWrap w:val="0"/>
            <w:vAlign w:val="center"/>
          </w:tcPr>
          <w:p>
            <w:pPr>
              <w:spacing w:line="200" w:lineRule="exact"/>
              <w:jc w:val="center"/>
              <w:rPr>
                <w:sz w:val="15"/>
                <w:szCs w:val="15"/>
              </w:rPr>
            </w:pPr>
            <w:r>
              <w:rPr>
                <w:sz w:val="15"/>
                <w:szCs w:val="15"/>
              </w:rPr>
              <w:t xml:space="preserve">0.489 </w:t>
            </w:r>
          </w:p>
        </w:tc>
        <w:tc>
          <w:tcPr>
            <w:tcW w:w="1420" w:type="dxa"/>
            <w:shd w:val="clear" w:color="auto" w:fill="auto"/>
            <w:noWrap w:val="0"/>
            <w:vAlign w:val="center"/>
          </w:tcPr>
          <w:p>
            <w:pPr>
              <w:spacing w:line="200" w:lineRule="exact"/>
              <w:jc w:val="center"/>
              <w:rPr>
                <w:sz w:val="15"/>
                <w:szCs w:val="15"/>
              </w:rPr>
            </w:pPr>
            <w:r>
              <w:rPr>
                <w:sz w:val="15"/>
                <w:szCs w:val="15"/>
              </w:rPr>
              <w:t xml:space="preserve">91.4 </w:t>
            </w:r>
          </w:p>
        </w:tc>
        <w:tc>
          <w:tcPr>
            <w:tcW w:w="1332" w:type="dxa"/>
            <w:noWrap w:val="0"/>
            <w:vAlign w:val="center"/>
          </w:tcPr>
          <w:p>
            <w:pPr>
              <w:spacing w:line="200" w:lineRule="exact"/>
              <w:jc w:val="center"/>
              <w:rPr>
                <w:sz w:val="15"/>
                <w:szCs w:val="15"/>
              </w:rPr>
            </w:pPr>
            <w:r>
              <w:rPr>
                <w:sz w:val="15"/>
                <w:szCs w:val="15"/>
              </w:rPr>
              <w:t xml:space="preserve">3.58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15" w:hRule="atLeast"/>
          <w:jc w:val="center"/>
        </w:trPr>
        <w:tc>
          <w:tcPr>
            <w:tcW w:w="1033" w:type="dxa"/>
            <w:vMerge w:val="continue"/>
            <w:shd w:val="clear" w:color="auto" w:fill="auto"/>
            <w:noWrap w:val="0"/>
            <w:vAlign w:val="center"/>
          </w:tcPr>
          <w:p>
            <w:pPr>
              <w:widowControl/>
              <w:spacing w:line="200" w:lineRule="exact"/>
              <w:jc w:val="center"/>
              <w:rPr>
                <w:kern w:val="0"/>
                <w:sz w:val="15"/>
                <w:szCs w:val="15"/>
              </w:rPr>
            </w:pPr>
          </w:p>
        </w:tc>
        <w:tc>
          <w:tcPr>
            <w:tcW w:w="1297" w:type="dxa"/>
            <w:shd w:val="clear" w:color="auto" w:fill="auto"/>
            <w:noWrap w:val="0"/>
            <w:vAlign w:val="center"/>
          </w:tcPr>
          <w:p>
            <w:pPr>
              <w:spacing w:line="200" w:lineRule="exact"/>
              <w:jc w:val="center"/>
              <w:rPr>
                <w:sz w:val="15"/>
                <w:szCs w:val="15"/>
              </w:rPr>
            </w:pPr>
            <w:r>
              <w:rPr>
                <w:rFonts w:hAnsi="宋体"/>
                <w:sz w:val="15"/>
                <w:szCs w:val="15"/>
              </w:rPr>
              <w:t>特丁硫磷</w:t>
            </w:r>
          </w:p>
        </w:tc>
        <w:tc>
          <w:tcPr>
            <w:tcW w:w="1358" w:type="dxa"/>
            <w:shd w:val="clear" w:color="auto" w:fill="auto"/>
            <w:noWrap w:val="0"/>
            <w:vAlign w:val="center"/>
          </w:tcPr>
          <w:p>
            <w:pPr>
              <w:spacing w:line="200" w:lineRule="exact"/>
              <w:jc w:val="center"/>
              <w:rPr>
                <w:sz w:val="15"/>
                <w:szCs w:val="15"/>
              </w:rPr>
            </w:pPr>
            <w:r>
              <w:rPr>
                <w:sz w:val="15"/>
                <w:szCs w:val="15"/>
              </w:rPr>
              <w:t xml:space="preserve">0.328 </w:t>
            </w:r>
          </w:p>
        </w:tc>
        <w:tc>
          <w:tcPr>
            <w:tcW w:w="1420" w:type="dxa"/>
            <w:shd w:val="clear" w:color="auto" w:fill="auto"/>
            <w:noWrap w:val="0"/>
            <w:vAlign w:val="center"/>
          </w:tcPr>
          <w:p>
            <w:pPr>
              <w:spacing w:line="200" w:lineRule="exact"/>
              <w:jc w:val="center"/>
              <w:rPr>
                <w:sz w:val="15"/>
                <w:szCs w:val="15"/>
              </w:rPr>
            </w:pPr>
            <w:r>
              <w:rPr>
                <w:sz w:val="15"/>
                <w:szCs w:val="15"/>
              </w:rPr>
              <w:t xml:space="preserve">91.4 </w:t>
            </w:r>
          </w:p>
        </w:tc>
        <w:tc>
          <w:tcPr>
            <w:tcW w:w="1332" w:type="dxa"/>
            <w:noWrap w:val="0"/>
            <w:vAlign w:val="center"/>
          </w:tcPr>
          <w:p>
            <w:pPr>
              <w:spacing w:line="200" w:lineRule="exact"/>
              <w:jc w:val="center"/>
              <w:rPr>
                <w:sz w:val="15"/>
                <w:szCs w:val="15"/>
              </w:rPr>
            </w:pPr>
            <w:r>
              <w:rPr>
                <w:sz w:val="15"/>
                <w:szCs w:val="15"/>
              </w:rPr>
              <w:t xml:space="preserve">3.43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15" w:hRule="atLeast"/>
          <w:jc w:val="center"/>
        </w:trPr>
        <w:tc>
          <w:tcPr>
            <w:tcW w:w="1033" w:type="dxa"/>
            <w:vMerge w:val="continue"/>
            <w:shd w:val="clear" w:color="auto" w:fill="auto"/>
            <w:noWrap w:val="0"/>
            <w:vAlign w:val="center"/>
          </w:tcPr>
          <w:p>
            <w:pPr>
              <w:widowControl/>
              <w:spacing w:line="200" w:lineRule="exact"/>
              <w:jc w:val="center"/>
              <w:rPr>
                <w:kern w:val="0"/>
                <w:sz w:val="15"/>
                <w:szCs w:val="15"/>
              </w:rPr>
            </w:pPr>
          </w:p>
        </w:tc>
        <w:tc>
          <w:tcPr>
            <w:tcW w:w="1297" w:type="dxa"/>
            <w:shd w:val="clear" w:color="auto" w:fill="auto"/>
            <w:noWrap w:val="0"/>
            <w:vAlign w:val="center"/>
          </w:tcPr>
          <w:p>
            <w:pPr>
              <w:spacing w:line="200" w:lineRule="exact"/>
              <w:jc w:val="center"/>
              <w:rPr>
                <w:sz w:val="15"/>
                <w:szCs w:val="15"/>
              </w:rPr>
            </w:pPr>
            <w:r>
              <w:rPr>
                <w:rFonts w:hAnsi="宋体"/>
                <w:sz w:val="15"/>
                <w:szCs w:val="15"/>
              </w:rPr>
              <w:t>久效磷</w:t>
            </w:r>
          </w:p>
        </w:tc>
        <w:tc>
          <w:tcPr>
            <w:tcW w:w="1358" w:type="dxa"/>
            <w:shd w:val="clear" w:color="auto" w:fill="auto"/>
            <w:noWrap w:val="0"/>
            <w:vAlign w:val="center"/>
          </w:tcPr>
          <w:p>
            <w:pPr>
              <w:spacing w:line="200" w:lineRule="exact"/>
              <w:jc w:val="center"/>
              <w:rPr>
                <w:sz w:val="15"/>
                <w:szCs w:val="15"/>
              </w:rPr>
            </w:pPr>
            <w:r>
              <w:rPr>
                <w:sz w:val="15"/>
                <w:szCs w:val="15"/>
              </w:rPr>
              <w:t xml:space="preserve">0.789 </w:t>
            </w:r>
          </w:p>
        </w:tc>
        <w:tc>
          <w:tcPr>
            <w:tcW w:w="1420" w:type="dxa"/>
            <w:shd w:val="clear" w:color="auto" w:fill="auto"/>
            <w:noWrap w:val="0"/>
            <w:vAlign w:val="center"/>
          </w:tcPr>
          <w:p>
            <w:pPr>
              <w:spacing w:line="200" w:lineRule="exact"/>
              <w:jc w:val="center"/>
              <w:rPr>
                <w:sz w:val="15"/>
                <w:szCs w:val="15"/>
              </w:rPr>
            </w:pPr>
            <w:r>
              <w:rPr>
                <w:sz w:val="15"/>
                <w:szCs w:val="15"/>
              </w:rPr>
              <w:t xml:space="preserve">96.2 </w:t>
            </w:r>
          </w:p>
        </w:tc>
        <w:tc>
          <w:tcPr>
            <w:tcW w:w="1332" w:type="dxa"/>
            <w:noWrap w:val="0"/>
            <w:vAlign w:val="center"/>
          </w:tcPr>
          <w:p>
            <w:pPr>
              <w:spacing w:line="200" w:lineRule="exact"/>
              <w:jc w:val="center"/>
              <w:rPr>
                <w:sz w:val="15"/>
                <w:szCs w:val="15"/>
              </w:rPr>
            </w:pPr>
            <w:r>
              <w:rPr>
                <w:sz w:val="15"/>
                <w:szCs w:val="15"/>
              </w:rPr>
              <w:t xml:space="preserve">1.33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15" w:hRule="atLeast"/>
          <w:jc w:val="center"/>
        </w:trPr>
        <w:tc>
          <w:tcPr>
            <w:tcW w:w="1033" w:type="dxa"/>
            <w:vMerge w:val="continue"/>
            <w:shd w:val="clear" w:color="auto" w:fill="auto"/>
            <w:noWrap w:val="0"/>
            <w:vAlign w:val="center"/>
          </w:tcPr>
          <w:p>
            <w:pPr>
              <w:widowControl/>
              <w:spacing w:line="200" w:lineRule="exact"/>
              <w:jc w:val="center"/>
              <w:rPr>
                <w:kern w:val="0"/>
                <w:sz w:val="15"/>
                <w:szCs w:val="15"/>
              </w:rPr>
            </w:pPr>
          </w:p>
        </w:tc>
        <w:tc>
          <w:tcPr>
            <w:tcW w:w="1297" w:type="dxa"/>
            <w:shd w:val="clear" w:color="auto" w:fill="auto"/>
            <w:noWrap w:val="0"/>
            <w:vAlign w:val="center"/>
          </w:tcPr>
          <w:p>
            <w:pPr>
              <w:spacing w:line="200" w:lineRule="exact"/>
              <w:jc w:val="center"/>
              <w:rPr>
                <w:sz w:val="15"/>
                <w:szCs w:val="15"/>
              </w:rPr>
            </w:pPr>
            <w:r>
              <w:rPr>
                <w:rFonts w:hAnsi="宋体"/>
                <w:sz w:val="15"/>
                <w:szCs w:val="15"/>
              </w:rPr>
              <w:t>甲基对硫磷</w:t>
            </w:r>
          </w:p>
        </w:tc>
        <w:tc>
          <w:tcPr>
            <w:tcW w:w="1358" w:type="dxa"/>
            <w:shd w:val="clear" w:color="auto" w:fill="auto"/>
            <w:noWrap w:val="0"/>
            <w:vAlign w:val="center"/>
          </w:tcPr>
          <w:p>
            <w:pPr>
              <w:spacing w:line="200" w:lineRule="exact"/>
              <w:jc w:val="center"/>
              <w:rPr>
                <w:sz w:val="15"/>
                <w:szCs w:val="15"/>
              </w:rPr>
            </w:pPr>
            <w:r>
              <w:rPr>
                <w:sz w:val="15"/>
                <w:szCs w:val="15"/>
              </w:rPr>
              <w:t xml:space="preserve">0.473 </w:t>
            </w:r>
          </w:p>
        </w:tc>
        <w:tc>
          <w:tcPr>
            <w:tcW w:w="1420" w:type="dxa"/>
            <w:shd w:val="clear" w:color="auto" w:fill="auto"/>
            <w:noWrap w:val="0"/>
            <w:vAlign w:val="center"/>
          </w:tcPr>
          <w:p>
            <w:pPr>
              <w:spacing w:line="200" w:lineRule="exact"/>
              <w:jc w:val="center"/>
              <w:rPr>
                <w:sz w:val="15"/>
                <w:szCs w:val="15"/>
              </w:rPr>
            </w:pPr>
            <w:r>
              <w:rPr>
                <w:sz w:val="15"/>
                <w:szCs w:val="15"/>
              </w:rPr>
              <w:t xml:space="preserve">97.3 </w:t>
            </w:r>
          </w:p>
        </w:tc>
        <w:tc>
          <w:tcPr>
            <w:tcW w:w="1332" w:type="dxa"/>
            <w:noWrap w:val="0"/>
            <w:vAlign w:val="center"/>
          </w:tcPr>
          <w:p>
            <w:pPr>
              <w:spacing w:line="200" w:lineRule="exact"/>
              <w:jc w:val="center"/>
              <w:rPr>
                <w:sz w:val="15"/>
                <w:szCs w:val="15"/>
              </w:rPr>
            </w:pPr>
            <w:r>
              <w:rPr>
                <w:sz w:val="15"/>
                <w:szCs w:val="15"/>
              </w:rPr>
              <w:t xml:space="preserve">3.59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15" w:hRule="atLeast"/>
          <w:jc w:val="center"/>
        </w:trPr>
        <w:tc>
          <w:tcPr>
            <w:tcW w:w="1033" w:type="dxa"/>
            <w:vMerge w:val="continue"/>
            <w:shd w:val="clear" w:color="auto" w:fill="auto"/>
            <w:noWrap w:val="0"/>
            <w:vAlign w:val="center"/>
          </w:tcPr>
          <w:p>
            <w:pPr>
              <w:widowControl/>
              <w:spacing w:line="200" w:lineRule="exact"/>
              <w:jc w:val="center"/>
              <w:rPr>
                <w:kern w:val="0"/>
                <w:sz w:val="15"/>
                <w:szCs w:val="15"/>
              </w:rPr>
            </w:pPr>
          </w:p>
        </w:tc>
        <w:tc>
          <w:tcPr>
            <w:tcW w:w="1297" w:type="dxa"/>
            <w:shd w:val="clear" w:color="auto" w:fill="auto"/>
            <w:noWrap w:val="0"/>
            <w:vAlign w:val="center"/>
          </w:tcPr>
          <w:p>
            <w:pPr>
              <w:spacing w:line="200" w:lineRule="exact"/>
              <w:jc w:val="center"/>
              <w:rPr>
                <w:sz w:val="15"/>
                <w:szCs w:val="15"/>
              </w:rPr>
            </w:pPr>
            <w:r>
              <w:rPr>
                <w:rFonts w:hAnsi="宋体"/>
                <w:sz w:val="15"/>
                <w:szCs w:val="15"/>
              </w:rPr>
              <w:t>对硫磷</w:t>
            </w:r>
          </w:p>
        </w:tc>
        <w:tc>
          <w:tcPr>
            <w:tcW w:w="1358" w:type="dxa"/>
            <w:shd w:val="clear" w:color="auto" w:fill="auto"/>
            <w:noWrap w:val="0"/>
            <w:vAlign w:val="center"/>
          </w:tcPr>
          <w:p>
            <w:pPr>
              <w:spacing w:line="200" w:lineRule="exact"/>
              <w:jc w:val="center"/>
              <w:rPr>
                <w:sz w:val="15"/>
                <w:szCs w:val="15"/>
              </w:rPr>
            </w:pPr>
            <w:r>
              <w:rPr>
                <w:sz w:val="15"/>
                <w:szCs w:val="15"/>
              </w:rPr>
              <w:t xml:space="preserve">0.539 </w:t>
            </w:r>
          </w:p>
        </w:tc>
        <w:tc>
          <w:tcPr>
            <w:tcW w:w="1420" w:type="dxa"/>
            <w:shd w:val="clear" w:color="auto" w:fill="auto"/>
            <w:noWrap w:val="0"/>
            <w:vAlign w:val="center"/>
          </w:tcPr>
          <w:p>
            <w:pPr>
              <w:spacing w:line="200" w:lineRule="exact"/>
              <w:jc w:val="center"/>
              <w:rPr>
                <w:sz w:val="15"/>
                <w:szCs w:val="15"/>
              </w:rPr>
            </w:pPr>
            <w:r>
              <w:rPr>
                <w:sz w:val="15"/>
                <w:szCs w:val="15"/>
              </w:rPr>
              <w:t xml:space="preserve">96.4 </w:t>
            </w:r>
          </w:p>
        </w:tc>
        <w:tc>
          <w:tcPr>
            <w:tcW w:w="1332" w:type="dxa"/>
            <w:noWrap w:val="0"/>
            <w:vAlign w:val="center"/>
          </w:tcPr>
          <w:p>
            <w:pPr>
              <w:spacing w:line="200" w:lineRule="exact"/>
              <w:jc w:val="center"/>
              <w:rPr>
                <w:sz w:val="15"/>
                <w:szCs w:val="15"/>
              </w:rPr>
            </w:pPr>
            <w:r>
              <w:rPr>
                <w:sz w:val="15"/>
                <w:szCs w:val="15"/>
              </w:rPr>
              <w:t xml:space="preserve">1.58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 w:hRule="atLeast"/>
          <w:jc w:val="center"/>
        </w:trPr>
        <w:tc>
          <w:tcPr>
            <w:tcW w:w="1033" w:type="dxa"/>
            <w:vMerge w:val="continue"/>
            <w:shd w:val="clear" w:color="auto" w:fill="auto"/>
            <w:noWrap w:val="0"/>
            <w:vAlign w:val="center"/>
          </w:tcPr>
          <w:p>
            <w:pPr>
              <w:widowControl/>
              <w:spacing w:line="200" w:lineRule="exact"/>
              <w:jc w:val="center"/>
              <w:rPr>
                <w:kern w:val="0"/>
                <w:sz w:val="15"/>
                <w:szCs w:val="15"/>
              </w:rPr>
            </w:pPr>
          </w:p>
        </w:tc>
        <w:tc>
          <w:tcPr>
            <w:tcW w:w="1297" w:type="dxa"/>
            <w:shd w:val="clear" w:color="auto" w:fill="auto"/>
            <w:noWrap w:val="0"/>
            <w:vAlign w:val="center"/>
          </w:tcPr>
          <w:p>
            <w:pPr>
              <w:spacing w:line="200" w:lineRule="exact"/>
              <w:jc w:val="center"/>
              <w:rPr>
                <w:sz w:val="15"/>
                <w:szCs w:val="15"/>
              </w:rPr>
            </w:pPr>
            <w:r>
              <w:rPr>
                <w:rFonts w:hAnsi="宋体"/>
                <w:sz w:val="15"/>
                <w:szCs w:val="15"/>
              </w:rPr>
              <w:t>甲基异柳磷</w:t>
            </w:r>
          </w:p>
        </w:tc>
        <w:tc>
          <w:tcPr>
            <w:tcW w:w="1358" w:type="dxa"/>
            <w:shd w:val="clear" w:color="auto" w:fill="auto"/>
            <w:noWrap w:val="0"/>
            <w:vAlign w:val="center"/>
          </w:tcPr>
          <w:p>
            <w:pPr>
              <w:spacing w:line="200" w:lineRule="exact"/>
              <w:jc w:val="center"/>
              <w:rPr>
                <w:sz w:val="15"/>
                <w:szCs w:val="15"/>
              </w:rPr>
            </w:pPr>
            <w:r>
              <w:rPr>
                <w:sz w:val="15"/>
                <w:szCs w:val="15"/>
              </w:rPr>
              <w:t xml:space="preserve">0.132 </w:t>
            </w:r>
          </w:p>
        </w:tc>
        <w:tc>
          <w:tcPr>
            <w:tcW w:w="1420" w:type="dxa"/>
            <w:shd w:val="clear" w:color="auto" w:fill="auto"/>
            <w:noWrap w:val="0"/>
            <w:vAlign w:val="center"/>
          </w:tcPr>
          <w:p>
            <w:pPr>
              <w:spacing w:line="200" w:lineRule="exact"/>
              <w:jc w:val="center"/>
              <w:rPr>
                <w:sz w:val="15"/>
                <w:szCs w:val="15"/>
              </w:rPr>
            </w:pPr>
            <w:r>
              <w:rPr>
                <w:sz w:val="15"/>
                <w:szCs w:val="15"/>
              </w:rPr>
              <w:t xml:space="preserve">94.3 </w:t>
            </w:r>
          </w:p>
        </w:tc>
        <w:tc>
          <w:tcPr>
            <w:tcW w:w="1332" w:type="dxa"/>
            <w:noWrap w:val="0"/>
            <w:vAlign w:val="center"/>
          </w:tcPr>
          <w:p>
            <w:pPr>
              <w:spacing w:line="200" w:lineRule="exact"/>
              <w:jc w:val="center"/>
              <w:rPr>
                <w:sz w:val="15"/>
                <w:szCs w:val="15"/>
              </w:rPr>
            </w:pPr>
            <w:r>
              <w:rPr>
                <w:sz w:val="15"/>
                <w:szCs w:val="15"/>
              </w:rPr>
              <w:t xml:space="preserve">3.55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 w:hRule="atLeast"/>
          <w:jc w:val="center"/>
        </w:trPr>
        <w:tc>
          <w:tcPr>
            <w:tcW w:w="1033" w:type="dxa"/>
            <w:vMerge w:val="continue"/>
            <w:shd w:val="clear" w:color="auto" w:fill="auto"/>
            <w:noWrap w:val="0"/>
            <w:vAlign w:val="center"/>
          </w:tcPr>
          <w:p>
            <w:pPr>
              <w:widowControl/>
              <w:spacing w:line="200" w:lineRule="exact"/>
              <w:jc w:val="center"/>
              <w:rPr>
                <w:kern w:val="0"/>
                <w:sz w:val="15"/>
                <w:szCs w:val="15"/>
              </w:rPr>
            </w:pPr>
          </w:p>
        </w:tc>
        <w:tc>
          <w:tcPr>
            <w:tcW w:w="1297" w:type="dxa"/>
            <w:shd w:val="clear" w:color="auto" w:fill="auto"/>
            <w:noWrap w:val="0"/>
            <w:vAlign w:val="center"/>
          </w:tcPr>
          <w:p>
            <w:pPr>
              <w:spacing w:line="200" w:lineRule="exact"/>
              <w:jc w:val="center"/>
              <w:rPr>
                <w:sz w:val="15"/>
                <w:szCs w:val="15"/>
              </w:rPr>
            </w:pPr>
            <w:r>
              <w:rPr>
                <w:rFonts w:hAnsi="宋体"/>
                <w:sz w:val="15"/>
                <w:szCs w:val="15"/>
              </w:rPr>
              <w:t>水胺硫磷</w:t>
            </w:r>
          </w:p>
        </w:tc>
        <w:tc>
          <w:tcPr>
            <w:tcW w:w="1358" w:type="dxa"/>
            <w:shd w:val="clear" w:color="auto" w:fill="auto"/>
            <w:noWrap w:val="0"/>
            <w:vAlign w:val="center"/>
          </w:tcPr>
          <w:p>
            <w:pPr>
              <w:spacing w:line="200" w:lineRule="exact"/>
              <w:jc w:val="center"/>
              <w:rPr>
                <w:sz w:val="15"/>
                <w:szCs w:val="15"/>
              </w:rPr>
            </w:pPr>
            <w:r>
              <w:rPr>
                <w:sz w:val="15"/>
                <w:szCs w:val="15"/>
              </w:rPr>
              <w:t xml:space="preserve">0.435 </w:t>
            </w:r>
          </w:p>
        </w:tc>
        <w:tc>
          <w:tcPr>
            <w:tcW w:w="1420" w:type="dxa"/>
            <w:shd w:val="clear" w:color="auto" w:fill="auto"/>
            <w:noWrap w:val="0"/>
            <w:vAlign w:val="center"/>
          </w:tcPr>
          <w:p>
            <w:pPr>
              <w:spacing w:line="200" w:lineRule="exact"/>
              <w:jc w:val="center"/>
              <w:rPr>
                <w:sz w:val="15"/>
                <w:szCs w:val="15"/>
              </w:rPr>
            </w:pPr>
            <w:r>
              <w:rPr>
                <w:sz w:val="15"/>
                <w:szCs w:val="15"/>
              </w:rPr>
              <w:t xml:space="preserve">105.6 </w:t>
            </w:r>
          </w:p>
        </w:tc>
        <w:tc>
          <w:tcPr>
            <w:tcW w:w="1332" w:type="dxa"/>
            <w:noWrap w:val="0"/>
            <w:vAlign w:val="center"/>
          </w:tcPr>
          <w:p>
            <w:pPr>
              <w:spacing w:line="200" w:lineRule="exact"/>
              <w:jc w:val="center"/>
              <w:rPr>
                <w:sz w:val="15"/>
                <w:szCs w:val="15"/>
              </w:rPr>
            </w:pPr>
            <w:r>
              <w:rPr>
                <w:sz w:val="15"/>
                <w:szCs w:val="15"/>
              </w:rPr>
              <w:t xml:space="preserve">2.23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09" w:hRule="atLeast"/>
          <w:jc w:val="center"/>
        </w:trPr>
        <w:tc>
          <w:tcPr>
            <w:tcW w:w="1033" w:type="dxa"/>
            <w:vMerge w:val="restart"/>
            <w:shd w:val="clear" w:color="auto" w:fill="auto"/>
            <w:noWrap w:val="0"/>
            <w:vAlign w:val="center"/>
          </w:tcPr>
          <w:p>
            <w:pPr>
              <w:widowControl/>
              <w:spacing w:line="200" w:lineRule="exact"/>
              <w:jc w:val="center"/>
              <w:rPr>
                <w:rFonts w:hint="eastAsia" w:hAnsi="宋体"/>
                <w:kern w:val="0"/>
                <w:sz w:val="15"/>
                <w:szCs w:val="15"/>
              </w:rPr>
            </w:pPr>
            <w:r>
              <w:rPr>
                <w:rFonts w:hint="eastAsia" w:hAnsi="宋体"/>
                <w:kern w:val="0"/>
                <w:sz w:val="15"/>
                <w:szCs w:val="15"/>
              </w:rPr>
              <w:t>甲氰菊酯乳油</w:t>
            </w:r>
          </w:p>
        </w:tc>
        <w:tc>
          <w:tcPr>
            <w:tcW w:w="1297" w:type="dxa"/>
            <w:shd w:val="clear" w:color="auto" w:fill="auto"/>
            <w:noWrap w:val="0"/>
            <w:vAlign w:val="center"/>
          </w:tcPr>
          <w:p>
            <w:pPr>
              <w:widowControl/>
              <w:spacing w:line="200" w:lineRule="exact"/>
              <w:jc w:val="center"/>
              <w:rPr>
                <w:kern w:val="0"/>
                <w:sz w:val="15"/>
                <w:szCs w:val="15"/>
              </w:rPr>
            </w:pPr>
            <w:r>
              <w:rPr>
                <w:rFonts w:hAnsi="宋体"/>
                <w:kern w:val="0"/>
                <w:sz w:val="15"/>
                <w:szCs w:val="15"/>
              </w:rPr>
              <w:t>甲胺磷</w:t>
            </w:r>
          </w:p>
        </w:tc>
        <w:tc>
          <w:tcPr>
            <w:tcW w:w="1358" w:type="dxa"/>
            <w:shd w:val="clear" w:color="auto" w:fill="auto"/>
            <w:noWrap w:val="0"/>
            <w:vAlign w:val="center"/>
          </w:tcPr>
          <w:p>
            <w:pPr>
              <w:spacing w:line="200" w:lineRule="exact"/>
              <w:jc w:val="center"/>
              <w:rPr>
                <w:sz w:val="15"/>
                <w:szCs w:val="15"/>
              </w:rPr>
            </w:pPr>
            <w:r>
              <w:rPr>
                <w:sz w:val="15"/>
                <w:szCs w:val="15"/>
              </w:rPr>
              <w:t>1.202</w:t>
            </w:r>
          </w:p>
        </w:tc>
        <w:tc>
          <w:tcPr>
            <w:tcW w:w="1420" w:type="dxa"/>
            <w:shd w:val="clear" w:color="auto" w:fill="auto"/>
            <w:noWrap w:val="0"/>
            <w:vAlign w:val="center"/>
          </w:tcPr>
          <w:p>
            <w:pPr>
              <w:spacing w:line="200" w:lineRule="exact"/>
              <w:jc w:val="center"/>
              <w:rPr>
                <w:sz w:val="15"/>
                <w:szCs w:val="15"/>
              </w:rPr>
            </w:pPr>
            <w:r>
              <w:rPr>
                <w:sz w:val="15"/>
                <w:szCs w:val="15"/>
              </w:rPr>
              <w:t>100.6</w:t>
            </w:r>
          </w:p>
        </w:tc>
        <w:tc>
          <w:tcPr>
            <w:tcW w:w="1332" w:type="dxa"/>
            <w:noWrap w:val="0"/>
            <w:vAlign w:val="center"/>
          </w:tcPr>
          <w:p>
            <w:pPr>
              <w:spacing w:line="200" w:lineRule="exact"/>
              <w:jc w:val="center"/>
              <w:rPr>
                <w:sz w:val="15"/>
                <w:szCs w:val="15"/>
              </w:rPr>
            </w:pPr>
            <w:r>
              <w:rPr>
                <w:sz w:val="15"/>
                <w:szCs w:val="15"/>
              </w:rPr>
              <w:t>1.59</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15" w:hRule="atLeast"/>
          <w:jc w:val="center"/>
        </w:trPr>
        <w:tc>
          <w:tcPr>
            <w:tcW w:w="1033" w:type="dxa"/>
            <w:vMerge w:val="continue"/>
            <w:shd w:val="clear" w:color="auto" w:fill="auto"/>
            <w:noWrap w:val="0"/>
            <w:vAlign w:val="center"/>
          </w:tcPr>
          <w:p>
            <w:pPr>
              <w:widowControl/>
              <w:spacing w:line="200" w:lineRule="exact"/>
              <w:jc w:val="center"/>
              <w:rPr>
                <w:rFonts w:hAnsi="宋体"/>
                <w:kern w:val="0"/>
                <w:sz w:val="15"/>
                <w:szCs w:val="15"/>
              </w:rPr>
            </w:pPr>
          </w:p>
        </w:tc>
        <w:tc>
          <w:tcPr>
            <w:tcW w:w="1297" w:type="dxa"/>
            <w:shd w:val="clear" w:color="auto" w:fill="auto"/>
            <w:noWrap w:val="0"/>
            <w:vAlign w:val="center"/>
          </w:tcPr>
          <w:p>
            <w:pPr>
              <w:widowControl/>
              <w:spacing w:line="200" w:lineRule="exact"/>
              <w:jc w:val="center"/>
              <w:rPr>
                <w:kern w:val="0"/>
                <w:sz w:val="15"/>
                <w:szCs w:val="15"/>
              </w:rPr>
            </w:pPr>
            <w:r>
              <w:rPr>
                <w:rFonts w:hAnsi="宋体"/>
                <w:kern w:val="0"/>
                <w:sz w:val="15"/>
                <w:szCs w:val="15"/>
              </w:rPr>
              <w:t>甲拌磷</w:t>
            </w:r>
          </w:p>
        </w:tc>
        <w:tc>
          <w:tcPr>
            <w:tcW w:w="1358" w:type="dxa"/>
            <w:shd w:val="clear" w:color="auto" w:fill="auto"/>
            <w:noWrap w:val="0"/>
            <w:vAlign w:val="center"/>
          </w:tcPr>
          <w:p>
            <w:pPr>
              <w:spacing w:line="200" w:lineRule="exact"/>
              <w:jc w:val="center"/>
              <w:rPr>
                <w:sz w:val="15"/>
                <w:szCs w:val="15"/>
              </w:rPr>
            </w:pPr>
            <w:r>
              <w:rPr>
                <w:sz w:val="15"/>
                <w:szCs w:val="15"/>
              </w:rPr>
              <w:t>0.526</w:t>
            </w:r>
          </w:p>
        </w:tc>
        <w:tc>
          <w:tcPr>
            <w:tcW w:w="1420" w:type="dxa"/>
            <w:shd w:val="clear" w:color="auto" w:fill="auto"/>
            <w:noWrap w:val="0"/>
            <w:vAlign w:val="center"/>
          </w:tcPr>
          <w:p>
            <w:pPr>
              <w:spacing w:line="200" w:lineRule="exact"/>
              <w:jc w:val="center"/>
              <w:rPr>
                <w:sz w:val="15"/>
                <w:szCs w:val="15"/>
              </w:rPr>
            </w:pPr>
            <w:r>
              <w:rPr>
                <w:sz w:val="15"/>
                <w:szCs w:val="15"/>
              </w:rPr>
              <w:t>97.5</w:t>
            </w:r>
          </w:p>
        </w:tc>
        <w:tc>
          <w:tcPr>
            <w:tcW w:w="1332" w:type="dxa"/>
            <w:noWrap w:val="0"/>
            <w:vAlign w:val="center"/>
          </w:tcPr>
          <w:p>
            <w:pPr>
              <w:spacing w:line="200" w:lineRule="exact"/>
              <w:jc w:val="center"/>
              <w:rPr>
                <w:sz w:val="15"/>
                <w:szCs w:val="15"/>
              </w:rPr>
            </w:pPr>
            <w:r>
              <w:rPr>
                <w:sz w:val="15"/>
                <w:szCs w:val="15"/>
              </w:rPr>
              <w:t>1.41</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15" w:hRule="atLeast"/>
          <w:jc w:val="center"/>
        </w:trPr>
        <w:tc>
          <w:tcPr>
            <w:tcW w:w="1033" w:type="dxa"/>
            <w:vMerge w:val="continue"/>
            <w:shd w:val="clear" w:color="auto" w:fill="auto"/>
            <w:noWrap w:val="0"/>
            <w:vAlign w:val="center"/>
          </w:tcPr>
          <w:p>
            <w:pPr>
              <w:widowControl/>
              <w:spacing w:line="200" w:lineRule="exact"/>
              <w:jc w:val="center"/>
              <w:rPr>
                <w:rFonts w:hAnsi="宋体"/>
                <w:kern w:val="0"/>
                <w:sz w:val="15"/>
                <w:szCs w:val="15"/>
              </w:rPr>
            </w:pPr>
          </w:p>
        </w:tc>
        <w:tc>
          <w:tcPr>
            <w:tcW w:w="1297" w:type="dxa"/>
            <w:shd w:val="clear" w:color="auto" w:fill="auto"/>
            <w:noWrap w:val="0"/>
            <w:vAlign w:val="center"/>
          </w:tcPr>
          <w:p>
            <w:pPr>
              <w:widowControl/>
              <w:spacing w:line="200" w:lineRule="exact"/>
              <w:jc w:val="center"/>
              <w:rPr>
                <w:kern w:val="0"/>
                <w:sz w:val="15"/>
                <w:szCs w:val="15"/>
              </w:rPr>
            </w:pPr>
            <w:r>
              <w:rPr>
                <w:rFonts w:hAnsi="宋体"/>
                <w:kern w:val="0"/>
                <w:sz w:val="15"/>
                <w:szCs w:val="15"/>
              </w:rPr>
              <w:t>治螟磷</w:t>
            </w:r>
          </w:p>
        </w:tc>
        <w:tc>
          <w:tcPr>
            <w:tcW w:w="1358" w:type="dxa"/>
            <w:shd w:val="clear" w:color="auto" w:fill="auto"/>
            <w:noWrap w:val="0"/>
            <w:vAlign w:val="center"/>
          </w:tcPr>
          <w:p>
            <w:pPr>
              <w:spacing w:line="200" w:lineRule="exact"/>
              <w:jc w:val="center"/>
              <w:rPr>
                <w:sz w:val="15"/>
                <w:szCs w:val="15"/>
              </w:rPr>
            </w:pPr>
            <w:r>
              <w:rPr>
                <w:sz w:val="15"/>
                <w:szCs w:val="15"/>
              </w:rPr>
              <w:t>0.709</w:t>
            </w:r>
          </w:p>
        </w:tc>
        <w:tc>
          <w:tcPr>
            <w:tcW w:w="1420" w:type="dxa"/>
            <w:shd w:val="clear" w:color="auto" w:fill="auto"/>
            <w:noWrap w:val="0"/>
            <w:vAlign w:val="center"/>
          </w:tcPr>
          <w:p>
            <w:pPr>
              <w:spacing w:line="200" w:lineRule="exact"/>
              <w:jc w:val="center"/>
              <w:rPr>
                <w:sz w:val="15"/>
                <w:szCs w:val="15"/>
              </w:rPr>
            </w:pPr>
            <w:r>
              <w:rPr>
                <w:sz w:val="15"/>
                <w:szCs w:val="15"/>
              </w:rPr>
              <w:t>101.8</w:t>
            </w:r>
          </w:p>
        </w:tc>
        <w:tc>
          <w:tcPr>
            <w:tcW w:w="1332" w:type="dxa"/>
            <w:noWrap w:val="0"/>
            <w:vAlign w:val="center"/>
          </w:tcPr>
          <w:p>
            <w:pPr>
              <w:spacing w:line="200" w:lineRule="exact"/>
              <w:jc w:val="center"/>
              <w:rPr>
                <w:sz w:val="15"/>
                <w:szCs w:val="15"/>
              </w:rPr>
            </w:pPr>
            <w:r>
              <w:rPr>
                <w:sz w:val="15"/>
                <w:szCs w:val="15"/>
              </w:rPr>
              <w:t>0.85</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15" w:hRule="atLeast"/>
          <w:jc w:val="center"/>
        </w:trPr>
        <w:tc>
          <w:tcPr>
            <w:tcW w:w="1033" w:type="dxa"/>
            <w:vMerge w:val="continue"/>
            <w:shd w:val="clear" w:color="auto" w:fill="auto"/>
            <w:noWrap w:val="0"/>
            <w:vAlign w:val="center"/>
          </w:tcPr>
          <w:p>
            <w:pPr>
              <w:widowControl/>
              <w:spacing w:line="200" w:lineRule="exact"/>
              <w:jc w:val="center"/>
              <w:rPr>
                <w:rFonts w:hAnsi="宋体"/>
                <w:kern w:val="0"/>
                <w:sz w:val="15"/>
                <w:szCs w:val="15"/>
              </w:rPr>
            </w:pPr>
          </w:p>
        </w:tc>
        <w:tc>
          <w:tcPr>
            <w:tcW w:w="1297" w:type="dxa"/>
            <w:shd w:val="clear" w:color="auto" w:fill="auto"/>
            <w:noWrap w:val="0"/>
            <w:vAlign w:val="center"/>
          </w:tcPr>
          <w:p>
            <w:pPr>
              <w:widowControl/>
              <w:spacing w:line="200" w:lineRule="exact"/>
              <w:jc w:val="center"/>
              <w:rPr>
                <w:kern w:val="0"/>
                <w:sz w:val="15"/>
                <w:szCs w:val="15"/>
              </w:rPr>
            </w:pPr>
            <w:r>
              <w:rPr>
                <w:rFonts w:hAnsi="宋体"/>
                <w:kern w:val="0"/>
                <w:sz w:val="15"/>
                <w:szCs w:val="15"/>
              </w:rPr>
              <w:t>氧乐果</w:t>
            </w:r>
          </w:p>
        </w:tc>
        <w:tc>
          <w:tcPr>
            <w:tcW w:w="1358" w:type="dxa"/>
            <w:shd w:val="clear" w:color="auto" w:fill="auto"/>
            <w:noWrap w:val="0"/>
            <w:vAlign w:val="center"/>
          </w:tcPr>
          <w:p>
            <w:pPr>
              <w:spacing w:line="200" w:lineRule="exact"/>
              <w:jc w:val="center"/>
              <w:rPr>
                <w:sz w:val="15"/>
                <w:szCs w:val="15"/>
              </w:rPr>
            </w:pPr>
            <w:r>
              <w:rPr>
                <w:sz w:val="15"/>
                <w:szCs w:val="15"/>
              </w:rPr>
              <w:t>0.489</w:t>
            </w:r>
          </w:p>
        </w:tc>
        <w:tc>
          <w:tcPr>
            <w:tcW w:w="1420" w:type="dxa"/>
            <w:shd w:val="clear" w:color="auto" w:fill="auto"/>
            <w:noWrap w:val="0"/>
            <w:vAlign w:val="center"/>
          </w:tcPr>
          <w:p>
            <w:pPr>
              <w:spacing w:line="200" w:lineRule="exact"/>
              <w:jc w:val="center"/>
              <w:rPr>
                <w:sz w:val="15"/>
                <w:szCs w:val="15"/>
              </w:rPr>
            </w:pPr>
            <w:r>
              <w:rPr>
                <w:sz w:val="15"/>
                <w:szCs w:val="15"/>
              </w:rPr>
              <w:t>96.6</w:t>
            </w:r>
          </w:p>
        </w:tc>
        <w:tc>
          <w:tcPr>
            <w:tcW w:w="1332" w:type="dxa"/>
            <w:noWrap w:val="0"/>
            <w:vAlign w:val="center"/>
          </w:tcPr>
          <w:p>
            <w:pPr>
              <w:spacing w:line="200" w:lineRule="exact"/>
              <w:jc w:val="center"/>
              <w:rPr>
                <w:sz w:val="15"/>
                <w:szCs w:val="15"/>
              </w:rPr>
            </w:pPr>
            <w:r>
              <w:rPr>
                <w:sz w:val="15"/>
                <w:szCs w:val="15"/>
              </w:rPr>
              <w:t>1.34</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15" w:hRule="atLeast"/>
          <w:jc w:val="center"/>
        </w:trPr>
        <w:tc>
          <w:tcPr>
            <w:tcW w:w="1033" w:type="dxa"/>
            <w:vMerge w:val="continue"/>
            <w:shd w:val="clear" w:color="auto" w:fill="auto"/>
            <w:noWrap w:val="0"/>
            <w:vAlign w:val="center"/>
          </w:tcPr>
          <w:p>
            <w:pPr>
              <w:widowControl/>
              <w:spacing w:line="200" w:lineRule="exact"/>
              <w:jc w:val="center"/>
              <w:rPr>
                <w:rFonts w:hAnsi="宋体"/>
                <w:kern w:val="0"/>
                <w:sz w:val="15"/>
                <w:szCs w:val="15"/>
              </w:rPr>
            </w:pPr>
          </w:p>
        </w:tc>
        <w:tc>
          <w:tcPr>
            <w:tcW w:w="1297" w:type="dxa"/>
            <w:shd w:val="clear" w:color="auto" w:fill="auto"/>
            <w:noWrap w:val="0"/>
            <w:vAlign w:val="center"/>
          </w:tcPr>
          <w:p>
            <w:pPr>
              <w:widowControl/>
              <w:spacing w:line="200" w:lineRule="exact"/>
              <w:jc w:val="center"/>
              <w:rPr>
                <w:kern w:val="0"/>
                <w:sz w:val="15"/>
                <w:szCs w:val="15"/>
              </w:rPr>
            </w:pPr>
            <w:r>
              <w:rPr>
                <w:rFonts w:hAnsi="宋体"/>
                <w:kern w:val="0"/>
                <w:sz w:val="15"/>
                <w:szCs w:val="15"/>
              </w:rPr>
              <w:t>特丁硫磷</w:t>
            </w:r>
          </w:p>
        </w:tc>
        <w:tc>
          <w:tcPr>
            <w:tcW w:w="1358" w:type="dxa"/>
            <w:shd w:val="clear" w:color="auto" w:fill="auto"/>
            <w:noWrap w:val="0"/>
            <w:vAlign w:val="center"/>
          </w:tcPr>
          <w:p>
            <w:pPr>
              <w:spacing w:line="200" w:lineRule="exact"/>
              <w:jc w:val="center"/>
              <w:rPr>
                <w:sz w:val="15"/>
                <w:szCs w:val="15"/>
              </w:rPr>
            </w:pPr>
            <w:r>
              <w:rPr>
                <w:sz w:val="15"/>
                <w:szCs w:val="15"/>
              </w:rPr>
              <w:t>0.328</w:t>
            </w:r>
          </w:p>
        </w:tc>
        <w:tc>
          <w:tcPr>
            <w:tcW w:w="1420" w:type="dxa"/>
            <w:shd w:val="clear" w:color="auto" w:fill="auto"/>
            <w:noWrap w:val="0"/>
            <w:vAlign w:val="center"/>
          </w:tcPr>
          <w:p>
            <w:pPr>
              <w:spacing w:line="200" w:lineRule="exact"/>
              <w:jc w:val="center"/>
              <w:rPr>
                <w:sz w:val="15"/>
                <w:szCs w:val="15"/>
              </w:rPr>
            </w:pPr>
            <w:r>
              <w:rPr>
                <w:sz w:val="15"/>
                <w:szCs w:val="15"/>
              </w:rPr>
              <w:t>96.9</w:t>
            </w:r>
          </w:p>
        </w:tc>
        <w:tc>
          <w:tcPr>
            <w:tcW w:w="1332" w:type="dxa"/>
            <w:noWrap w:val="0"/>
            <w:vAlign w:val="center"/>
          </w:tcPr>
          <w:p>
            <w:pPr>
              <w:spacing w:line="200" w:lineRule="exact"/>
              <w:jc w:val="center"/>
              <w:rPr>
                <w:sz w:val="15"/>
                <w:szCs w:val="15"/>
              </w:rPr>
            </w:pPr>
            <w:r>
              <w:rPr>
                <w:sz w:val="15"/>
                <w:szCs w:val="15"/>
              </w:rPr>
              <w:t>2.28</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15" w:hRule="atLeast"/>
          <w:jc w:val="center"/>
        </w:trPr>
        <w:tc>
          <w:tcPr>
            <w:tcW w:w="1033" w:type="dxa"/>
            <w:vMerge w:val="continue"/>
            <w:shd w:val="clear" w:color="auto" w:fill="auto"/>
            <w:noWrap w:val="0"/>
            <w:vAlign w:val="center"/>
          </w:tcPr>
          <w:p>
            <w:pPr>
              <w:widowControl/>
              <w:spacing w:line="200" w:lineRule="exact"/>
              <w:jc w:val="center"/>
              <w:rPr>
                <w:rFonts w:hAnsi="宋体"/>
                <w:kern w:val="0"/>
                <w:sz w:val="15"/>
                <w:szCs w:val="15"/>
              </w:rPr>
            </w:pPr>
          </w:p>
        </w:tc>
        <w:tc>
          <w:tcPr>
            <w:tcW w:w="1297" w:type="dxa"/>
            <w:shd w:val="clear" w:color="auto" w:fill="auto"/>
            <w:noWrap w:val="0"/>
            <w:vAlign w:val="center"/>
          </w:tcPr>
          <w:p>
            <w:pPr>
              <w:widowControl/>
              <w:spacing w:line="200" w:lineRule="exact"/>
              <w:jc w:val="center"/>
              <w:rPr>
                <w:kern w:val="0"/>
                <w:sz w:val="15"/>
                <w:szCs w:val="15"/>
              </w:rPr>
            </w:pPr>
            <w:r>
              <w:rPr>
                <w:rFonts w:hAnsi="宋体"/>
                <w:kern w:val="0"/>
                <w:sz w:val="15"/>
                <w:szCs w:val="15"/>
              </w:rPr>
              <w:t>久效磷</w:t>
            </w:r>
          </w:p>
        </w:tc>
        <w:tc>
          <w:tcPr>
            <w:tcW w:w="1358" w:type="dxa"/>
            <w:shd w:val="clear" w:color="auto" w:fill="auto"/>
            <w:noWrap w:val="0"/>
            <w:vAlign w:val="center"/>
          </w:tcPr>
          <w:p>
            <w:pPr>
              <w:spacing w:line="200" w:lineRule="exact"/>
              <w:jc w:val="center"/>
              <w:rPr>
                <w:sz w:val="15"/>
                <w:szCs w:val="15"/>
              </w:rPr>
            </w:pPr>
            <w:r>
              <w:rPr>
                <w:sz w:val="15"/>
                <w:szCs w:val="15"/>
              </w:rPr>
              <w:t>0.789</w:t>
            </w:r>
          </w:p>
        </w:tc>
        <w:tc>
          <w:tcPr>
            <w:tcW w:w="1420" w:type="dxa"/>
            <w:shd w:val="clear" w:color="auto" w:fill="auto"/>
            <w:noWrap w:val="0"/>
            <w:vAlign w:val="center"/>
          </w:tcPr>
          <w:p>
            <w:pPr>
              <w:spacing w:line="200" w:lineRule="exact"/>
              <w:jc w:val="center"/>
              <w:rPr>
                <w:sz w:val="15"/>
                <w:szCs w:val="15"/>
              </w:rPr>
            </w:pPr>
            <w:r>
              <w:rPr>
                <w:sz w:val="15"/>
                <w:szCs w:val="15"/>
              </w:rPr>
              <w:t>98.6</w:t>
            </w:r>
          </w:p>
        </w:tc>
        <w:tc>
          <w:tcPr>
            <w:tcW w:w="1332" w:type="dxa"/>
            <w:noWrap w:val="0"/>
            <w:vAlign w:val="center"/>
          </w:tcPr>
          <w:p>
            <w:pPr>
              <w:spacing w:line="200" w:lineRule="exact"/>
              <w:jc w:val="center"/>
              <w:rPr>
                <w:sz w:val="15"/>
                <w:szCs w:val="15"/>
              </w:rPr>
            </w:pPr>
            <w:r>
              <w:rPr>
                <w:sz w:val="15"/>
                <w:szCs w:val="15"/>
              </w:rPr>
              <w:t>1.04</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15" w:hRule="atLeast"/>
          <w:jc w:val="center"/>
        </w:trPr>
        <w:tc>
          <w:tcPr>
            <w:tcW w:w="1033" w:type="dxa"/>
            <w:vMerge w:val="continue"/>
            <w:shd w:val="clear" w:color="auto" w:fill="auto"/>
            <w:noWrap w:val="0"/>
            <w:vAlign w:val="center"/>
          </w:tcPr>
          <w:p>
            <w:pPr>
              <w:widowControl/>
              <w:spacing w:line="200" w:lineRule="exact"/>
              <w:jc w:val="center"/>
              <w:rPr>
                <w:rFonts w:hAnsi="宋体"/>
                <w:kern w:val="0"/>
                <w:sz w:val="15"/>
                <w:szCs w:val="15"/>
              </w:rPr>
            </w:pPr>
          </w:p>
        </w:tc>
        <w:tc>
          <w:tcPr>
            <w:tcW w:w="1297" w:type="dxa"/>
            <w:shd w:val="clear" w:color="auto" w:fill="auto"/>
            <w:noWrap w:val="0"/>
            <w:vAlign w:val="center"/>
          </w:tcPr>
          <w:p>
            <w:pPr>
              <w:widowControl/>
              <w:spacing w:line="200" w:lineRule="exact"/>
              <w:jc w:val="center"/>
              <w:rPr>
                <w:kern w:val="0"/>
                <w:sz w:val="15"/>
                <w:szCs w:val="15"/>
              </w:rPr>
            </w:pPr>
            <w:r>
              <w:rPr>
                <w:rFonts w:hAnsi="宋体"/>
                <w:kern w:val="0"/>
                <w:sz w:val="15"/>
                <w:szCs w:val="15"/>
              </w:rPr>
              <w:t>甲基对硫磷</w:t>
            </w:r>
          </w:p>
        </w:tc>
        <w:tc>
          <w:tcPr>
            <w:tcW w:w="1358" w:type="dxa"/>
            <w:shd w:val="clear" w:color="auto" w:fill="auto"/>
            <w:noWrap w:val="0"/>
            <w:vAlign w:val="center"/>
          </w:tcPr>
          <w:p>
            <w:pPr>
              <w:spacing w:line="200" w:lineRule="exact"/>
              <w:jc w:val="center"/>
              <w:rPr>
                <w:sz w:val="15"/>
                <w:szCs w:val="15"/>
              </w:rPr>
            </w:pPr>
            <w:r>
              <w:rPr>
                <w:sz w:val="15"/>
                <w:szCs w:val="15"/>
              </w:rPr>
              <w:t>0.473</w:t>
            </w:r>
          </w:p>
        </w:tc>
        <w:tc>
          <w:tcPr>
            <w:tcW w:w="1420" w:type="dxa"/>
            <w:shd w:val="clear" w:color="auto" w:fill="auto"/>
            <w:noWrap w:val="0"/>
            <w:vAlign w:val="center"/>
          </w:tcPr>
          <w:p>
            <w:pPr>
              <w:spacing w:line="200" w:lineRule="exact"/>
              <w:jc w:val="center"/>
              <w:rPr>
                <w:sz w:val="15"/>
                <w:szCs w:val="15"/>
              </w:rPr>
            </w:pPr>
            <w:r>
              <w:rPr>
                <w:sz w:val="15"/>
                <w:szCs w:val="15"/>
              </w:rPr>
              <w:t>97.7</w:t>
            </w:r>
          </w:p>
        </w:tc>
        <w:tc>
          <w:tcPr>
            <w:tcW w:w="1332" w:type="dxa"/>
            <w:noWrap w:val="0"/>
            <w:vAlign w:val="center"/>
          </w:tcPr>
          <w:p>
            <w:pPr>
              <w:spacing w:line="200" w:lineRule="exact"/>
              <w:jc w:val="center"/>
              <w:rPr>
                <w:sz w:val="15"/>
                <w:szCs w:val="15"/>
              </w:rPr>
            </w:pPr>
            <w:r>
              <w:rPr>
                <w:sz w:val="15"/>
                <w:szCs w:val="15"/>
              </w:rPr>
              <w:t>1.36</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15" w:hRule="atLeast"/>
          <w:jc w:val="center"/>
        </w:trPr>
        <w:tc>
          <w:tcPr>
            <w:tcW w:w="1033" w:type="dxa"/>
            <w:vMerge w:val="continue"/>
            <w:shd w:val="clear" w:color="auto" w:fill="auto"/>
            <w:noWrap w:val="0"/>
            <w:vAlign w:val="center"/>
          </w:tcPr>
          <w:p>
            <w:pPr>
              <w:widowControl/>
              <w:spacing w:line="200" w:lineRule="exact"/>
              <w:jc w:val="center"/>
              <w:rPr>
                <w:rFonts w:hAnsi="宋体"/>
                <w:kern w:val="0"/>
                <w:sz w:val="15"/>
                <w:szCs w:val="15"/>
              </w:rPr>
            </w:pPr>
          </w:p>
        </w:tc>
        <w:tc>
          <w:tcPr>
            <w:tcW w:w="1297" w:type="dxa"/>
            <w:shd w:val="clear" w:color="auto" w:fill="auto"/>
            <w:noWrap w:val="0"/>
            <w:vAlign w:val="center"/>
          </w:tcPr>
          <w:p>
            <w:pPr>
              <w:widowControl/>
              <w:spacing w:line="200" w:lineRule="exact"/>
              <w:jc w:val="center"/>
              <w:rPr>
                <w:kern w:val="0"/>
                <w:sz w:val="15"/>
                <w:szCs w:val="15"/>
              </w:rPr>
            </w:pPr>
            <w:r>
              <w:rPr>
                <w:rFonts w:hAnsi="宋体"/>
                <w:kern w:val="0"/>
                <w:sz w:val="15"/>
                <w:szCs w:val="15"/>
              </w:rPr>
              <w:t>对硫磷</w:t>
            </w:r>
          </w:p>
        </w:tc>
        <w:tc>
          <w:tcPr>
            <w:tcW w:w="1358" w:type="dxa"/>
            <w:shd w:val="clear" w:color="auto" w:fill="auto"/>
            <w:noWrap w:val="0"/>
            <w:vAlign w:val="center"/>
          </w:tcPr>
          <w:p>
            <w:pPr>
              <w:spacing w:line="200" w:lineRule="exact"/>
              <w:jc w:val="center"/>
              <w:rPr>
                <w:sz w:val="15"/>
                <w:szCs w:val="15"/>
              </w:rPr>
            </w:pPr>
            <w:r>
              <w:rPr>
                <w:sz w:val="15"/>
                <w:szCs w:val="15"/>
              </w:rPr>
              <w:t>0.539</w:t>
            </w:r>
          </w:p>
        </w:tc>
        <w:tc>
          <w:tcPr>
            <w:tcW w:w="1420" w:type="dxa"/>
            <w:shd w:val="clear" w:color="auto" w:fill="auto"/>
            <w:noWrap w:val="0"/>
            <w:vAlign w:val="center"/>
          </w:tcPr>
          <w:p>
            <w:pPr>
              <w:spacing w:line="200" w:lineRule="exact"/>
              <w:jc w:val="center"/>
              <w:rPr>
                <w:sz w:val="15"/>
                <w:szCs w:val="15"/>
              </w:rPr>
            </w:pPr>
            <w:r>
              <w:rPr>
                <w:sz w:val="15"/>
                <w:szCs w:val="15"/>
              </w:rPr>
              <w:t>97.8</w:t>
            </w:r>
          </w:p>
        </w:tc>
        <w:tc>
          <w:tcPr>
            <w:tcW w:w="1332" w:type="dxa"/>
            <w:noWrap w:val="0"/>
            <w:vAlign w:val="center"/>
          </w:tcPr>
          <w:p>
            <w:pPr>
              <w:spacing w:line="200" w:lineRule="exact"/>
              <w:jc w:val="center"/>
              <w:rPr>
                <w:sz w:val="15"/>
                <w:szCs w:val="15"/>
              </w:rPr>
            </w:pPr>
            <w:r>
              <w:rPr>
                <w:sz w:val="15"/>
                <w:szCs w:val="15"/>
              </w:rPr>
              <w:t>1.71</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 w:hRule="atLeast"/>
          <w:jc w:val="center"/>
        </w:trPr>
        <w:tc>
          <w:tcPr>
            <w:tcW w:w="1033" w:type="dxa"/>
            <w:vMerge w:val="continue"/>
            <w:shd w:val="clear" w:color="auto" w:fill="auto"/>
            <w:noWrap w:val="0"/>
            <w:vAlign w:val="center"/>
          </w:tcPr>
          <w:p>
            <w:pPr>
              <w:widowControl/>
              <w:spacing w:line="200" w:lineRule="exact"/>
              <w:jc w:val="center"/>
              <w:rPr>
                <w:rFonts w:hAnsi="宋体"/>
                <w:kern w:val="0"/>
                <w:sz w:val="15"/>
                <w:szCs w:val="15"/>
              </w:rPr>
            </w:pPr>
          </w:p>
        </w:tc>
        <w:tc>
          <w:tcPr>
            <w:tcW w:w="1297" w:type="dxa"/>
            <w:shd w:val="clear" w:color="auto" w:fill="auto"/>
            <w:noWrap w:val="0"/>
            <w:vAlign w:val="center"/>
          </w:tcPr>
          <w:p>
            <w:pPr>
              <w:widowControl/>
              <w:spacing w:line="200" w:lineRule="exact"/>
              <w:jc w:val="center"/>
              <w:rPr>
                <w:kern w:val="0"/>
                <w:sz w:val="15"/>
                <w:szCs w:val="15"/>
              </w:rPr>
            </w:pPr>
            <w:r>
              <w:rPr>
                <w:rFonts w:hAnsi="宋体"/>
                <w:kern w:val="0"/>
                <w:sz w:val="15"/>
                <w:szCs w:val="15"/>
              </w:rPr>
              <w:t>甲基异柳磷</w:t>
            </w:r>
          </w:p>
        </w:tc>
        <w:tc>
          <w:tcPr>
            <w:tcW w:w="1358" w:type="dxa"/>
            <w:shd w:val="clear" w:color="auto" w:fill="auto"/>
            <w:noWrap w:val="0"/>
            <w:vAlign w:val="center"/>
          </w:tcPr>
          <w:p>
            <w:pPr>
              <w:spacing w:line="200" w:lineRule="exact"/>
              <w:jc w:val="center"/>
              <w:rPr>
                <w:sz w:val="15"/>
                <w:szCs w:val="15"/>
              </w:rPr>
            </w:pPr>
            <w:r>
              <w:rPr>
                <w:sz w:val="15"/>
                <w:szCs w:val="15"/>
              </w:rPr>
              <w:t>0.132</w:t>
            </w:r>
          </w:p>
        </w:tc>
        <w:tc>
          <w:tcPr>
            <w:tcW w:w="1420" w:type="dxa"/>
            <w:shd w:val="clear" w:color="auto" w:fill="auto"/>
            <w:noWrap w:val="0"/>
            <w:vAlign w:val="center"/>
          </w:tcPr>
          <w:p>
            <w:pPr>
              <w:spacing w:line="200" w:lineRule="exact"/>
              <w:jc w:val="center"/>
              <w:rPr>
                <w:sz w:val="15"/>
                <w:szCs w:val="15"/>
              </w:rPr>
            </w:pPr>
            <w:r>
              <w:rPr>
                <w:sz w:val="15"/>
                <w:szCs w:val="15"/>
              </w:rPr>
              <w:t>104.2</w:t>
            </w:r>
          </w:p>
        </w:tc>
        <w:tc>
          <w:tcPr>
            <w:tcW w:w="1332" w:type="dxa"/>
            <w:noWrap w:val="0"/>
            <w:vAlign w:val="center"/>
          </w:tcPr>
          <w:p>
            <w:pPr>
              <w:spacing w:line="200" w:lineRule="exact"/>
              <w:jc w:val="center"/>
              <w:rPr>
                <w:sz w:val="15"/>
                <w:szCs w:val="15"/>
              </w:rPr>
            </w:pPr>
            <w:r>
              <w:rPr>
                <w:sz w:val="15"/>
                <w:szCs w:val="15"/>
              </w:rPr>
              <w:t>1.36</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 w:hRule="atLeast"/>
          <w:jc w:val="center"/>
        </w:trPr>
        <w:tc>
          <w:tcPr>
            <w:tcW w:w="1033" w:type="dxa"/>
            <w:vMerge w:val="continue"/>
            <w:shd w:val="clear" w:color="auto" w:fill="auto"/>
            <w:noWrap w:val="0"/>
            <w:vAlign w:val="center"/>
          </w:tcPr>
          <w:p>
            <w:pPr>
              <w:widowControl/>
              <w:spacing w:line="200" w:lineRule="exact"/>
              <w:jc w:val="center"/>
              <w:rPr>
                <w:rFonts w:hAnsi="宋体"/>
                <w:kern w:val="0"/>
                <w:sz w:val="15"/>
                <w:szCs w:val="15"/>
              </w:rPr>
            </w:pPr>
          </w:p>
        </w:tc>
        <w:tc>
          <w:tcPr>
            <w:tcW w:w="1297" w:type="dxa"/>
            <w:shd w:val="clear" w:color="auto" w:fill="auto"/>
            <w:noWrap w:val="0"/>
            <w:vAlign w:val="center"/>
          </w:tcPr>
          <w:p>
            <w:pPr>
              <w:widowControl/>
              <w:spacing w:line="200" w:lineRule="exact"/>
              <w:jc w:val="center"/>
              <w:rPr>
                <w:kern w:val="0"/>
                <w:sz w:val="15"/>
                <w:szCs w:val="15"/>
              </w:rPr>
            </w:pPr>
            <w:r>
              <w:rPr>
                <w:rFonts w:hAnsi="宋体"/>
                <w:kern w:val="0"/>
                <w:sz w:val="15"/>
                <w:szCs w:val="15"/>
              </w:rPr>
              <w:t>水胺硫磷</w:t>
            </w:r>
          </w:p>
        </w:tc>
        <w:tc>
          <w:tcPr>
            <w:tcW w:w="1358" w:type="dxa"/>
            <w:shd w:val="clear" w:color="auto" w:fill="auto"/>
            <w:noWrap w:val="0"/>
            <w:vAlign w:val="center"/>
          </w:tcPr>
          <w:p>
            <w:pPr>
              <w:spacing w:line="200" w:lineRule="exact"/>
              <w:jc w:val="center"/>
              <w:rPr>
                <w:sz w:val="15"/>
                <w:szCs w:val="15"/>
              </w:rPr>
            </w:pPr>
            <w:r>
              <w:rPr>
                <w:sz w:val="15"/>
                <w:szCs w:val="15"/>
              </w:rPr>
              <w:t>0.435</w:t>
            </w:r>
          </w:p>
        </w:tc>
        <w:tc>
          <w:tcPr>
            <w:tcW w:w="1420" w:type="dxa"/>
            <w:shd w:val="clear" w:color="auto" w:fill="auto"/>
            <w:noWrap w:val="0"/>
            <w:vAlign w:val="center"/>
          </w:tcPr>
          <w:p>
            <w:pPr>
              <w:spacing w:line="200" w:lineRule="exact"/>
              <w:jc w:val="center"/>
              <w:rPr>
                <w:sz w:val="15"/>
                <w:szCs w:val="15"/>
              </w:rPr>
            </w:pPr>
            <w:r>
              <w:rPr>
                <w:sz w:val="15"/>
                <w:szCs w:val="15"/>
              </w:rPr>
              <w:t>97.7</w:t>
            </w:r>
          </w:p>
        </w:tc>
        <w:tc>
          <w:tcPr>
            <w:tcW w:w="1332" w:type="dxa"/>
            <w:noWrap w:val="0"/>
            <w:vAlign w:val="center"/>
          </w:tcPr>
          <w:p>
            <w:pPr>
              <w:spacing w:line="200" w:lineRule="exact"/>
              <w:jc w:val="center"/>
              <w:rPr>
                <w:sz w:val="15"/>
                <w:szCs w:val="15"/>
              </w:rPr>
            </w:pPr>
            <w:r>
              <w:rPr>
                <w:sz w:val="15"/>
                <w:szCs w:val="15"/>
              </w:rPr>
              <w:t>1.28</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 w:hRule="atLeast"/>
          <w:jc w:val="center"/>
        </w:trPr>
        <w:tc>
          <w:tcPr>
            <w:tcW w:w="1033" w:type="dxa"/>
            <w:vMerge w:val="restart"/>
            <w:shd w:val="clear" w:color="auto" w:fill="auto"/>
            <w:noWrap w:val="0"/>
            <w:vAlign w:val="center"/>
          </w:tcPr>
          <w:p>
            <w:pPr>
              <w:widowControl/>
              <w:spacing w:line="200" w:lineRule="exact"/>
              <w:jc w:val="center"/>
              <w:rPr>
                <w:rFonts w:hint="eastAsia" w:hAnsi="宋体"/>
                <w:kern w:val="0"/>
                <w:sz w:val="15"/>
                <w:szCs w:val="15"/>
              </w:rPr>
            </w:pPr>
            <w:r>
              <w:rPr>
                <w:rFonts w:hint="eastAsia" w:hAnsi="宋体"/>
                <w:kern w:val="0"/>
                <w:sz w:val="15"/>
                <w:szCs w:val="15"/>
              </w:rPr>
              <w:t>氯氟氰菊酯乳油</w:t>
            </w:r>
          </w:p>
        </w:tc>
        <w:tc>
          <w:tcPr>
            <w:tcW w:w="1297" w:type="dxa"/>
            <w:shd w:val="clear" w:color="auto" w:fill="auto"/>
            <w:noWrap w:val="0"/>
            <w:vAlign w:val="center"/>
          </w:tcPr>
          <w:p>
            <w:pPr>
              <w:spacing w:line="200" w:lineRule="exact"/>
              <w:jc w:val="center"/>
              <w:rPr>
                <w:sz w:val="15"/>
                <w:szCs w:val="15"/>
              </w:rPr>
            </w:pPr>
            <w:r>
              <w:rPr>
                <w:sz w:val="15"/>
                <w:szCs w:val="15"/>
              </w:rPr>
              <w:t>甲胺磷</w:t>
            </w:r>
          </w:p>
        </w:tc>
        <w:tc>
          <w:tcPr>
            <w:tcW w:w="1358" w:type="dxa"/>
            <w:shd w:val="clear" w:color="auto" w:fill="auto"/>
            <w:noWrap w:val="0"/>
            <w:vAlign w:val="center"/>
          </w:tcPr>
          <w:p>
            <w:pPr>
              <w:spacing w:line="200" w:lineRule="exact"/>
              <w:jc w:val="center"/>
              <w:rPr>
                <w:sz w:val="15"/>
                <w:szCs w:val="15"/>
              </w:rPr>
            </w:pPr>
            <w:r>
              <w:rPr>
                <w:rFonts w:hint="eastAsia"/>
                <w:sz w:val="15"/>
                <w:szCs w:val="15"/>
              </w:rPr>
              <w:t xml:space="preserve">1.563 </w:t>
            </w:r>
          </w:p>
        </w:tc>
        <w:tc>
          <w:tcPr>
            <w:tcW w:w="1420" w:type="dxa"/>
            <w:shd w:val="clear" w:color="auto" w:fill="auto"/>
            <w:noWrap w:val="0"/>
            <w:vAlign w:val="center"/>
          </w:tcPr>
          <w:p>
            <w:pPr>
              <w:spacing w:line="200" w:lineRule="exact"/>
              <w:jc w:val="center"/>
              <w:rPr>
                <w:sz w:val="15"/>
                <w:szCs w:val="15"/>
              </w:rPr>
            </w:pPr>
            <w:r>
              <w:rPr>
                <w:rFonts w:hint="eastAsia"/>
                <w:sz w:val="15"/>
                <w:szCs w:val="15"/>
              </w:rPr>
              <w:t xml:space="preserve">98.6 </w:t>
            </w:r>
          </w:p>
        </w:tc>
        <w:tc>
          <w:tcPr>
            <w:tcW w:w="1332" w:type="dxa"/>
            <w:noWrap w:val="0"/>
            <w:vAlign w:val="center"/>
          </w:tcPr>
          <w:p>
            <w:pPr>
              <w:spacing w:line="200" w:lineRule="exact"/>
              <w:jc w:val="center"/>
              <w:rPr>
                <w:sz w:val="15"/>
                <w:szCs w:val="15"/>
              </w:rPr>
            </w:pPr>
            <w:r>
              <w:rPr>
                <w:rFonts w:hint="eastAsia"/>
                <w:sz w:val="15"/>
                <w:szCs w:val="15"/>
              </w:rPr>
              <w:t xml:space="preserve">0.53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 w:hRule="atLeast"/>
          <w:jc w:val="center"/>
        </w:trPr>
        <w:tc>
          <w:tcPr>
            <w:tcW w:w="1033" w:type="dxa"/>
            <w:vMerge w:val="continue"/>
            <w:shd w:val="clear" w:color="auto" w:fill="auto"/>
            <w:noWrap w:val="0"/>
            <w:vAlign w:val="center"/>
          </w:tcPr>
          <w:p>
            <w:pPr>
              <w:widowControl/>
              <w:spacing w:line="200" w:lineRule="exact"/>
              <w:jc w:val="center"/>
              <w:rPr>
                <w:rFonts w:hAnsi="宋体"/>
                <w:kern w:val="0"/>
                <w:sz w:val="15"/>
                <w:szCs w:val="15"/>
              </w:rPr>
            </w:pPr>
          </w:p>
        </w:tc>
        <w:tc>
          <w:tcPr>
            <w:tcW w:w="1297" w:type="dxa"/>
            <w:shd w:val="clear" w:color="auto" w:fill="auto"/>
            <w:noWrap w:val="0"/>
            <w:vAlign w:val="center"/>
          </w:tcPr>
          <w:p>
            <w:pPr>
              <w:spacing w:line="200" w:lineRule="exact"/>
              <w:jc w:val="center"/>
              <w:rPr>
                <w:sz w:val="15"/>
                <w:szCs w:val="15"/>
              </w:rPr>
            </w:pPr>
            <w:r>
              <w:rPr>
                <w:sz w:val="15"/>
                <w:szCs w:val="15"/>
              </w:rPr>
              <w:t>甲拌磷</w:t>
            </w:r>
          </w:p>
        </w:tc>
        <w:tc>
          <w:tcPr>
            <w:tcW w:w="1358" w:type="dxa"/>
            <w:shd w:val="clear" w:color="auto" w:fill="auto"/>
            <w:noWrap w:val="0"/>
            <w:vAlign w:val="center"/>
          </w:tcPr>
          <w:p>
            <w:pPr>
              <w:spacing w:line="200" w:lineRule="exact"/>
              <w:jc w:val="center"/>
              <w:rPr>
                <w:sz w:val="15"/>
                <w:szCs w:val="15"/>
              </w:rPr>
            </w:pPr>
            <w:r>
              <w:rPr>
                <w:rFonts w:hint="eastAsia"/>
                <w:sz w:val="15"/>
                <w:szCs w:val="15"/>
              </w:rPr>
              <w:t xml:space="preserve">0.684 </w:t>
            </w:r>
          </w:p>
        </w:tc>
        <w:tc>
          <w:tcPr>
            <w:tcW w:w="1420" w:type="dxa"/>
            <w:shd w:val="clear" w:color="auto" w:fill="auto"/>
            <w:noWrap w:val="0"/>
            <w:vAlign w:val="center"/>
          </w:tcPr>
          <w:p>
            <w:pPr>
              <w:spacing w:line="200" w:lineRule="exact"/>
              <w:jc w:val="center"/>
              <w:rPr>
                <w:sz w:val="15"/>
                <w:szCs w:val="15"/>
              </w:rPr>
            </w:pPr>
            <w:r>
              <w:rPr>
                <w:rFonts w:hint="eastAsia"/>
                <w:sz w:val="15"/>
                <w:szCs w:val="15"/>
              </w:rPr>
              <w:t xml:space="preserve">97.1 </w:t>
            </w:r>
          </w:p>
        </w:tc>
        <w:tc>
          <w:tcPr>
            <w:tcW w:w="1332" w:type="dxa"/>
            <w:noWrap w:val="0"/>
            <w:vAlign w:val="center"/>
          </w:tcPr>
          <w:p>
            <w:pPr>
              <w:spacing w:line="200" w:lineRule="exact"/>
              <w:jc w:val="center"/>
              <w:rPr>
                <w:sz w:val="15"/>
                <w:szCs w:val="15"/>
              </w:rPr>
            </w:pPr>
            <w:r>
              <w:rPr>
                <w:rFonts w:hint="eastAsia"/>
                <w:sz w:val="15"/>
                <w:szCs w:val="15"/>
              </w:rPr>
              <w:t xml:space="preserve">1.57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 w:hRule="atLeast"/>
          <w:jc w:val="center"/>
        </w:trPr>
        <w:tc>
          <w:tcPr>
            <w:tcW w:w="1033" w:type="dxa"/>
            <w:vMerge w:val="continue"/>
            <w:shd w:val="clear" w:color="auto" w:fill="auto"/>
            <w:noWrap w:val="0"/>
            <w:vAlign w:val="center"/>
          </w:tcPr>
          <w:p>
            <w:pPr>
              <w:widowControl/>
              <w:spacing w:line="200" w:lineRule="exact"/>
              <w:jc w:val="center"/>
              <w:rPr>
                <w:rFonts w:hAnsi="宋体"/>
                <w:kern w:val="0"/>
                <w:sz w:val="15"/>
                <w:szCs w:val="15"/>
              </w:rPr>
            </w:pPr>
          </w:p>
        </w:tc>
        <w:tc>
          <w:tcPr>
            <w:tcW w:w="1297" w:type="dxa"/>
            <w:shd w:val="clear" w:color="auto" w:fill="auto"/>
            <w:noWrap w:val="0"/>
            <w:vAlign w:val="center"/>
          </w:tcPr>
          <w:p>
            <w:pPr>
              <w:spacing w:line="200" w:lineRule="exact"/>
              <w:jc w:val="center"/>
              <w:rPr>
                <w:sz w:val="15"/>
                <w:szCs w:val="15"/>
              </w:rPr>
            </w:pPr>
            <w:r>
              <w:rPr>
                <w:sz w:val="15"/>
                <w:szCs w:val="15"/>
              </w:rPr>
              <w:t>治螟磷</w:t>
            </w:r>
          </w:p>
        </w:tc>
        <w:tc>
          <w:tcPr>
            <w:tcW w:w="1358" w:type="dxa"/>
            <w:shd w:val="clear" w:color="auto" w:fill="auto"/>
            <w:noWrap w:val="0"/>
            <w:vAlign w:val="center"/>
          </w:tcPr>
          <w:p>
            <w:pPr>
              <w:spacing w:line="200" w:lineRule="exact"/>
              <w:jc w:val="center"/>
              <w:rPr>
                <w:sz w:val="15"/>
                <w:szCs w:val="15"/>
              </w:rPr>
            </w:pPr>
            <w:r>
              <w:rPr>
                <w:rFonts w:hint="eastAsia"/>
                <w:sz w:val="15"/>
                <w:szCs w:val="15"/>
              </w:rPr>
              <w:t xml:space="preserve">0.922 </w:t>
            </w:r>
          </w:p>
        </w:tc>
        <w:tc>
          <w:tcPr>
            <w:tcW w:w="1420" w:type="dxa"/>
            <w:shd w:val="clear" w:color="auto" w:fill="auto"/>
            <w:noWrap w:val="0"/>
            <w:vAlign w:val="center"/>
          </w:tcPr>
          <w:p>
            <w:pPr>
              <w:spacing w:line="200" w:lineRule="exact"/>
              <w:jc w:val="center"/>
              <w:rPr>
                <w:sz w:val="15"/>
                <w:szCs w:val="15"/>
              </w:rPr>
            </w:pPr>
            <w:r>
              <w:rPr>
                <w:rFonts w:hint="eastAsia"/>
                <w:sz w:val="15"/>
                <w:szCs w:val="15"/>
              </w:rPr>
              <w:t xml:space="preserve">96.2 </w:t>
            </w:r>
          </w:p>
        </w:tc>
        <w:tc>
          <w:tcPr>
            <w:tcW w:w="1332" w:type="dxa"/>
            <w:noWrap w:val="0"/>
            <w:vAlign w:val="center"/>
          </w:tcPr>
          <w:p>
            <w:pPr>
              <w:spacing w:line="200" w:lineRule="exact"/>
              <w:jc w:val="center"/>
              <w:rPr>
                <w:sz w:val="15"/>
                <w:szCs w:val="15"/>
              </w:rPr>
            </w:pPr>
            <w:r>
              <w:rPr>
                <w:rFonts w:hint="eastAsia"/>
                <w:sz w:val="15"/>
                <w:szCs w:val="15"/>
              </w:rPr>
              <w:t xml:space="preserve">1.35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 w:hRule="atLeast"/>
          <w:jc w:val="center"/>
        </w:trPr>
        <w:tc>
          <w:tcPr>
            <w:tcW w:w="1033" w:type="dxa"/>
            <w:vMerge w:val="continue"/>
            <w:shd w:val="clear" w:color="auto" w:fill="auto"/>
            <w:noWrap w:val="0"/>
            <w:vAlign w:val="center"/>
          </w:tcPr>
          <w:p>
            <w:pPr>
              <w:widowControl/>
              <w:spacing w:line="200" w:lineRule="exact"/>
              <w:jc w:val="center"/>
              <w:rPr>
                <w:rFonts w:hAnsi="宋体"/>
                <w:kern w:val="0"/>
                <w:sz w:val="15"/>
                <w:szCs w:val="15"/>
              </w:rPr>
            </w:pPr>
          </w:p>
        </w:tc>
        <w:tc>
          <w:tcPr>
            <w:tcW w:w="1297" w:type="dxa"/>
            <w:shd w:val="clear" w:color="auto" w:fill="auto"/>
            <w:noWrap w:val="0"/>
            <w:vAlign w:val="center"/>
          </w:tcPr>
          <w:p>
            <w:pPr>
              <w:spacing w:line="200" w:lineRule="exact"/>
              <w:jc w:val="center"/>
              <w:rPr>
                <w:sz w:val="15"/>
                <w:szCs w:val="15"/>
              </w:rPr>
            </w:pPr>
            <w:r>
              <w:rPr>
                <w:sz w:val="15"/>
                <w:szCs w:val="15"/>
              </w:rPr>
              <w:t>氧乐果</w:t>
            </w:r>
          </w:p>
        </w:tc>
        <w:tc>
          <w:tcPr>
            <w:tcW w:w="1358" w:type="dxa"/>
            <w:shd w:val="clear" w:color="auto" w:fill="auto"/>
            <w:noWrap w:val="0"/>
            <w:vAlign w:val="center"/>
          </w:tcPr>
          <w:p>
            <w:pPr>
              <w:spacing w:line="200" w:lineRule="exact"/>
              <w:jc w:val="center"/>
              <w:rPr>
                <w:sz w:val="15"/>
                <w:szCs w:val="15"/>
              </w:rPr>
            </w:pPr>
            <w:r>
              <w:rPr>
                <w:rFonts w:hint="eastAsia"/>
                <w:sz w:val="15"/>
                <w:szCs w:val="15"/>
              </w:rPr>
              <w:t xml:space="preserve">0.636 </w:t>
            </w:r>
          </w:p>
        </w:tc>
        <w:tc>
          <w:tcPr>
            <w:tcW w:w="1420" w:type="dxa"/>
            <w:shd w:val="clear" w:color="auto" w:fill="auto"/>
            <w:noWrap w:val="0"/>
            <w:vAlign w:val="center"/>
          </w:tcPr>
          <w:p>
            <w:pPr>
              <w:spacing w:line="200" w:lineRule="exact"/>
              <w:jc w:val="center"/>
              <w:rPr>
                <w:sz w:val="15"/>
                <w:szCs w:val="15"/>
              </w:rPr>
            </w:pPr>
            <w:r>
              <w:rPr>
                <w:rFonts w:hint="eastAsia"/>
                <w:sz w:val="15"/>
                <w:szCs w:val="15"/>
              </w:rPr>
              <w:t xml:space="preserve">100.9 </w:t>
            </w:r>
          </w:p>
        </w:tc>
        <w:tc>
          <w:tcPr>
            <w:tcW w:w="1332" w:type="dxa"/>
            <w:noWrap w:val="0"/>
            <w:vAlign w:val="center"/>
          </w:tcPr>
          <w:p>
            <w:pPr>
              <w:spacing w:line="200" w:lineRule="exact"/>
              <w:jc w:val="center"/>
              <w:rPr>
                <w:sz w:val="15"/>
                <w:szCs w:val="15"/>
              </w:rPr>
            </w:pPr>
            <w:r>
              <w:rPr>
                <w:rFonts w:hint="eastAsia"/>
                <w:sz w:val="15"/>
                <w:szCs w:val="15"/>
              </w:rPr>
              <w:t xml:space="preserve">1.32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 w:hRule="atLeast"/>
          <w:jc w:val="center"/>
        </w:trPr>
        <w:tc>
          <w:tcPr>
            <w:tcW w:w="1033" w:type="dxa"/>
            <w:vMerge w:val="continue"/>
            <w:shd w:val="clear" w:color="auto" w:fill="auto"/>
            <w:noWrap w:val="0"/>
            <w:vAlign w:val="center"/>
          </w:tcPr>
          <w:p>
            <w:pPr>
              <w:widowControl/>
              <w:spacing w:line="200" w:lineRule="exact"/>
              <w:jc w:val="center"/>
              <w:rPr>
                <w:rFonts w:hAnsi="宋体"/>
                <w:kern w:val="0"/>
                <w:sz w:val="15"/>
                <w:szCs w:val="15"/>
              </w:rPr>
            </w:pPr>
          </w:p>
        </w:tc>
        <w:tc>
          <w:tcPr>
            <w:tcW w:w="1297" w:type="dxa"/>
            <w:shd w:val="clear" w:color="auto" w:fill="auto"/>
            <w:noWrap w:val="0"/>
            <w:vAlign w:val="center"/>
          </w:tcPr>
          <w:p>
            <w:pPr>
              <w:spacing w:line="200" w:lineRule="exact"/>
              <w:jc w:val="center"/>
              <w:rPr>
                <w:sz w:val="15"/>
                <w:szCs w:val="15"/>
              </w:rPr>
            </w:pPr>
            <w:r>
              <w:rPr>
                <w:sz w:val="15"/>
                <w:szCs w:val="15"/>
              </w:rPr>
              <w:t>特丁硫磷</w:t>
            </w:r>
          </w:p>
        </w:tc>
        <w:tc>
          <w:tcPr>
            <w:tcW w:w="1358" w:type="dxa"/>
            <w:shd w:val="clear" w:color="auto" w:fill="auto"/>
            <w:noWrap w:val="0"/>
            <w:vAlign w:val="center"/>
          </w:tcPr>
          <w:p>
            <w:pPr>
              <w:spacing w:line="200" w:lineRule="exact"/>
              <w:jc w:val="center"/>
              <w:rPr>
                <w:sz w:val="15"/>
                <w:szCs w:val="15"/>
              </w:rPr>
            </w:pPr>
            <w:r>
              <w:rPr>
                <w:rFonts w:hint="eastAsia"/>
                <w:sz w:val="15"/>
                <w:szCs w:val="15"/>
              </w:rPr>
              <w:t xml:space="preserve">0.426 </w:t>
            </w:r>
          </w:p>
        </w:tc>
        <w:tc>
          <w:tcPr>
            <w:tcW w:w="1420" w:type="dxa"/>
            <w:shd w:val="clear" w:color="auto" w:fill="auto"/>
            <w:noWrap w:val="0"/>
            <w:vAlign w:val="center"/>
          </w:tcPr>
          <w:p>
            <w:pPr>
              <w:spacing w:line="200" w:lineRule="exact"/>
              <w:jc w:val="center"/>
              <w:rPr>
                <w:sz w:val="15"/>
                <w:szCs w:val="15"/>
              </w:rPr>
            </w:pPr>
            <w:r>
              <w:rPr>
                <w:rFonts w:hint="eastAsia"/>
                <w:sz w:val="15"/>
                <w:szCs w:val="15"/>
              </w:rPr>
              <w:t xml:space="preserve">99.2 </w:t>
            </w:r>
          </w:p>
        </w:tc>
        <w:tc>
          <w:tcPr>
            <w:tcW w:w="1332" w:type="dxa"/>
            <w:noWrap w:val="0"/>
            <w:vAlign w:val="center"/>
          </w:tcPr>
          <w:p>
            <w:pPr>
              <w:spacing w:line="200" w:lineRule="exact"/>
              <w:jc w:val="center"/>
              <w:rPr>
                <w:sz w:val="15"/>
                <w:szCs w:val="15"/>
              </w:rPr>
            </w:pPr>
            <w:r>
              <w:rPr>
                <w:rFonts w:hint="eastAsia"/>
                <w:sz w:val="15"/>
                <w:szCs w:val="15"/>
              </w:rPr>
              <w:t xml:space="preserve">2.20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 w:hRule="atLeast"/>
          <w:jc w:val="center"/>
        </w:trPr>
        <w:tc>
          <w:tcPr>
            <w:tcW w:w="1033" w:type="dxa"/>
            <w:vMerge w:val="continue"/>
            <w:shd w:val="clear" w:color="auto" w:fill="auto"/>
            <w:noWrap w:val="0"/>
            <w:vAlign w:val="center"/>
          </w:tcPr>
          <w:p>
            <w:pPr>
              <w:widowControl/>
              <w:spacing w:line="200" w:lineRule="exact"/>
              <w:jc w:val="center"/>
              <w:rPr>
                <w:rFonts w:hAnsi="宋体"/>
                <w:kern w:val="0"/>
                <w:sz w:val="15"/>
                <w:szCs w:val="15"/>
              </w:rPr>
            </w:pPr>
          </w:p>
        </w:tc>
        <w:tc>
          <w:tcPr>
            <w:tcW w:w="1297" w:type="dxa"/>
            <w:shd w:val="clear" w:color="auto" w:fill="auto"/>
            <w:noWrap w:val="0"/>
            <w:vAlign w:val="center"/>
          </w:tcPr>
          <w:p>
            <w:pPr>
              <w:spacing w:line="200" w:lineRule="exact"/>
              <w:jc w:val="center"/>
              <w:rPr>
                <w:sz w:val="15"/>
                <w:szCs w:val="15"/>
              </w:rPr>
            </w:pPr>
            <w:r>
              <w:rPr>
                <w:sz w:val="15"/>
                <w:szCs w:val="15"/>
              </w:rPr>
              <w:t>久效磷</w:t>
            </w:r>
          </w:p>
        </w:tc>
        <w:tc>
          <w:tcPr>
            <w:tcW w:w="1358" w:type="dxa"/>
            <w:shd w:val="clear" w:color="auto" w:fill="auto"/>
            <w:noWrap w:val="0"/>
            <w:vAlign w:val="center"/>
          </w:tcPr>
          <w:p>
            <w:pPr>
              <w:spacing w:line="200" w:lineRule="exact"/>
              <w:jc w:val="center"/>
              <w:rPr>
                <w:sz w:val="15"/>
                <w:szCs w:val="15"/>
              </w:rPr>
            </w:pPr>
            <w:r>
              <w:rPr>
                <w:rFonts w:hint="eastAsia"/>
                <w:sz w:val="15"/>
                <w:szCs w:val="15"/>
              </w:rPr>
              <w:t xml:space="preserve">1.026 </w:t>
            </w:r>
          </w:p>
        </w:tc>
        <w:tc>
          <w:tcPr>
            <w:tcW w:w="1420" w:type="dxa"/>
            <w:shd w:val="clear" w:color="auto" w:fill="auto"/>
            <w:noWrap w:val="0"/>
            <w:vAlign w:val="center"/>
          </w:tcPr>
          <w:p>
            <w:pPr>
              <w:spacing w:line="200" w:lineRule="exact"/>
              <w:jc w:val="center"/>
              <w:rPr>
                <w:sz w:val="15"/>
                <w:szCs w:val="15"/>
              </w:rPr>
            </w:pPr>
            <w:r>
              <w:rPr>
                <w:rFonts w:hint="eastAsia"/>
                <w:sz w:val="15"/>
                <w:szCs w:val="15"/>
              </w:rPr>
              <w:t xml:space="preserve">96.9 </w:t>
            </w:r>
          </w:p>
        </w:tc>
        <w:tc>
          <w:tcPr>
            <w:tcW w:w="1332" w:type="dxa"/>
            <w:noWrap w:val="0"/>
            <w:vAlign w:val="center"/>
          </w:tcPr>
          <w:p>
            <w:pPr>
              <w:spacing w:line="200" w:lineRule="exact"/>
              <w:jc w:val="center"/>
              <w:rPr>
                <w:sz w:val="15"/>
                <w:szCs w:val="15"/>
              </w:rPr>
            </w:pPr>
            <w:r>
              <w:rPr>
                <w:rFonts w:hint="eastAsia"/>
                <w:sz w:val="15"/>
                <w:szCs w:val="15"/>
              </w:rPr>
              <w:t xml:space="preserve">1.81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 w:hRule="atLeast"/>
          <w:jc w:val="center"/>
        </w:trPr>
        <w:tc>
          <w:tcPr>
            <w:tcW w:w="1033" w:type="dxa"/>
            <w:vMerge w:val="continue"/>
            <w:shd w:val="clear" w:color="auto" w:fill="auto"/>
            <w:noWrap w:val="0"/>
            <w:vAlign w:val="center"/>
          </w:tcPr>
          <w:p>
            <w:pPr>
              <w:widowControl/>
              <w:spacing w:line="200" w:lineRule="exact"/>
              <w:jc w:val="center"/>
              <w:rPr>
                <w:rFonts w:hAnsi="宋体"/>
                <w:kern w:val="0"/>
                <w:sz w:val="15"/>
                <w:szCs w:val="15"/>
              </w:rPr>
            </w:pPr>
          </w:p>
        </w:tc>
        <w:tc>
          <w:tcPr>
            <w:tcW w:w="1297" w:type="dxa"/>
            <w:shd w:val="clear" w:color="auto" w:fill="auto"/>
            <w:noWrap w:val="0"/>
            <w:vAlign w:val="center"/>
          </w:tcPr>
          <w:p>
            <w:pPr>
              <w:spacing w:line="200" w:lineRule="exact"/>
              <w:jc w:val="center"/>
              <w:rPr>
                <w:sz w:val="15"/>
                <w:szCs w:val="15"/>
              </w:rPr>
            </w:pPr>
            <w:r>
              <w:rPr>
                <w:sz w:val="15"/>
                <w:szCs w:val="15"/>
              </w:rPr>
              <w:t>甲基对硫磷</w:t>
            </w:r>
          </w:p>
        </w:tc>
        <w:tc>
          <w:tcPr>
            <w:tcW w:w="1358" w:type="dxa"/>
            <w:shd w:val="clear" w:color="auto" w:fill="auto"/>
            <w:noWrap w:val="0"/>
            <w:vAlign w:val="center"/>
          </w:tcPr>
          <w:p>
            <w:pPr>
              <w:spacing w:line="200" w:lineRule="exact"/>
              <w:jc w:val="center"/>
              <w:rPr>
                <w:sz w:val="15"/>
                <w:szCs w:val="15"/>
              </w:rPr>
            </w:pPr>
            <w:r>
              <w:rPr>
                <w:rFonts w:hint="eastAsia"/>
                <w:sz w:val="15"/>
                <w:szCs w:val="15"/>
              </w:rPr>
              <w:t xml:space="preserve">0.615 </w:t>
            </w:r>
          </w:p>
        </w:tc>
        <w:tc>
          <w:tcPr>
            <w:tcW w:w="1420" w:type="dxa"/>
            <w:shd w:val="clear" w:color="auto" w:fill="auto"/>
            <w:noWrap w:val="0"/>
            <w:vAlign w:val="center"/>
          </w:tcPr>
          <w:p>
            <w:pPr>
              <w:spacing w:line="200" w:lineRule="exact"/>
              <w:jc w:val="center"/>
              <w:rPr>
                <w:sz w:val="15"/>
                <w:szCs w:val="15"/>
              </w:rPr>
            </w:pPr>
            <w:r>
              <w:rPr>
                <w:rFonts w:hint="eastAsia"/>
                <w:sz w:val="15"/>
                <w:szCs w:val="15"/>
              </w:rPr>
              <w:t xml:space="preserve">97.1 </w:t>
            </w:r>
          </w:p>
        </w:tc>
        <w:tc>
          <w:tcPr>
            <w:tcW w:w="1332" w:type="dxa"/>
            <w:noWrap w:val="0"/>
            <w:vAlign w:val="center"/>
          </w:tcPr>
          <w:p>
            <w:pPr>
              <w:spacing w:line="200" w:lineRule="exact"/>
              <w:jc w:val="center"/>
              <w:rPr>
                <w:sz w:val="15"/>
                <w:szCs w:val="15"/>
              </w:rPr>
            </w:pPr>
            <w:r>
              <w:rPr>
                <w:rFonts w:hint="eastAsia"/>
                <w:sz w:val="15"/>
                <w:szCs w:val="15"/>
              </w:rPr>
              <w:t xml:space="preserve">2.61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 w:hRule="atLeast"/>
          <w:jc w:val="center"/>
        </w:trPr>
        <w:tc>
          <w:tcPr>
            <w:tcW w:w="1033" w:type="dxa"/>
            <w:vMerge w:val="continue"/>
            <w:shd w:val="clear" w:color="auto" w:fill="auto"/>
            <w:noWrap w:val="0"/>
            <w:vAlign w:val="center"/>
          </w:tcPr>
          <w:p>
            <w:pPr>
              <w:widowControl/>
              <w:spacing w:line="200" w:lineRule="exact"/>
              <w:jc w:val="center"/>
              <w:rPr>
                <w:rFonts w:hAnsi="宋体"/>
                <w:kern w:val="0"/>
                <w:sz w:val="15"/>
                <w:szCs w:val="15"/>
              </w:rPr>
            </w:pPr>
          </w:p>
        </w:tc>
        <w:tc>
          <w:tcPr>
            <w:tcW w:w="1297" w:type="dxa"/>
            <w:shd w:val="clear" w:color="auto" w:fill="auto"/>
            <w:noWrap w:val="0"/>
            <w:vAlign w:val="center"/>
          </w:tcPr>
          <w:p>
            <w:pPr>
              <w:spacing w:line="200" w:lineRule="exact"/>
              <w:jc w:val="center"/>
              <w:rPr>
                <w:sz w:val="15"/>
                <w:szCs w:val="15"/>
              </w:rPr>
            </w:pPr>
            <w:r>
              <w:rPr>
                <w:sz w:val="15"/>
                <w:szCs w:val="15"/>
              </w:rPr>
              <w:t>对硫磷</w:t>
            </w:r>
          </w:p>
        </w:tc>
        <w:tc>
          <w:tcPr>
            <w:tcW w:w="1358" w:type="dxa"/>
            <w:shd w:val="clear" w:color="auto" w:fill="auto"/>
            <w:noWrap w:val="0"/>
            <w:vAlign w:val="center"/>
          </w:tcPr>
          <w:p>
            <w:pPr>
              <w:spacing w:line="200" w:lineRule="exact"/>
              <w:jc w:val="center"/>
              <w:rPr>
                <w:sz w:val="15"/>
                <w:szCs w:val="15"/>
              </w:rPr>
            </w:pPr>
            <w:r>
              <w:rPr>
                <w:rFonts w:hint="eastAsia"/>
                <w:sz w:val="15"/>
                <w:szCs w:val="15"/>
              </w:rPr>
              <w:t xml:space="preserve">0.701 </w:t>
            </w:r>
          </w:p>
        </w:tc>
        <w:tc>
          <w:tcPr>
            <w:tcW w:w="1420" w:type="dxa"/>
            <w:shd w:val="clear" w:color="auto" w:fill="auto"/>
            <w:noWrap w:val="0"/>
            <w:vAlign w:val="center"/>
          </w:tcPr>
          <w:p>
            <w:pPr>
              <w:spacing w:line="200" w:lineRule="exact"/>
              <w:jc w:val="center"/>
              <w:rPr>
                <w:sz w:val="15"/>
                <w:szCs w:val="15"/>
              </w:rPr>
            </w:pPr>
            <w:r>
              <w:rPr>
                <w:rFonts w:hint="eastAsia"/>
                <w:sz w:val="15"/>
                <w:szCs w:val="15"/>
              </w:rPr>
              <w:t xml:space="preserve">97.2 </w:t>
            </w:r>
          </w:p>
        </w:tc>
        <w:tc>
          <w:tcPr>
            <w:tcW w:w="1332" w:type="dxa"/>
            <w:noWrap w:val="0"/>
            <w:vAlign w:val="center"/>
          </w:tcPr>
          <w:p>
            <w:pPr>
              <w:spacing w:line="200" w:lineRule="exact"/>
              <w:jc w:val="center"/>
              <w:rPr>
                <w:sz w:val="15"/>
                <w:szCs w:val="15"/>
              </w:rPr>
            </w:pPr>
            <w:r>
              <w:rPr>
                <w:rFonts w:hint="eastAsia"/>
                <w:sz w:val="15"/>
                <w:szCs w:val="15"/>
              </w:rPr>
              <w:t xml:space="preserve">1.48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 w:hRule="atLeast"/>
          <w:jc w:val="center"/>
        </w:trPr>
        <w:tc>
          <w:tcPr>
            <w:tcW w:w="1033" w:type="dxa"/>
            <w:vMerge w:val="continue"/>
            <w:shd w:val="clear" w:color="auto" w:fill="auto"/>
            <w:noWrap w:val="0"/>
            <w:vAlign w:val="center"/>
          </w:tcPr>
          <w:p>
            <w:pPr>
              <w:widowControl/>
              <w:spacing w:line="200" w:lineRule="exact"/>
              <w:jc w:val="center"/>
              <w:rPr>
                <w:rFonts w:hAnsi="宋体"/>
                <w:kern w:val="0"/>
                <w:sz w:val="15"/>
                <w:szCs w:val="15"/>
              </w:rPr>
            </w:pPr>
          </w:p>
        </w:tc>
        <w:tc>
          <w:tcPr>
            <w:tcW w:w="1297" w:type="dxa"/>
            <w:shd w:val="clear" w:color="auto" w:fill="auto"/>
            <w:noWrap w:val="0"/>
            <w:vAlign w:val="center"/>
          </w:tcPr>
          <w:p>
            <w:pPr>
              <w:spacing w:line="200" w:lineRule="exact"/>
              <w:jc w:val="center"/>
              <w:rPr>
                <w:sz w:val="15"/>
                <w:szCs w:val="15"/>
              </w:rPr>
            </w:pPr>
            <w:r>
              <w:rPr>
                <w:sz w:val="15"/>
                <w:szCs w:val="15"/>
              </w:rPr>
              <w:t>甲基异柳磷</w:t>
            </w:r>
          </w:p>
        </w:tc>
        <w:tc>
          <w:tcPr>
            <w:tcW w:w="1358" w:type="dxa"/>
            <w:shd w:val="clear" w:color="auto" w:fill="auto"/>
            <w:noWrap w:val="0"/>
            <w:vAlign w:val="center"/>
          </w:tcPr>
          <w:p>
            <w:pPr>
              <w:spacing w:line="200" w:lineRule="exact"/>
              <w:jc w:val="center"/>
              <w:rPr>
                <w:sz w:val="15"/>
                <w:szCs w:val="15"/>
              </w:rPr>
            </w:pPr>
            <w:r>
              <w:rPr>
                <w:rFonts w:hint="eastAsia"/>
                <w:sz w:val="15"/>
                <w:szCs w:val="15"/>
              </w:rPr>
              <w:t xml:space="preserve">0.172 </w:t>
            </w:r>
          </w:p>
        </w:tc>
        <w:tc>
          <w:tcPr>
            <w:tcW w:w="1420" w:type="dxa"/>
            <w:shd w:val="clear" w:color="auto" w:fill="auto"/>
            <w:noWrap w:val="0"/>
            <w:vAlign w:val="center"/>
          </w:tcPr>
          <w:p>
            <w:pPr>
              <w:spacing w:line="200" w:lineRule="exact"/>
              <w:jc w:val="center"/>
              <w:rPr>
                <w:sz w:val="15"/>
                <w:szCs w:val="15"/>
              </w:rPr>
            </w:pPr>
            <w:r>
              <w:rPr>
                <w:rFonts w:hint="eastAsia"/>
                <w:sz w:val="15"/>
                <w:szCs w:val="15"/>
              </w:rPr>
              <w:t xml:space="preserve">95.6 </w:t>
            </w:r>
          </w:p>
        </w:tc>
        <w:tc>
          <w:tcPr>
            <w:tcW w:w="1332" w:type="dxa"/>
            <w:noWrap w:val="0"/>
            <w:vAlign w:val="center"/>
          </w:tcPr>
          <w:p>
            <w:pPr>
              <w:spacing w:line="200" w:lineRule="exact"/>
              <w:jc w:val="center"/>
              <w:rPr>
                <w:sz w:val="15"/>
                <w:szCs w:val="15"/>
              </w:rPr>
            </w:pPr>
            <w:r>
              <w:rPr>
                <w:rFonts w:hint="eastAsia"/>
                <w:sz w:val="15"/>
                <w:szCs w:val="15"/>
              </w:rPr>
              <w:t xml:space="preserve">2.50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 w:hRule="atLeast"/>
          <w:jc w:val="center"/>
        </w:trPr>
        <w:tc>
          <w:tcPr>
            <w:tcW w:w="1033" w:type="dxa"/>
            <w:vMerge w:val="continue"/>
            <w:shd w:val="clear" w:color="auto" w:fill="auto"/>
            <w:noWrap w:val="0"/>
            <w:vAlign w:val="center"/>
          </w:tcPr>
          <w:p>
            <w:pPr>
              <w:widowControl/>
              <w:spacing w:line="200" w:lineRule="exact"/>
              <w:jc w:val="center"/>
              <w:rPr>
                <w:rFonts w:hAnsi="宋体"/>
                <w:kern w:val="0"/>
                <w:sz w:val="15"/>
                <w:szCs w:val="15"/>
              </w:rPr>
            </w:pPr>
          </w:p>
        </w:tc>
        <w:tc>
          <w:tcPr>
            <w:tcW w:w="1297" w:type="dxa"/>
            <w:shd w:val="clear" w:color="auto" w:fill="auto"/>
            <w:noWrap w:val="0"/>
            <w:vAlign w:val="center"/>
          </w:tcPr>
          <w:p>
            <w:pPr>
              <w:spacing w:line="200" w:lineRule="exact"/>
              <w:jc w:val="center"/>
              <w:rPr>
                <w:sz w:val="15"/>
                <w:szCs w:val="15"/>
              </w:rPr>
            </w:pPr>
            <w:r>
              <w:rPr>
                <w:sz w:val="15"/>
                <w:szCs w:val="15"/>
              </w:rPr>
              <w:t>水胺硫磷</w:t>
            </w:r>
          </w:p>
        </w:tc>
        <w:tc>
          <w:tcPr>
            <w:tcW w:w="1358" w:type="dxa"/>
            <w:shd w:val="clear" w:color="auto" w:fill="auto"/>
            <w:noWrap w:val="0"/>
            <w:vAlign w:val="center"/>
          </w:tcPr>
          <w:p>
            <w:pPr>
              <w:spacing w:line="200" w:lineRule="exact"/>
              <w:jc w:val="center"/>
              <w:rPr>
                <w:sz w:val="15"/>
                <w:szCs w:val="15"/>
              </w:rPr>
            </w:pPr>
            <w:r>
              <w:rPr>
                <w:rFonts w:hint="eastAsia"/>
                <w:sz w:val="15"/>
                <w:szCs w:val="15"/>
              </w:rPr>
              <w:t xml:space="preserve">0.566 </w:t>
            </w:r>
          </w:p>
        </w:tc>
        <w:tc>
          <w:tcPr>
            <w:tcW w:w="1420" w:type="dxa"/>
            <w:shd w:val="clear" w:color="auto" w:fill="auto"/>
            <w:noWrap w:val="0"/>
            <w:vAlign w:val="center"/>
          </w:tcPr>
          <w:p>
            <w:pPr>
              <w:spacing w:line="200" w:lineRule="exact"/>
              <w:jc w:val="center"/>
              <w:rPr>
                <w:sz w:val="15"/>
                <w:szCs w:val="15"/>
              </w:rPr>
            </w:pPr>
            <w:r>
              <w:rPr>
                <w:rFonts w:hint="eastAsia"/>
                <w:sz w:val="15"/>
                <w:szCs w:val="15"/>
              </w:rPr>
              <w:t xml:space="preserve">97.0 </w:t>
            </w:r>
          </w:p>
        </w:tc>
        <w:tc>
          <w:tcPr>
            <w:tcW w:w="1332" w:type="dxa"/>
            <w:noWrap w:val="0"/>
            <w:vAlign w:val="center"/>
          </w:tcPr>
          <w:p>
            <w:pPr>
              <w:spacing w:line="200" w:lineRule="exact"/>
              <w:jc w:val="center"/>
              <w:rPr>
                <w:sz w:val="15"/>
                <w:szCs w:val="15"/>
              </w:rPr>
            </w:pPr>
            <w:r>
              <w:rPr>
                <w:rFonts w:hint="eastAsia"/>
                <w:sz w:val="15"/>
                <w:szCs w:val="15"/>
              </w:rPr>
              <w:t xml:space="preserve">1.55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 w:hRule="atLeast"/>
          <w:jc w:val="center"/>
        </w:trPr>
        <w:tc>
          <w:tcPr>
            <w:tcW w:w="1033" w:type="dxa"/>
            <w:vMerge w:val="restart"/>
            <w:shd w:val="clear" w:color="auto" w:fill="auto"/>
            <w:noWrap w:val="0"/>
            <w:vAlign w:val="center"/>
          </w:tcPr>
          <w:p>
            <w:pPr>
              <w:widowControl/>
              <w:spacing w:line="200" w:lineRule="exact"/>
              <w:jc w:val="center"/>
              <w:rPr>
                <w:rFonts w:hint="eastAsia" w:hAnsi="宋体"/>
                <w:kern w:val="0"/>
                <w:sz w:val="15"/>
                <w:szCs w:val="15"/>
              </w:rPr>
            </w:pPr>
            <w:r>
              <w:rPr>
                <w:rFonts w:hint="eastAsia" w:hAnsi="宋体"/>
                <w:kern w:val="0"/>
                <w:sz w:val="15"/>
                <w:szCs w:val="15"/>
              </w:rPr>
              <w:t>溴氰菊酯乳油</w:t>
            </w:r>
          </w:p>
        </w:tc>
        <w:tc>
          <w:tcPr>
            <w:tcW w:w="1297" w:type="dxa"/>
            <w:shd w:val="clear" w:color="auto" w:fill="auto"/>
            <w:noWrap w:val="0"/>
            <w:vAlign w:val="center"/>
          </w:tcPr>
          <w:p>
            <w:pPr>
              <w:spacing w:line="200" w:lineRule="exact"/>
              <w:jc w:val="center"/>
              <w:rPr>
                <w:sz w:val="15"/>
                <w:szCs w:val="15"/>
              </w:rPr>
            </w:pPr>
            <w:r>
              <w:rPr>
                <w:sz w:val="15"/>
                <w:szCs w:val="15"/>
              </w:rPr>
              <w:t>甲胺磷</w:t>
            </w:r>
          </w:p>
        </w:tc>
        <w:tc>
          <w:tcPr>
            <w:tcW w:w="1358" w:type="dxa"/>
            <w:shd w:val="clear" w:color="auto" w:fill="auto"/>
            <w:noWrap w:val="0"/>
            <w:vAlign w:val="center"/>
          </w:tcPr>
          <w:p>
            <w:pPr>
              <w:spacing w:line="200" w:lineRule="exact"/>
              <w:jc w:val="center"/>
              <w:rPr>
                <w:sz w:val="15"/>
                <w:szCs w:val="15"/>
              </w:rPr>
            </w:pPr>
            <w:r>
              <w:rPr>
                <w:rFonts w:hint="eastAsia"/>
                <w:sz w:val="15"/>
                <w:szCs w:val="15"/>
              </w:rPr>
              <w:t xml:space="preserve">1.202 </w:t>
            </w:r>
          </w:p>
        </w:tc>
        <w:tc>
          <w:tcPr>
            <w:tcW w:w="1420" w:type="dxa"/>
            <w:shd w:val="clear" w:color="auto" w:fill="auto"/>
            <w:noWrap w:val="0"/>
            <w:vAlign w:val="center"/>
          </w:tcPr>
          <w:p>
            <w:pPr>
              <w:spacing w:line="200" w:lineRule="exact"/>
              <w:jc w:val="center"/>
              <w:rPr>
                <w:sz w:val="15"/>
                <w:szCs w:val="15"/>
              </w:rPr>
            </w:pPr>
            <w:r>
              <w:rPr>
                <w:rFonts w:hint="eastAsia"/>
                <w:sz w:val="15"/>
                <w:szCs w:val="15"/>
              </w:rPr>
              <w:t xml:space="preserve">99.0 </w:t>
            </w:r>
          </w:p>
        </w:tc>
        <w:tc>
          <w:tcPr>
            <w:tcW w:w="1332" w:type="dxa"/>
            <w:noWrap w:val="0"/>
            <w:vAlign w:val="center"/>
          </w:tcPr>
          <w:p>
            <w:pPr>
              <w:spacing w:line="200" w:lineRule="exact"/>
              <w:jc w:val="center"/>
              <w:rPr>
                <w:sz w:val="15"/>
                <w:szCs w:val="15"/>
              </w:rPr>
            </w:pPr>
            <w:r>
              <w:rPr>
                <w:rFonts w:hint="eastAsia"/>
                <w:sz w:val="15"/>
                <w:szCs w:val="15"/>
              </w:rPr>
              <w:t xml:space="preserve">3.53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 w:hRule="atLeast"/>
          <w:jc w:val="center"/>
        </w:trPr>
        <w:tc>
          <w:tcPr>
            <w:tcW w:w="1033" w:type="dxa"/>
            <w:vMerge w:val="continue"/>
            <w:shd w:val="clear" w:color="auto" w:fill="auto"/>
            <w:noWrap w:val="0"/>
            <w:vAlign w:val="center"/>
          </w:tcPr>
          <w:p>
            <w:pPr>
              <w:widowControl/>
              <w:spacing w:line="200" w:lineRule="exact"/>
              <w:jc w:val="center"/>
              <w:rPr>
                <w:rFonts w:hAnsi="宋体"/>
                <w:kern w:val="0"/>
                <w:sz w:val="15"/>
                <w:szCs w:val="15"/>
              </w:rPr>
            </w:pPr>
          </w:p>
        </w:tc>
        <w:tc>
          <w:tcPr>
            <w:tcW w:w="1297" w:type="dxa"/>
            <w:shd w:val="clear" w:color="auto" w:fill="auto"/>
            <w:noWrap w:val="0"/>
            <w:vAlign w:val="center"/>
          </w:tcPr>
          <w:p>
            <w:pPr>
              <w:spacing w:line="200" w:lineRule="exact"/>
              <w:jc w:val="center"/>
              <w:rPr>
                <w:sz w:val="15"/>
                <w:szCs w:val="15"/>
              </w:rPr>
            </w:pPr>
            <w:r>
              <w:rPr>
                <w:sz w:val="15"/>
                <w:szCs w:val="15"/>
              </w:rPr>
              <w:t>甲拌磷</w:t>
            </w:r>
          </w:p>
        </w:tc>
        <w:tc>
          <w:tcPr>
            <w:tcW w:w="1358" w:type="dxa"/>
            <w:shd w:val="clear" w:color="auto" w:fill="auto"/>
            <w:noWrap w:val="0"/>
            <w:vAlign w:val="center"/>
          </w:tcPr>
          <w:p>
            <w:pPr>
              <w:spacing w:line="200" w:lineRule="exact"/>
              <w:jc w:val="center"/>
              <w:rPr>
                <w:sz w:val="15"/>
                <w:szCs w:val="15"/>
              </w:rPr>
            </w:pPr>
            <w:r>
              <w:rPr>
                <w:rFonts w:hint="eastAsia"/>
                <w:sz w:val="15"/>
                <w:szCs w:val="15"/>
              </w:rPr>
              <w:t xml:space="preserve">0.526 </w:t>
            </w:r>
          </w:p>
        </w:tc>
        <w:tc>
          <w:tcPr>
            <w:tcW w:w="1420" w:type="dxa"/>
            <w:shd w:val="clear" w:color="auto" w:fill="auto"/>
            <w:noWrap w:val="0"/>
            <w:vAlign w:val="center"/>
          </w:tcPr>
          <w:p>
            <w:pPr>
              <w:spacing w:line="200" w:lineRule="exact"/>
              <w:jc w:val="center"/>
              <w:rPr>
                <w:sz w:val="15"/>
                <w:szCs w:val="15"/>
              </w:rPr>
            </w:pPr>
            <w:r>
              <w:rPr>
                <w:rFonts w:hint="eastAsia"/>
                <w:sz w:val="15"/>
                <w:szCs w:val="15"/>
              </w:rPr>
              <w:t xml:space="preserve">98.3 </w:t>
            </w:r>
          </w:p>
        </w:tc>
        <w:tc>
          <w:tcPr>
            <w:tcW w:w="1332" w:type="dxa"/>
            <w:noWrap w:val="0"/>
            <w:vAlign w:val="center"/>
          </w:tcPr>
          <w:p>
            <w:pPr>
              <w:spacing w:line="200" w:lineRule="exact"/>
              <w:jc w:val="center"/>
              <w:rPr>
                <w:sz w:val="15"/>
                <w:szCs w:val="15"/>
              </w:rPr>
            </w:pPr>
            <w:r>
              <w:rPr>
                <w:rFonts w:hint="eastAsia"/>
                <w:sz w:val="15"/>
                <w:szCs w:val="15"/>
              </w:rPr>
              <w:t xml:space="preserve">1.81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 w:hRule="atLeast"/>
          <w:jc w:val="center"/>
        </w:trPr>
        <w:tc>
          <w:tcPr>
            <w:tcW w:w="1033" w:type="dxa"/>
            <w:vMerge w:val="continue"/>
            <w:shd w:val="clear" w:color="auto" w:fill="auto"/>
            <w:noWrap w:val="0"/>
            <w:vAlign w:val="center"/>
          </w:tcPr>
          <w:p>
            <w:pPr>
              <w:widowControl/>
              <w:spacing w:line="200" w:lineRule="exact"/>
              <w:jc w:val="center"/>
              <w:rPr>
                <w:rFonts w:hAnsi="宋体"/>
                <w:kern w:val="0"/>
                <w:sz w:val="15"/>
                <w:szCs w:val="15"/>
              </w:rPr>
            </w:pPr>
          </w:p>
        </w:tc>
        <w:tc>
          <w:tcPr>
            <w:tcW w:w="1297" w:type="dxa"/>
            <w:shd w:val="clear" w:color="auto" w:fill="auto"/>
            <w:noWrap w:val="0"/>
            <w:vAlign w:val="center"/>
          </w:tcPr>
          <w:p>
            <w:pPr>
              <w:spacing w:line="200" w:lineRule="exact"/>
              <w:jc w:val="center"/>
              <w:rPr>
                <w:sz w:val="15"/>
                <w:szCs w:val="15"/>
              </w:rPr>
            </w:pPr>
            <w:r>
              <w:rPr>
                <w:sz w:val="15"/>
                <w:szCs w:val="15"/>
              </w:rPr>
              <w:t>治螟磷</w:t>
            </w:r>
          </w:p>
        </w:tc>
        <w:tc>
          <w:tcPr>
            <w:tcW w:w="1358" w:type="dxa"/>
            <w:shd w:val="clear" w:color="auto" w:fill="auto"/>
            <w:noWrap w:val="0"/>
            <w:vAlign w:val="center"/>
          </w:tcPr>
          <w:p>
            <w:pPr>
              <w:spacing w:line="200" w:lineRule="exact"/>
              <w:jc w:val="center"/>
              <w:rPr>
                <w:sz w:val="15"/>
                <w:szCs w:val="15"/>
              </w:rPr>
            </w:pPr>
            <w:r>
              <w:rPr>
                <w:rFonts w:hint="eastAsia"/>
                <w:sz w:val="15"/>
                <w:szCs w:val="15"/>
              </w:rPr>
              <w:t xml:space="preserve">0.709 </w:t>
            </w:r>
          </w:p>
        </w:tc>
        <w:tc>
          <w:tcPr>
            <w:tcW w:w="1420" w:type="dxa"/>
            <w:shd w:val="clear" w:color="auto" w:fill="auto"/>
            <w:noWrap w:val="0"/>
            <w:vAlign w:val="center"/>
          </w:tcPr>
          <w:p>
            <w:pPr>
              <w:spacing w:line="200" w:lineRule="exact"/>
              <w:jc w:val="center"/>
              <w:rPr>
                <w:sz w:val="15"/>
                <w:szCs w:val="15"/>
              </w:rPr>
            </w:pPr>
            <w:r>
              <w:rPr>
                <w:rFonts w:hint="eastAsia"/>
                <w:sz w:val="15"/>
                <w:szCs w:val="15"/>
              </w:rPr>
              <w:t xml:space="preserve">96.1 </w:t>
            </w:r>
          </w:p>
        </w:tc>
        <w:tc>
          <w:tcPr>
            <w:tcW w:w="1332" w:type="dxa"/>
            <w:noWrap w:val="0"/>
            <w:vAlign w:val="center"/>
          </w:tcPr>
          <w:p>
            <w:pPr>
              <w:spacing w:line="200" w:lineRule="exact"/>
              <w:jc w:val="center"/>
              <w:rPr>
                <w:sz w:val="15"/>
                <w:szCs w:val="15"/>
              </w:rPr>
            </w:pPr>
            <w:r>
              <w:rPr>
                <w:rFonts w:hint="eastAsia"/>
                <w:sz w:val="15"/>
                <w:szCs w:val="15"/>
              </w:rPr>
              <w:t xml:space="preserve">1.31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 w:hRule="atLeast"/>
          <w:jc w:val="center"/>
        </w:trPr>
        <w:tc>
          <w:tcPr>
            <w:tcW w:w="1033" w:type="dxa"/>
            <w:vMerge w:val="continue"/>
            <w:shd w:val="clear" w:color="auto" w:fill="auto"/>
            <w:noWrap w:val="0"/>
            <w:vAlign w:val="center"/>
          </w:tcPr>
          <w:p>
            <w:pPr>
              <w:widowControl/>
              <w:spacing w:line="200" w:lineRule="exact"/>
              <w:jc w:val="center"/>
              <w:rPr>
                <w:rFonts w:hAnsi="宋体"/>
                <w:kern w:val="0"/>
                <w:sz w:val="15"/>
                <w:szCs w:val="15"/>
              </w:rPr>
            </w:pPr>
          </w:p>
        </w:tc>
        <w:tc>
          <w:tcPr>
            <w:tcW w:w="1297" w:type="dxa"/>
            <w:shd w:val="clear" w:color="auto" w:fill="auto"/>
            <w:noWrap w:val="0"/>
            <w:vAlign w:val="center"/>
          </w:tcPr>
          <w:p>
            <w:pPr>
              <w:spacing w:line="200" w:lineRule="exact"/>
              <w:jc w:val="center"/>
              <w:rPr>
                <w:sz w:val="15"/>
                <w:szCs w:val="15"/>
              </w:rPr>
            </w:pPr>
            <w:r>
              <w:rPr>
                <w:sz w:val="15"/>
                <w:szCs w:val="15"/>
              </w:rPr>
              <w:t>氧乐果</w:t>
            </w:r>
          </w:p>
        </w:tc>
        <w:tc>
          <w:tcPr>
            <w:tcW w:w="1358" w:type="dxa"/>
            <w:shd w:val="clear" w:color="auto" w:fill="auto"/>
            <w:noWrap w:val="0"/>
            <w:vAlign w:val="center"/>
          </w:tcPr>
          <w:p>
            <w:pPr>
              <w:spacing w:line="200" w:lineRule="exact"/>
              <w:jc w:val="center"/>
              <w:rPr>
                <w:sz w:val="15"/>
                <w:szCs w:val="15"/>
              </w:rPr>
            </w:pPr>
            <w:r>
              <w:rPr>
                <w:rFonts w:hint="eastAsia"/>
                <w:sz w:val="15"/>
                <w:szCs w:val="15"/>
              </w:rPr>
              <w:t xml:space="preserve">0.489 </w:t>
            </w:r>
          </w:p>
        </w:tc>
        <w:tc>
          <w:tcPr>
            <w:tcW w:w="1420" w:type="dxa"/>
            <w:shd w:val="clear" w:color="auto" w:fill="auto"/>
            <w:noWrap w:val="0"/>
            <w:vAlign w:val="center"/>
          </w:tcPr>
          <w:p>
            <w:pPr>
              <w:spacing w:line="200" w:lineRule="exact"/>
              <w:jc w:val="center"/>
              <w:rPr>
                <w:sz w:val="15"/>
                <w:szCs w:val="15"/>
              </w:rPr>
            </w:pPr>
            <w:r>
              <w:rPr>
                <w:rFonts w:hint="eastAsia"/>
                <w:sz w:val="15"/>
                <w:szCs w:val="15"/>
              </w:rPr>
              <w:t xml:space="preserve">96.0 </w:t>
            </w:r>
          </w:p>
        </w:tc>
        <w:tc>
          <w:tcPr>
            <w:tcW w:w="1332" w:type="dxa"/>
            <w:noWrap w:val="0"/>
            <w:vAlign w:val="center"/>
          </w:tcPr>
          <w:p>
            <w:pPr>
              <w:spacing w:line="200" w:lineRule="exact"/>
              <w:jc w:val="center"/>
              <w:rPr>
                <w:sz w:val="15"/>
                <w:szCs w:val="15"/>
              </w:rPr>
            </w:pPr>
            <w:r>
              <w:rPr>
                <w:rFonts w:hint="eastAsia"/>
                <w:sz w:val="15"/>
                <w:szCs w:val="15"/>
              </w:rPr>
              <w:t xml:space="preserve">1.85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 w:hRule="atLeast"/>
          <w:jc w:val="center"/>
        </w:trPr>
        <w:tc>
          <w:tcPr>
            <w:tcW w:w="1033" w:type="dxa"/>
            <w:vMerge w:val="continue"/>
            <w:shd w:val="clear" w:color="auto" w:fill="auto"/>
            <w:noWrap w:val="0"/>
            <w:vAlign w:val="center"/>
          </w:tcPr>
          <w:p>
            <w:pPr>
              <w:widowControl/>
              <w:spacing w:line="200" w:lineRule="exact"/>
              <w:jc w:val="center"/>
              <w:rPr>
                <w:rFonts w:hAnsi="宋体"/>
                <w:kern w:val="0"/>
                <w:sz w:val="15"/>
                <w:szCs w:val="15"/>
              </w:rPr>
            </w:pPr>
          </w:p>
        </w:tc>
        <w:tc>
          <w:tcPr>
            <w:tcW w:w="1297" w:type="dxa"/>
            <w:shd w:val="clear" w:color="auto" w:fill="auto"/>
            <w:noWrap w:val="0"/>
            <w:vAlign w:val="center"/>
          </w:tcPr>
          <w:p>
            <w:pPr>
              <w:spacing w:line="200" w:lineRule="exact"/>
              <w:jc w:val="center"/>
              <w:rPr>
                <w:sz w:val="15"/>
                <w:szCs w:val="15"/>
              </w:rPr>
            </w:pPr>
            <w:r>
              <w:rPr>
                <w:sz w:val="15"/>
                <w:szCs w:val="15"/>
              </w:rPr>
              <w:t>特丁硫磷</w:t>
            </w:r>
          </w:p>
        </w:tc>
        <w:tc>
          <w:tcPr>
            <w:tcW w:w="1358" w:type="dxa"/>
            <w:shd w:val="clear" w:color="auto" w:fill="auto"/>
            <w:noWrap w:val="0"/>
            <w:vAlign w:val="center"/>
          </w:tcPr>
          <w:p>
            <w:pPr>
              <w:spacing w:line="200" w:lineRule="exact"/>
              <w:jc w:val="center"/>
              <w:rPr>
                <w:sz w:val="15"/>
                <w:szCs w:val="15"/>
              </w:rPr>
            </w:pPr>
            <w:r>
              <w:rPr>
                <w:rFonts w:hint="eastAsia"/>
                <w:sz w:val="15"/>
                <w:szCs w:val="15"/>
              </w:rPr>
              <w:t xml:space="preserve">0.328 </w:t>
            </w:r>
          </w:p>
        </w:tc>
        <w:tc>
          <w:tcPr>
            <w:tcW w:w="1420" w:type="dxa"/>
            <w:shd w:val="clear" w:color="auto" w:fill="auto"/>
            <w:noWrap w:val="0"/>
            <w:vAlign w:val="center"/>
          </w:tcPr>
          <w:p>
            <w:pPr>
              <w:spacing w:line="200" w:lineRule="exact"/>
              <w:jc w:val="center"/>
              <w:rPr>
                <w:sz w:val="15"/>
                <w:szCs w:val="15"/>
              </w:rPr>
            </w:pPr>
            <w:r>
              <w:rPr>
                <w:rFonts w:hint="eastAsia"/>
                <w:sz w:val="15"/>
                <w:szCs w:val="15"/>
              </w:rPr>
              <w:t xml:space="preserve">96.4 </w:t>
            </w:r>
          </w:p>
        </w:tc>
        <w:tc>
          <w:tcPr>
            <w:tcW w:w="1332" w:type="dxa"/>
            <w:noWrap w:val="0"/>
            <w:vAlign w:val="center"/>
          </w:tcPr>
          <w:p>
            <w:pPr>
              <w:spacing w:line="200" w:lineRule="exact"/>
              <w:jc w:val="center"/>
              <w:rPr>
                <w:sz w:val="15"/>
                <w:szCs w:val="15"/>
              </w:rPr>
            </w:pPr>
            <w:r>
              <w:rPr>
                <w:rFonts w:hint="eastAsia"/>
                <w:sz w:val="15"/>
                <w:szCs w:val="15"/>
              </w:rPr>
              <w:t xml:space="preserve">2.45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 w:hRule="atLeast"/>
          <w:jc w:val="center"/>
        </w:trPr>
        <w:tc>
          <w:tcPr>
            <w:tcW w:w="1033" w:type="dxa"/>
            <w:vMerge w:val="continue"/>
            <w:shd w:val="clear" w:color="auto" w:fill="auto"/>
            <w:noWrap w:val="0"/>
            <w:vAlign w:val="center"/>
          </w:tcPr>
          <w:p>
            <w:pPr>
              <w:widowControl/>
              <w:spacing w:line="200" w:lineRule="exact"/>
              <w:jc w:val="center"/>
              <w:rPr>
                <w:rFonts w:hAnsi="宋体"/>
                <w:kern w:val="0"/>
                <w:sz w:val="15"/>
                <w:szCs w:val="15"/>
              </w:rPr>
            </w:pPr>
          </w:p>
        </w:tc>
        <w:tc>
          <w:tcPr>
            <w:tcW w:w="1297" w:type="dxa"/>
            <w:shd w:val="clear" w:color="auto" w:fill="auto"/>
            <w:noWrap w:val="0"/>
            <w:vAlign w:val="center"/>
          </w:tcPr>
          <w:p>
            <w:pPr>
              <w:spacing w:line="200" w:lineRule="exact"/>
              <w:jc w:val="center"/>
              <w:rPr>
                <w:sz w:val="15"/>
                <w:szCs w:val="15"/>
              </w:rPr>
            </w:pPr>
            <w:r>
              <w:rPr>
                <w:sz w:val="15"/>
                <w:szCs w:val="15"/>
              </w:rPr>
              <w:t>久效磷</w:t>
            </w:r>
          </w:p>
        </w:tc>
        <w:tc>
          <w:tcPr>
            <w:tcW w:w="1358" w:type="dxa"/>
            <w:shd w:val="clear" w:color="auto" w:fill="auto"/>
            <w:noWrap w:val="0"/>
            <w:vAlign w:val="center"/>
          </w:tcPr>
          <w:p>
            <w:pPr>
              <w:spacing w:line="200" w:lineRule="exact"/>
              <w:jc w:val="center"/>
              <w:rPr>
                <w:sz w:val="15"/>
                <w:szCs w:val="15"/>
              </w:rPr>
            </w:pPr>
            <w:r>
              <w:rPr>
                <w:rFonts w:hint="eastAsia"/>
                <w:sz w:val="15"/>
                <w:szCs w:val="15"/>
              </w:rPr>
              <w:t xml:space="preserve">0.789 </w:t>
            </w:r>
          </w:p>
        </w:tc>
        <w:tc>
          <w:tcPr>
            <w:tcW w:w="1420" w:type="dxa"/>
            <w:shd w:val="clear" w:color="auto" w:fill="auto"/>
            <w:noWrap w:val="0"/>
            <w:vAlign w:val="center"/>
          </w:tcPr>
          <w:p>
            <w:pPr>
              <w:spacing w:line="200" w:lineRule="exact"/>
              <w:jc w:val="center"/>
              <w:rPr>
                <w:sz w:val="15"/>
                <w:szCs w:val="15"/>
              </w:rPr>
            </w:pPr>
            <w:r>
              <w:rPr>
                <w:rFonts w:hint="eastAsia"/>
                <w:sz w:val="15"/>
                <w:szCs w:val="15"/>
              </w:rPr>
              <w:t xml:space="preserve">96.6 </w:t>
            </w:r>
          </w:p>
        </w:tc>
        <w:tc>
          <w:tcPr>
            <w:tcW w:w="1332" w:type="dxa"/>
            <w:noWrap w:val="0"/>
            <w:vAlign w:val="center"/>
          </w:tcPr>
          <w:p>
            <w:pPr>
              <w:spacing w:line="200" w:lineRule="exact"/>
              <w:jc w:val="center"/>
              <w:rPr>
                <w:sz w:val="15"/>
                <w:szCs w:val="15"/>
              </w:rPr>
            </w:pPr>
            <w:r>
              <w:rPr>
                <w:rFonts w:hint="eastAsia"/>
                <w:sz w:val="15"/>
                <w:szCs w:val="15"/>
              </w:rPr>
              <w:t xml:space="preserve">1.22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 w:hRule="atLeast"/>
          <w:jc w:val="center"/>
        </w:trPr>
        <w:tc>
          <w:tcPr>
            <w:tcW w:w="1033" w:type="dxa"/>
            <w:vMerge w:val="continue"/>
            <w:shd w:val="clear" w:color="auto" w:fill="auto"/>
            <w:noWrap w:val="0"/>
            <w:vAlign w:val="center"/>
          </w:tcPr>
          <w:p>
            <w:pPr>
              <w:widowControl/>
              <w:spacing w:line="200" w:lineRule="exact"/>
              <w:jc w:val="center"/>
              <w:rPr>
                <w:rFonts w:hAnsi="宋体"/>
                <w:kern w:val="0"/>
                <w:sz w:val="15"/>
                <w:szCs w:val="15"/>
              </w:rPr>
            </w:pPr>
          </w:p>
        </w:tc>
        <w:tc>
          <w:tcPr>
            <w:tcW w:w="1297" w:type="dxa"/>
            <w:shd w:val="clear" w:color="auto" w:fill="auto"/>
            <w:noWrap w:val="0"/>
            <w:vAlign w:val="center"/>
          </w:tcPr>
          <w:p>
            <w:pPr>
              <w:spacing w:line="200" w:lineRule="exact"/>
              <w:jc w:val="center"/>
              <w:rPr>
                <w:sz w:val="15"/>
                <w:szCs w:val="15"/>
              </w:rPr>
            </w:pPr>
            <w:r>
              <w:rPr>
                <w:sz w:val="15"/>
                <w:szCs w:val="15"/>
              </w:rPr>
              <w:t>甲基对硫磷</w:t>
            </w:r>
          </w:p>
        </w:tc>
        <w:tc>
          <w:tcPr>
            <w:tcW w:w="1358" w:type="dxa"/>
            <w:shd w:val="clear" w:color="auto" w:fill="auto"/>
            <w:noWrap w:val="0"/>
            <w:vAlign w:val="center"/>
          </w:tcPr>
          <w:p>
            <w:pPr>
              <w:spacing w:line="200" w:lineRule="exact"/>
              <w:jc w:val="center"/>
              <w:rPr>
                <w:sz w:val="15"/>
                <w:szCs w:val="15"/>
              </w:rPr>
            </w:pPr>
            <w:r>
              <w:rPr>
                <w:rFonts w:hint="eastAsia"/>
                <w:sz w:val="15"/>
                <w:szCs w:val="15"/>
              </w:rPr>
              <w:t xml:space="preserve">0.473 </w:t>
            </w:r>
          </w:p>
        </w:tc>
        <w:tc>
          <w:tcPr>
            <w:tcW w:w="1420" w:type="dxa"/>
            <w:shd w:val="clear" w:color="auto" w:fill="auto"/>
            <w:noWrap w:val="0"/>
            <w:vAlign w:val="center"/>
          </w:tcPr>
          <w:p>
            <w:pPr>
              <w:spacing w:line="200" w:lineRule="exact"/>
              <w:jc w:val="center"/>
              <w:rPr>
                <w:sz w:val="15"/>
                <w:szCs w:val="15"/>
              </w:rPr>
            </w:pPr>
            <w:r>
              <w:rPr>
                <w:rFonts w:hint="eastAsia"/>
                <w:sz w:val="15"/>
                <w:szCs w:val="15"/>
              </w:rPr>
              <w:t xml:space="preserve">101.6 </w:t>
            </w:r>
          </w:p>
        </w:tc>
        <w:tc>
          <w:tcPr>
            <w:tcW w:w="1332" w:type="dxa"/>
            <w:noWrap w:val="0"/>
            <w:vAlign w:val="center"/>
          </w:tcPr>
          <w:p>
            <w:pPr>
              <w:spacing w:line="200" w:lineRule="exact"/>
              <w:jc w:val="center"/>
              <w:rPr>
                <w:sz w:val="15"/>
                <w:szCs w:val="15"/>
              </w:rPr>
            </w:pPr>
            <w:r>
              <w:rPr>
                <w:rFonts w:hint="eastAsia"/>
                <w:sz w:val="15"/>
                <w:szCs w:val="15"/>
              </w:rPr>
              <w:t xml:space="preserve">2.51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 w:hRule="atLeast"/>
          <w:jc w:val="center"/>
        </w:trPr>
        <w:tc>
          <w:tcPr>
            <w:tcW w:w="1033" w:type="dxa"/>
            <w:vMerge w:val="continue"/>
            <w:shd w:val="clear" w:color="auto" w:fill="auto"/>
            <w:noWrap w:val="0"/>
            <w:vAlign w:val="center"/>
          </w:tcPr>
          <w:p>
            <w:pPr>
              <w:widowControl/>
              <w:spacing w:line="200" w:lineRule="exact"/>
              <w:jc w:val="center"/>
              <w:rPr>
                <w:rFonts w:hAnsi="宋体"/>
                <w:kern w:val="0"/>
                <w:sz w:val="15"/>
                <w:szCs w:val="15"/>
              </w:rPr>
            </w:pPr>
          </w:p>
        </w:tc>
        <w:tc>
          <w:tcPr>
            <w:tcW w:w="1297" w:type="dxa"/>
            <w:shd w:val="clear" w:color="auto" w:fill="auto"/>
            <w:noWrap w:val="0"/>
            <w:vAlign w:val="center"/>
          </w:tcPr>
          <w:p>
            <w:pPr>
              <w:spacing w:line="200" w:lineRule="exact"/>
              <w:jc w:val="center"/>
              <w:rPr>
                <w:sz w:val="15"/>
                <w:szCs w:val="15"/>
              </w:rPr>
            </w:pPr>
            <w:r>
              <w:rPr>
                <w:sz w:val="15"/>
                <w:szCs w:val="15"/>
              </w:rPr>
              <w:t>对硫磷</w:t>
            </w:r>
          </w:p>
        </w:tc>
        <w:tc>
          <w:tcPr>
            <w:tcW w:w="1358" w:type="dxa"/>
            <w:shd w:val="clear" w:color="auto" w:fill="auto"/>
            <w:noWrap w:val="0"/>
            <w:vAlign w:val="center"/>
          </w:tcPr>
          <w:p>
            <w:pPr>
              <w:spacing w:line="200" w:lineRule="exact"/>
              <w:jc w:val="center"/>
              <w:rPr>
                <w:sz w:val="15"/>
                <w:szCs w:val="15"/>
              </w:rPr>
            </w:pPr>
            <w:r>
              <w:rPr>
                <w:rFonts w:hint="eastAsia"/>
                <w:sz w:val="15"/>
                <w:szCs w:val="15"/>
              </w:rPr>
              <w:t xml:space="preserve">0.539 </w:t>
            </w:r>
          </w:p>
        </w:tc>
        <w:tc>
          <w:tcPr>
            <w:tcW w:w="1420" w:type="dxa"/>
            <w:shd w:val="clear" w:color="auto" w:fill="auto"/>
            <w:noWrap w:val="0"/>
            <w:vAlign w:val="center"/>
          </w:tcPr>
          <w:p>
            <w:pPr>
              <w:spacing w:line="200" w:lineRule="exact"/>
              <w:jc w:val="center"/>
              <w:rPr>
                <w:sz w:val="15"/>
                <w:szCs w:val="15"/>
              </w:rPr>
            </w:pPr>
            <w:r>
              <w:rPr>
                <w:rFonts w:hint="eastAsia"/>
                <w:sz w:val="15"/>
                <w:szCs w:val="15"/>
              </w:rPr>
              <w:t xml:space="preserve">96.8 </w:t>
            </w:r>
          </w:p>
        </w:tc>
        <w:tc>
          <w:tcPr>
            <w:tcW w:w="1332" w:type="dxa"/>
            <w:noWrap w:val="0"/>
            <w:vAlign w:val="center"/>
          </w:tcPr>
          <w:p>
            <w:pPr>
              <w:spacing w:line="200" w:lineRule="exact"/>
              <w:jc w:val="center"/>
              <w:rPr>
                <w:sz w:val="15"/>
                <w:szCs w:val="15"/>
              </w:rPr>
            </w:pPr>
            <w:r>
              <w:rPr>
                <w:rFonts w:hint="eastAsia"/>
                <w:sz w:val="15"/>
                <w:szCs w:val="15"/>
              </w:rPr>
              <w:t xml:space="preserve">2.06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 w:hRule="atLeast"/>
          <w:jc w:val="center"/>
        </w:trPr>
        <w:tc>
          <w:tcPr>
            <w:tcW w:w="1033" w:type="dxa"/>
            <w:vMerge w:val="continue"/>
            <w:shd w:val="clear" w:color="auto" w:fill="auto"/>
            <w:noWrap w:val="0"/>
            <w:vAlign w:val="center"/>
          </w:tcPr>
          <w:p>
            <w:pPr>
              <w:widowControl/>
              <w:spacing w:line="200" w:lineRule="exact"/>
              <w:jc w:val="center"/>
              <w:rPr>
                <w:rFonts w:hAnsi="宋体"/>
                <w:kern w:val="0"/>
                <w:sz w:val="15"/>
                <w:szCs w:val="15"/>
              </w:rPr>
            </w:pPr>
          </w:p>
        </w:tc>
        <w:tc>
          <w:tcPr>
            <w:tcW w:w="1297" w:type="dxa"/>
            <w:shd w:val="clear" w:color="auto" w:fill="auto"/>
            <w:noWrap w:val="0"/>
            <w:vAlign w:val="center"/>
          </w:tcPr>
          <w:p>
            <w:pPr>
              <w:spacing w:line="200" w:lineRule="exact"/>
              <w:jc w:val="center"/>
              <w:rPr>
                <w:sz w:val="15"/>
                <w:szCs w:val="15"/>
              </w:rPr>
            </w:pPr>
            <w:r>
              <w:rPr>
                <w:sz w:val="15"/>
                <w:szCs w:val="15"/>
              </w:rPr>
              <w:t>甲基异柳磷</w:t>
            </w:r>
          </w:p>
        </w:tc>
        <w:tc>
          <w:tcPr>
            <w:tcW w:w="1358" w:type="dxa"/>
            <w:shd w:val="clear" w:color="auto" w:fill="auto"/>
            <w:noWrap w:val="0"/>
            <w:vAlign w:val="center"/>
          </w:tcPr>
          <w:p>
            <w:pPr>
              <w:spacing w:line="200" w:lineRule="exact"/>
              <w:jc w:val="center"/>
              <w:rPr>
                <w:sz w:val="15"/>
                <w:szCs w:val="15"/>
              </w:rPr>
            </w:pPr>
            <w:r>
              <w:rPr>
                <w:rFonts w:hint="eastAsia"/>
                <w:sz w:val="15"/>
                <w:szCs w:val="15"/>
              </w:rPr>
              <w:t xml:space="preserve">0.132 </w:t>
            </w:r>
          </w:p>
        </w:tc>
        <w:tc>
          <w:tcPr>
            <w:tcW w:w="1420" w:type="dxa"/>
            <w:shd w:val="clear" w:color="auto" w:fill="auto"/>
            <w:noWrap w:val="0"/>
            <w:vAlign w:val="center"/>
          </w:tcPr>
          <w:p>
            <w:pPr>
              <w:spacing w:line="200" w:lineRule="exact"/>
              <w:jc w:val="center"/>
              <w:rPr>
                <w:sz w:val="15"/>
                <w:szCs w:val="15"/>
              </w:rPr>
            </w:pPr>
            <w:r>
              <w:rPr>
                <w:rFonts w:hint="eastAsia"/>
                <w:sz w:val="15"/>
                <w:szCs w:val="15"/>
              </w:rPr>
              <w:t xml:space="preserve">94.8 </w:t>
            </w:r>
          </w:p>
        </w:tc>
        <w:tc>
          <w:tcPr>
            <w:tcW w:w="1332" w:type="dxa"/>
            <w:noWrap w:val="0"/>
            <w:vAlign w:val="center"/>
          </w:tcPr>
          <w:p>
            <w:pPr>
              <w:spacing w:line="200" w:lineRule="exact"/>
              <w:jc w:val="center"/>
              <w:rPr>
                <w:sz w:val="15"/>
                <w:szCs w:val="15"/>
              </w:rPr>
            </w:pPr>
            <w:r>
              <w:rPr>
                <w:rFonts w:hint="eastAsia"/>
                <w:sz w:val="15"/>
                <w:szCs w:val="15"/>
              </w:rPr>
              <w:t xml:space="preserve">2.92 </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 w:hRule="atLeast"/>
          <w:jc w:val="center"/>
        </w:trPr>
        <w:tc>
          <w:tcPr>
            <w:tcW w:w="1033" w:type="dxa"/>
            <w:vMerge w:val="continue"/>
            <w:shd w:val="clear" w:color="auto" w:fill="auto"/>
            <w:noWrap w:val="0"/>
            <w:vAlign w:val="center"/>
          </w:tcPr>
          <w:p>
            <w:pPr>
              <w:widowControl/>
              <w:spacing w:line="200" w:lineRule="exact"/>
              <w:jc w:val="center"/>
              <w:rPr>
                <w:rFonts w:hAnsi="宋体"/>
                <w:kern w:val="0"/>
                <w:sz w:val="15"/>
                <w:szCs w:val="15"/>
              </w:rPr>
            </w:pPr>
          </w:p>
        </w:tc>
        <w:tc>
          <w:tcPr>
            <w:tcW w:w="1297" w:type="dxa"/>
            <w:shd w:val="clear" w:color="auto" w:fill="auto"/>
            <w:noWrap w:val="0"/>
            <w:vAlign w:val="center"/>
          </w:tcPr>
          <w:p>
            <w:pPr>
              <w:spacing w:line="200" w:lineRule="exact"/>
              <w:jc w:val="center"/>
              <w:rPr>
                <w:sz w:val="15"/>
                <w:szCs w:val="15"/>
              </w:rPr>
            </w:pPr>
            <w:r>
              <w:rPr>
                <w:sz w:val="15"/>
                <w:szCs w:val="15"/>
              </w:rPr>
              <w:t>水胺硫磷</w:t>
            </w:r>
          </w:p>
        </w:tc>
        <w:tc>
          <w:tcPr>
            <w:tcW w:w="1358" w:type="dxa"/>
            <w:shd w:val="clear" w:color="auto" w:fill="auto"/>
            <w:noWrap w:val="0"/>
            <w:vAlign w:val="center"/>
          </w:tcPr>
          <w:p>
            <w:pPr>
              <w:spacing w:line="200" w:lineRule="exact"/>
              <w:jc w:val="center"/>
              <w:rPr>
                <w:sz w:val="15"/>
                <w:szCs w:val="15"/>
              </w:rPr>
            </w:pPr>
            <w:r>
              <w:rPr>
                <w:rFonts w:hint="eastAsia"/>
                <w:sz w:val="15"/>
                <w:szCs w:val="15"/>
              </w:rPr>
              <w:t xml:space="preserve">0.435 </w:t>
            </w:r>
          </w:p>
        </w:tc>
        <w:tc>
          <w:tcPr>
            <w:tcW w:w="1420" w:type="dxa"/>
            <w:shd w:val="clear" w:color="auto" w:fill="auto"/>
            <w:noWrap w:val="0"/>
            <w:vAlign w:val="center"/>
          </w:tcPr>
          <w:p>
            <w:pPr>
              <w:spacing w:line="200" w:lineRule="exact"/>
              <w:jc w:val="center"/>
              <w:rPr>
                <w:sz w:val="15"/>
                <w:szCs w:val="15"/>
              </w:rPr>
            </w:pPr>
            <w:r>
              <w:rPr>
                <w:rFonts w:hint="eastAsia"/>
                <w:sz w:val="15"/>
                <w:szCs w:val="15"/>
              </w:rPr>
              <w:t xml:space="preserve">96.8 </w:t>
            </w:r>
          </w:p>
        </w:tc>
        <w:tc>
          <w:tcPr>
            <w:tcW w:w="1332" w:type="dxa"/>
            <w:noWrap w:val="0"/>
            <w:vAlign w:val="center"/>
          </w:tcPr>
          <w:p>
            <w:pPr>
              <w:spacing w:line="200" w:lineRule="exact"/>
              <w:jc w:val="center"/>
              <w:rPr>
                <w:sz w:val="15"/>
                <w:szCs w:val="15"/>
              </w:rPr>
            </w:pPr>
            <w:r>
              <w:rPr>
                <w:rFonts w:hint="eastAsia"/>
                <w:sz w:val="15"/>
                <w:szCs w:val="15"/>
              </w:rPr>
              <w:t xml:space="preserve">1.27 </w:t>
            </w:r>
          </w:p>
        </w:tc>
      </w:tr>
    </w:tbl>
    <w:p>
      <w:pPr>
        <w:rPr>
          <w:rFonts w:hint="eastAsia"/>
          <w:b/>
          <w:szCs w:val="21"/>
        </w:rPr>
      </w:pPr>
    </w:p>
    <w:p>
      <w:pPr>
        <w:pStyle w:val="3"/>
        <w:rPr>
          <w:rFonts w:hint="eastAsia" w:ascii="仿宋_GB2312" w:eastAsia="仿宋_GB2312"/>
          <w:sz w:val="24"/>
          <w:szCs w:val="24"/>
          <w:lang w:val="en-US" w:eastAsia="zh-CN"/>
        </w:rPr>
      </w:pPr>
      <w:bookmarkStart w:id="84" w:name="_Toc20885_WPSOffice_Level2"/>
      <w:bookmarkStart w:id="85" w:name="_Toc14727_WPSOffice_Level2"/>
      <w:r>
        <w:rPr>
          <w:rFonts w:hint="eastAsia" w:ascii="仿宋_GB2312" w:eastAsia="仿宋_GB2312"/>
          <w:sz w:val="24"/>
          <w:szCs w:val="24"/>
          <w:lang w:val="en-US" w:eastAsia="zh-CN"/>
        </w:rPr>
        <w:t>4.5 方法的线性范围</w:t>
      </w:r>
      <w:bookmarkEnd w:id="84"/>
      <w:bookmarkEnd w:id="85"/>
    </w:p>
    <w:p>
      <w:pPr>
        <w:spacing w:line="520" w:lineRule="exact"/>
        <w:ind w:firstLine="470" w:firstLineChars="196"/>
        <w:rPr>
          <w:rFonts w:hint="eastAsia"/>
          <w:sz w:val="24"/>
          <w:lang w:val="en-US" w:eastAsia="zh-CN"/>
        </w:rPr>
      </w:pPr>
      <w:r>
        <w:rPr>
          <w:rFonts w:hint="eastAsia"/>
          <w:sz w:val="24"/>
          <w:lang w:val="en-US" w:eastAsia="zh-CN"/>
        </w:rPr>
        <w:t>本方法标准曲线的线性范围为8 mg/L～160 mg/L，十个农药的相关系数为R2大于0.9961。在此范围内仪器响应与农药的浓度具有良好的线性范围</w:t>
      </w:r>
    </w:p>
    <w:p>
      <w:pPr>
        <w:pStyle w:val="3"/>
        <w:rPr>
          <w:rFonts w:hint="eastAsia" w:ascii="仿宋_GB2312" w:eastAsia="仿宋_GB2312"/>
          <w:sz w:val="24"/>
          <w:szCs w:val="24"/>
          <w:lang w:val="en-US" w:eastAsia="zh-CN"/>
        </w:rPr>
      </w:pPr>
      <w:bookmarkStart w:id="86" w:name="_Toc22926"/>
      <w:bookmarkStart w:id="87" w:name="_Toc39_WPSOffice_Level2"/>
      <w:bookmarkStart w:id="88" w:name="_Toc21890_WPSOffice_Level2"/>
      <w:r>
        <w:rPr>
          <w:rFonts w:hint="eastAsia" w:ascii="仿宋_GB2312" w:eastAsia="仿宋_GB2312"/>
          <w:sz w:val="24"/>
          <w:szCs w:val="24"/>
          <w:lang w:val="en-US" w:eastAsia="zh-CN"/>
        </w:rPr>
        <w:t>4.6 准确度</w:t>
      </w:r>
      <w:bookmarkEnd w:id="86"/>
      <w:bookmarkEnd w:id="87"/>
      <w:bookmarkEnd w:id="88"/>
    </w:p>
    <w:p>
      <w:pPr>
        <w:spacing w:line="520" w:lineRule="exact"/>
        <w:ind w:firstLine="470" w:firstLineChars="196"/>
        <w:rPr>
          <w:rFonts w:hint="eastAsia"/>
          <w:sz w:val="24"/>
          <w:lang w:val="en-US" w:eastAsia="zh-CN"/>
        </w:rPr>
      </w:pPr>
      <w:r>
        <w:rPr>
          <w:rFonts w:hint="eastAsia"/>
          <w:sz w:val="24"/>
          <w:lang w:val="en-US" w:eastAsia="zh-CN"/>
        </w:rPr>
        <w:t>根据《化学分析中不确定度的评估指南》，准确度为测定平均值与真值的相符程度。准确度的测定为某一稳定样品中加入已知量的标准物质（将标准物质的量作为真值）称加标样品；同时测定样品和加标样品；加标样品扣除样品值后与标准物质的误差即为该方法的准确度。</w:t>
      </w:r>
    </w:p>
    <w:p>
      <w:pPr>
        <w:spacing w:line="520" w:lineRule="exact"/>
        <w:ind w:firstLine="470" w:firstLineChars="196"/>
        <w:rPr>
          <w:rFonts w:hint="eastAsia"/>
          <w:sz w:val="24"/>
          <w:lang w:val="en-US" w:eastAsia="zh-CN"/>
        </w:rPr>
      </w:pPr>
      <w:r>
        <w:rPr>
          <w:rFonts w:hint="eastAsia"/>
          <w:sz w:val="24"/>
          <w:lang w:val="en-US" w:eastAsia="zh-CN"/>
        </w:rPr>
        <w:t>标准中规定的适用范围为乳油型农药。试验中选择了市售80%敌敌畏乳油、40%乐果乳油、20%辛硫磷乳油、20%甲氰菊酯乳油、高效氯氰菊酯（25g/L）、敌杀死（25g/L溴氰菊酯）做为本底，准确加入10种禁用农药标样进行添加回收实验，回收率为91.8-104.2，RSD范围在0.53%-3.53%之间，结果非常理想。</w:t>
      </w:r>
    </w:p>
    <w:p>
      <w:pPr>
        <w:ind w:firstLine="422" w:firstLineChars="200"/>
        <w:jc w:val="center"/>
      </w:pPr>
      <w:r>
        <w:rPr>
          <w:b/>
          <w:bCs/>
        </w:rPr>
        <w:t>表1 准确度试验测定结果</w:t>
      </w:r>
    </w:p>
    <w:tbl>
      <w:tblPr>
        <w:tblStyle w:val="10"/>
        <w:tblW w:w="8425" w:type="dxa"/>
        <w:jc w:val="center"/>
        <w:tblInd w:w="31"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65"/>
        <w:gridCol w:w="695"/>
        <w:gridCol w:w="695"/>
        <w:gridCol w:w="695"/>
        <w:gridCol w:w="695"/>
        <w:gridCol w:w="645"/>
        <w:gridCol w:w="603"/>
        <w:gridCol w:w="794"/>
        <w:gridCol w:w="648"/>
        <w:gridCol w:w="695"/>
        <w:gridCol w:w="695"/>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78" w:hRule="atLeast"/>
          <w:jc w:val="center"/>
        </w:trPr>
        <w:tc>
          <w:tcPr>
            <w:tcW w:w="1565" w:type="dxa"/>
            <w:tcBorders>
              <w:top w:val="single" w:color="auto" w:sz="12" w:space="0"/>
              <w:bottom w:val="single" w:color="auto" w:sz="8" w:space="0"/>
            </w:tcBorders>
            <w:noWrap w:val="0"/>
            <w:vAlign w:val="center"/>
          </w:tcPr>
          <w:p>
            <w:pPr>
              <w:spacing w:line="240" w:lineRule="exact"/>
              <w:jc w:val="center"/>
              <w:rPr>
                <w:sz w:val="15"/>
                <w:szCs w:val="15"/>
              </w:rPr>
            </w:pPr>
            <w:r>
              <w:rPr>
                <w:sz w:val="15"/>
                <w:szCs w:val="15"/>
              </w:rPr>
              <w:t>样本</w:t>
            </w:r>
          </w:p>
        </w:tc>
        <w:tc>
          <w:tcPr>
            <w:tcW w:w="695" w:type="dxa"/>
            <w:tcBorders>
              <w:top w:val="single" w:color="auto" w:sz="12" w:space="0"/>
              <w:bottom w:val="single" w:color="auto" w:sz="8" w:space="0"/>
            </w:tcBorders>
            <w:noWrap w:val="0"/>
            <w:vAlign w:val="center"/>
          </w:tcPr>
          <w:p>
            <w:pPr>
              <w:spacing w:line="240" w:lineRule="exact"/>
              <w:jc w:val="center"/>
              <w:rPr>
                <w:sz w:val="15"/>
                <w:szCs w:val="15"/>
              </w:rPr>
            </w:pPr>
            <w:r>
              <w:rPr>
                <w:sz w:val="15"/>
                <w:szCs w:val="15"/>
              </w:rPr>
              <w:t>甲胺磷</w:t>
            </w:r>
          </w:p>
        </w:tc>
        <w:tc>
          <w:tcPr>
            <w:tcW w:w="695" w:type="dxa"/>
            <w:tcBorders>
              <w:top w:val="single" w:color="auto" w:sz="12" w:space="0"/>
              <w:bottom w:val="single" w:color="auto" w:sz="8" w:space="0"/>
            </w:tcBorders>
            <w:noWrap w:val="0"/>
            <w:vAlign w:val="center"/>
          </w:tcPr>
          <w:p>
            <w:pPr>
              <w:spacing w:line="240" w:lineRule="exact"/>
              <w:jc w:val="center"/>
              <w:rPr>
                <w:sz w:val="15"/>
                <w:szCs w:val="15"/>
              </w:rPr>
            </w:pPr>
            <w:r>
              <w:rPr>
                <w:sz w:val="15"/>
                <w:szCs w:val="15"/>
              </w:rPr>
              <w:t>甲拌磷</w:t>
            </w:r>
          </w:p>
        </w:tc>
        <w:tc>
          <w:tcPr>
            <w:tcW w:w="695" w:type="dxa"/>
            <w:tcBorders>
              <w:top w:val="single" w:color="auto" w:sz="12" w:space="0"/>
              <w:bottom w:val="single" w:color="auto" w:sz="8" w:space="0"/>
            </w:tcBorders>
            <w:noWrap w:val="0"/>
            <w:vAlign w:val="center"/>
          </w:tcPr>
          <w:p>
            <w:pPr>
              <w:spacing w:line="240" w:lineRule="exact"/>
              <w:jc w:val="center"/>
              <w:rPr>
                <w:sz w:val="15"/>
                <w:szCs w:val="15"/>
              </w:rPr>
            </w:pPr>
            <w:r>
              <w:rPr>
                <w:sz w:val="15"/>
                <w:szCs w:val="15"/>
              </w:rPr>
              <w:t>治螟磷</w:t>
            </w:r>
          </w:p>
        </w:tc>
        <w:tc>
          <w:tcPr>
            <w:tcW w:w="695" w:type="dxa"/>
            <w:tcBorders>
              <w:top w:val="single" w:color="auto" w:sz="12" w:space="0"/>
              <w:bottom w:val="single" w:color="auto" w:sz="8" w:space="0"/>
            </w:tcBorders>
            <w:noWrap w:val="0"/>
            <w:vAlign w:val="center"/>
          </w:tcPr>
          <w:p>
            <w:pPr>
              <w:spacing w:line="240" w:lineRule="exact"/>
              <w:jc w:val="center"/>
              <w:rPr>
                <w:sz w:val="15"/>
                <w:szCs w:val="15"/>
              </w:rPr>
            </w:pPr>
            <w:r>
              <w:rPr>
                <w:sz w:val="15"/>
                <w:szCs w:val="15"/>
              </w:rPr>
              <w:t>氧乐果</w:t>
            </w:r>
          </w:p>
        </w:tc>
        <w:tc>
          <w:tcPr>
            <w:tcW w:w="645" w:type="dxa"/>
            <w:tcBorders>
              <w:top w:val="single" w:color="auto" w:sz="12" w:space="0"/>
              <w:bottom w:val="single" w:color="auto" w:sz="8" w:space="0"/>
            </w:tcBorders>
            <w:noWrap w:val="0"/>
            <w:vAlign w:val="center"/>
          </w:tcPr>
          <w:p>
            <w:pPr>
              <w:spacing w:line="240" w:lineRule="exact"/>
              <w:jc w:val="center"/>
              <w:rPr>
                <w:sz w:val="15"/>
                <w:szCs w:val="15"/>
              </w:rPr>
            </w:pPr>
            <w:r>
              <w:rPr>
                <w:sz w:val="15"/>
                <w:szCs w:val="15"/>
              </w:rPr>
              <w:t>特丁硫磷</w:t>
            </w:r>
          </w:p>
        </w:tc>
        <w:tc>
          <w:tcPr>
            <w:tcW w:w="603" w:type="dxa"/>
            <w:tcBorders>
              <w:top w:val="single" w:color="auto" w:sz="12" w:space="0"/>
              <w:bottom w:val="single" w:color="auto" w:sz="8" w:space="0"/>
            </w:tcBorders>
            <w:noWrap w:val="0"/>
            <w:vAlign w:val="center"/>
          </w:tcPr>
          <w:p>
            <w:pPr>
              <w:spacing w:line="240" w:lineRule="exact"/>
              <w:jc w:val="center"/>
              <w:rPr>
                <w:sz w:val="15"/>
                <w:szCs w:val="15"/>
              </w:rPr>
            </w:pPr>
            <w:r>
              <w:rPr>
                <w:sz w:val="15"/>
                <w:szCs w:val="15"/>
              </w:rPr>
              <w:t>久效磷</w:t>
            </w:r>
          </w:p>
        </w:tc>
        <w:tc>
          <w:tcPr>
            <w:tcW w:w="794" w:type="dxa"/>
            <w:tcBorders>
              <w:top w:val="single" w:color="auto" w:sz="12" w:space="0"/>
              <w:bottom w:val="single" w:color="auto" w:sz="8" w:space="0"/>
            </w:tcBorders>
            <w:noWrap w:val="0"/>
            <w:vAlign w:val="center"/>
          </w:tcPr>
          <w:p>
            <w:pPr>
              <w:spacing w:line="240" w:lineRule="exact"/>
              <w:jc w:val="center"/>
              <w:rPr>
                <w:sz w:val="15"/>
                <w:szCs w:val="15"/>
              </w:rPr>
            </w:pPr>
            <w:r>
              <w:rPr>
                <w:sz w:val="15"/>
                <w:szCs w:val="15"/>
              </w:rPr>
              <w:t>甲基对硫磷</w:t>
            </w:r>
          </w:p>
        </w:tc>
        <w:tc>
          <w:tcPr>
            <w:tcW w:w="648" w:type="dxa"/>
            <w:tcBorders>
              <w:top w:val="single" w:color="auto" w:sz="12" w:space="0"/>
              <w:bottom w:val="single" w:color="auto" w:sz="8" w:space="0"/>
            </w:tcBorders>
            <w:noWrap w:val="0"/>
            <w:vAlign w:val="center"/>
          </w:tcPr>
          <w:p>
            <w:pPr>
              <w:spacing w:line="240" w:lineRule="exact"/>
              <w:jc w:val="center"/>
              <w:rPr>
                <w:sz w:val="15"/>
                <w:szCs w:val="15"/>
              </w:rPr>
            </w:pPr>
            <w:r>
              <w:rPr>
                <w:sz w:val="15"/>
                <w:szCs w:val="15"/>
              </w:rPr>
              <w:t>对硫磷</w:t>
            </w:r>
          </w:p>
        </w:tc>
        <w:tc>
          <w:tcPr>
            <w:tcW w:w="695" w:type="dxa"/>
            <w:tcBorders>
              <w:top w:val="single" w:color="auto" w:sz="12" w:space="0"/>
              <w:bottom w:val="single" w:color="auto" w:sz="8" w:space="0"/>
            </w:tcBorders>
            <w:noWrap w:val="0"/>
            <w:vAlign w:val="center"/>
          </w:tcPr>
          <w:p>
            <w:pPr>
              <w:spacing w:line="240" w:lineRule="exact"/>
              <w:jc w:val="center"/>
              <w:rPr>
                <w:sz w:val="15"/>
                <w:szCs w:val="15"/>
              </w:rPr>
            </w:pPr>
            <w:r>
              <w:rPr>
                <w:sz w:val="15"/>
                <w:szCs w:val="15"/>
              </w:rPr>
              <w:t>甲基异柳磷</w:t>
            </w:r>
          </w:p>
        </w:tc>
        <w:tc>
          <w:tcPr>
            <w:tcW w:w="695" w:type="dxa"/>
            <w:tcBorders>
              <w:top w:val="single" w:color="auto" w:sz="12" w:space="0"/>
              <w:bottom w:val="single" w:color="auto" w:sz="8" w:space="0"/>
            </w:tcBorders>
            <w:noWrap w:val="0"/>
            <w:vAlign w:val="center"/>
          </w:tcPr>
          <w:p>
            <w:pPr>
              <w:spacing w:line="240" w:lineRule="exact"/>
              <w:jc w:val="center"/>
              <w:rPr>
                <w:sz w:val="15"/>
                <w:szCs w:val="15"/>
              </w:rPr>
            </w:pPr>
            <w:r>
              <w:rPr>
                <w:sz w:val="15"/>
                <w:szCs w:val="15"/>
              </w:rPr>
              <w:t>水胺硫磷</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1" w:hRule="atLeast"/>
          <w:jc w:val="center"/>
        </w:trPr>
        <w:tc>
          <w:tcPr>
            <w:tcW w:w="1565" w:type="dxa"/>
            <w:tcBorders>
              <w:top w:val="single" w:color="auto" w:sz="8" w:space="0"/>
            </w:tcBorders>
            <w:noWrap w:val="0"/>
            <w:vAlign w:val="center"/>
          </w:tcPr>
          <w:p>
            <w:pPr>
              <w:spacing w:line="240" w:lineRule="exact"/>
              <w:jc w:val="center"/>
              <w:rPr>
                <w:sz w:val="15"/>
                <w:szCs w:val="15"/>
              </w:rPr>
            </w:pPr>
            <w:bookmarkStart w:id="89" w:name="OLE_LINK1" w:colFirst="0" w:colLast="6"/>
            <w:bookmarkStart w:id="90" w:name="_Hlk172448766"/>
            <w:bookmarkStart w:id="91" w:name="OLE_LINK3" w:colFirst="0" w:colLast="6"/>
            <w:r>
              <w:rPr>
                <w:sz w:val="15"/>
                <w:szCs w:val="15"/>
              </w:rPr>
              <w:t>80%敌敌畏乳油</w:t>
            </w:r>
          </w:p>
        </w:tc>
        <w:tc>
          <w:tcPr>
            <w:tcW w:w="695" w:type="dxa"/>
            <w:tcBorders>
              <w:top w:val="single" w:color="auto" w:sz="8" w:space="0"/>
            </w:tcBorders>
            <w:noWrap w:val="0"/>
            <w:vAlign w:val="center"/>
          </w:tcPr>
          <w:p>
            <w:pPr>
              <w:spacing w:line="240" w:lineRule="exact"/>
              <w:jc w:val="center"/>
              <w:rPr>
                <w:sz w:val="15"/>
                <w:szCs w:val="15"/>
              </w:rPr>
            </w:pPr>
            <w:r>
              <w:rPr>
                <w:sz w:val="15"/>
                <w:szCs w:val="15"/>
              </w:rPr>
              <w:t>98.1</w:t>
            </w:r>
          </w:p>
        </w:tc>
        <w:tc>
          <w:tcPr>
            <w:tcW w:w="695" w:type="dxa"/>
            <w:tcBorders>
              <w:top w:val="single" w:color="auto" w:sz="8" w:space="0"/>
            </w:tcBorders>
            <w:noWrap w:val="0"/>
            <w:vAlign w:val="center"/>
          </w:tcPr>
          <w:p>
            <w:pPr>
              <w:spacing w:line="240" w:lineRule="exact"/>
              <w:jc w:val="center"/>
              <w:rPr>
                <w:sz w:val="15"/>
                <w:szCs w:val="15"/>
              </w:rPr>
            </w:pPr>
            <w:r>
              <w:rPr>
                <w:sz w:val="15"/>
                <w:szCs w:val="15"/>
              </w:rPr>
              <w:t>96.7</w:t>
            </w:r>
          </w:p>
        </w:tc>
        <w:tc>
          <w:tcPr>
            <w:tcW w:w="695" w:type="dxa"/>
            <w:tcBorders>
              <w:top w:val="single" w:color="auto" w:sz="8" w:space="0"/>
            </w:tcBorders>
            <w:noWrap w:val="0"/>
            <w:vAlign w:val="center"/>
          </w:tcPr>
          <w:p>
            <w:pPr>
              <w:spacing w:line="240" w:lineRule="exact"/>
              <w:jc w:val="center"/>
              <w:rPr>
                <w:sz w:val="15"/>
                <w:szCs w:val="15"/>
              </w:rPr>
            </w:pPr>
            <w:r>
              <w:rPr>
                <w:sz w:val="15"/>
                <w:szCs w:val="15"/>
              </w:rPr>
              <w:t>100.3</w:t>
            </w:r>
          </w:p>
        </w:tc>
        <w:tc>
          <w:tcPr>
            <w:tcW w:w="695" w:type="dxa"/>
            <w:tcBorders>
              <w:top w:val="single" w:color="auto" w:sz="8" w:space="0"/>
            </w:tcBorders>
            <w:noWrap w:val="0"/>
            <w:vAlign w:val="center"/>
          </w:tcPr>
          <w:p>
            <w:pPr>
              <w:spacing w:line="240" w:lineRule="exact"/>
              <w:jc w:val="center"/>
              <w:rPr>
                <w:sz w:val="15"/>
                <w:szCs w:val="15"/>
              </w:rPr>
            </w:pPr>
            <w:r>
              <w:rPr>
                <w:sz w:val="15"/>
                <w:szCs w:val="15"/>
              </w:rPr>
              <w:t>93.2</w:t>
            </w:r>
          </w:p>
        </w:tc>
        <w:tc>
          <w:tcPr>
            <w:tcW w:w="645" w:type="dxa"/>
            <w:tcBorders>
              <w:top w:val="single" w:color="auto" w:sz="8" w:space="0"/>
            </w:tcBorders>
            <w:noWrap w:val="0"/>
            <w:vAlign w:val="center"/>
          </w:tcPr>
          <w:p>
            <w:pPr>
              <w:spacing w:line="240" w:lineRule="exact"/>
              <w:jc w:val="center"/>
              <w:rPr>
                <w:sz w:val="15"/>
                <w:szCs w:val="15"/>
              </w:rPr>
            </w:pPr>
            <w:r>
              <w:rPr>
                <w:sz w:val="15"/>
                <w:szCs w:val="15"/>
              </w:rPr>
              <w:t>95.3</w:t>
            </w:r>
          </w:p>
        </w:tc>
        <w:tc>
          <w:tcPr>
            <w:tcW w:w="603" w:type="dxa"/>
            <w:tcBorders>
              <w:top w:val="single" w:color="auto" w:sz="8" w:space="0"/>
            </w:tcBorders>
            <w:noWrap w:val="0"/>
            <w:vAlign w:val="center"/>
          </w:tcPr>
          <w:p>
            <w:pPr>
              <w:spacing w:line="240" w:lineRule="exact"/>
              <w:jc w:val="center"/>
              <w:rPr>
                <w:sz w:val="15"/>
                <w:szCs w:val="15"/>
              </w:rPr>
            </w:pPr>
            <w:r>
              <w:rPr>
                <w:sz w:val="15"/>
                <w:szCs w:val="15"/>
              </w:rPr>
              <w:t>95.3</w:t>
            </w:r>
          </w:p>
        </w:tc>
        <w:tc>
          <w:tcPr>
            <w:tcW w:w="794" w:type="dxa"/>
            <w:tcBorders>
              <w:top w:val="single" w:color="auto" w:sz="8" w:space="0"/>
            </w:tcBorders>
            <w:noWrap w:val="0"/>
            <w:vAlign w:val="center"/>
          </w:tcPr>
          <w:p>
            <w:pPr>
              <w:spacing w:line="240" w:lineRule="exact"/>
              <w:jc w:val="center"/>
              <w:rPr>
                <w:sz w:val="15"/>
                <w:szCs w:val="15"/>
              </w:rPr>
            </w:pPr>
            <w:r>
              <w:rPr>
                <w:sz w:val="15"/>
                <w:szCs w:val="15"/>
              </w:rPr>
              <w:t>96.4</w:t>
            </w:r>
          </w:p>
        </w:tc>
        <w:tc>
          <w:tcPr>
            <w:tcW w:w="648" w:type="dxa"/>
            <w:tcBorders>
              <w:top w:val="single" w:color="auto" w:sz="8" w:space="0"/>
            </w:tcBorders>
            <w:noWrap w:val="0"/>
            <w:vAlign w:val="center"/>
          </w:tcPr>
          <w:p>
            <w:pPr>
              <w:spacing w:line="240" w:lineRule="exact"/>
              <w:jc w:val="center"/>
              <w:rPr>
                <w:sz w:val="15"/>
                <w:szCs w:val="15"/>
              </w:rPr>
            </w:pPr>
            <w:r>
              <w:rPr>
                <w:sz w:val="15"/>
                <w:szCs w:val="15"/>
              </w:rPr>
              <w:t>96.9</w:t>
            </w:r>
          </w:p>
        </w:tc>
        <w:tc>
          <w:tcPr>
            <w:tcW w:w="695" w:type="dxa"/>
            <w:tcBorders>
              <w:top w:val="single" w:color="auto" w:sz="8" w:space="0"/>
            </w:tcBorders>
            <w:noWrap w:val="0"/>
            <w:vAlign w:val="center"/>
          </w:tcPr>
          <w:p>
            <w:pPr>
              <w:spacing w:line="240" w:lineRule="exact"/>
              <w:jc w:val="center"/>
              <w:rPr>
                <w:sz w:val="15"/>
                <w:szCs w:val="15"/>
              </w:rPr>
            </w:pPr>
            <w:r>
              <w:rPr>
                <w:sz w:val="15"/>
                <w:szCs w:val="15"/>
              </w:rPr>
              <w:t>97.5</w:t>
            </w:r>
          </w:p>
        </w:tc>
        <w:tc>
          <w:tcPr>
            <w:tcW w:w="695" w:type="dxa"/>
            <w:tcBorders>
              <w:top w:val="single" w:color="auto" w:sz="8" w:space="0"/>
            </w:tcBorders>
            <w:noWrap w:val="0"/>
            <w:vAlign w:val="center"/>
          </w:tcPr>
          <w:p>
            <w:pPr>
              <w:spacing w:line="240" w:lineRule="exact"/>
              <w:jc w:val="center"/>
              <w:rPr>
                <w:sz w:val="15"/>
                <w:szCs w:val="15"/>
              </w:rPr>
            </w:pPr>
            <w:r>
              <w:rPr>
                <w:sz w:val="15"/>
                <w:szCs w:val="15"/>
              </w:rPr>
              <w:t>95.7</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1" w:hRule="atLeast"/>
          <w:jc w:val="center"/>
        </w:trPr>
        <w:tc>
          <w:tcPr>
            <w:tcW w:w="1565" w:type="dxa"/>
            <w:noWrap w:val="0"/>
            <w:vAlign w:val="center"/>
          </w:tcPr>
          <w:p>
            <w:pPr>
              <w:spacing w:line="240" w:lineRule="exact"/>
              <w:jc w:val="center"/>
              <w:rPr>
                <w:sz w:val="15"/>
                <w:szCs w:val="15"/>
              </w:rPr>
            </w:pPr>
            <w:r>
              <w:rPr>
                <w:sz w:val="15"/>
                <w:szCs w:val="15"/>
              </w:rPr>
              <w:t>RSD%</w:t>
            </w:r>
          </w:p>
        </w:tc>
        <w:tc>
          <w:tcPr>
            <w:tcW w:w="695" w:type="dxa"/>
            <w:noWrap w:val="0"/>
            <w:vAlign w:val="center"/>
          </w:tcPr>
          <w:p>
            <w:pPr>
              <w:spacing w:line="240" w:lineRule="exact"/>
              <w:jc w:val="center"/>
              <w:rPr>
                <w:sz w:val="15"/>
                <w:szCs w:val="15"/>
              </w:rPr>
            </w:pPr>
            <w:r>
              <w:rPr>
                <w:sz w:val="15"/>
                <w:szCs w:val="15"/>
              </w:rPr>
              <w:t>2.13</w:t>
            </w:r>
          </w:p>
        </w:tc>
        <w:tc>
          <w:tcPr>
            <w:tcW w:w="695" w:type="dxa"/>
            <w:noWrap w:val="0"/>
            <w:vAlign w:val="center"/>
          </w:tcPr>
          <w:p>
            <w:pPr>
              <w:spacing w:line="240" w:lineRule="exact"/>
              <w:jc w:val="center"/>
              <w:rPr>
                <w:sz w:val="15"/>
                <w:szCs w:val="15"/>
              </w:rPr>
            </w:pPr>
            <w:r>
              <w:rPr>
                <w:sz w:val="15"/>
                <w:szCs w:val="15"/>
              </w:rPr>
              <w:t>2.53</w:t>
            </w:r>
          </w:p>
        </w:tc>
        <w:tc>
          <w:tcPr>
            <w:tcW w:w="695" w:type="dxa"/>
            <w:noWrap w:val="0"/>
            <w:vAlign w:val="center"/>
          </w:tcPr>
          <w:p>
            <w:pPr>
              <w:spacing w:line="240" w:lineRule="exact"/>
              <w:jc w:val="center"/>
              <w:rPr>
                <w:rFonts w:hint="eastAsia"/>
                <w:sz w:val="15"/>
                <w:szCs w:val="15"/>
              </w:rPr>
            </w:pPr>
            <w:r>
              <w:rPr>
                <w:sz w:val="15"/>
                <w:szCs w:val="15"/>
              </w:rPr>
              <w:t>1.7</w:t>
            </w:r>
            <w:r>
              <w:rPr>
                <w:rFonts w:hint="eastAsia"/>
                <w:sz w:val="15"/>
                <w:szCs w:val="15"/>
              </w:rPr>
              <w:t>0</w:t>
            </w:r>
          </w:p>
        </w:tc>
        <w:tc>
          <w:tcPr>
            <w:tcW w:w="695" w:type="dxa"/>
            <w:noWrap w:val="0"/>
            <w:vAlign w:val="center"/>
          </w:tcPr>
          <w:p>
            <w:pPr>
              <w:spacing w:line="240" w:lineRule="exact"/>
              <w:jc w:val="center"/>
              <w:rPr>
                <w:rFonts w:hint="eastAsia"/>
                <w:sz w:val="15"/>
                <w:szCs w:val="15"/>
              </w:rPr>
            </w:pPr>
            <w:r>
              <w:rPr>
                <w:sz w:val="15"/>
                <w:szCs w:val="15"/>
              </w:rPr>
              <w:t>2.1</w:t>
            </w:r>
            <w:r>
              <w:rPr>
                <w:rFonts w:hint="eastAsia"/>
                <w:sz w:val="15"/>
                <w:szCs w:val="15"/>
              </w:rPr>
              <w:t>0</w:t>
            </w:r>
          </w:p>
        </w:tc>
        <w:tc>
          <w:tcPr>
            <w:tcW w:w="645" w:type="dxa"/>
            <w:noWrap w:val="0"/>
            <w:vAlign w:val="center"/>
          </w:tcPr>
          <w:p>
            <w:pPr>
              <w:spacing w:line="240" w:lineRule="exact"/>
              <w:jc w:val="center"/>
              <w:rPr>
                <w:sz w:val="15"/>
                <w:szCs w:val="15"/>
              </w:rPr>
            </w:pPr>
            <w:r>
              <w:rPr>
                <w:sz w:val="15"/>
                <w:szCs w:val="15"/>
              </w:rPr>
              <w:t>2.92</w:t>
            </w:r>
          </w:p>
        </w:tc>
        <w:tc>
          <w:tcPr>
            <w:tcW w:w="603" w:type="dxa"/>
            <w:noWrap w:val="0"/>
            <w:vAlign w:val="center"/>
          </w:tcPr>
          <w:p>
            <w:pPr>
              <w:spacing w:line="240" w:lineRule="exact"/>
              <w:jc w:val="center"/>
              <w:rPr>
                <w:sz w:val="15"/>
                <w:szCs w:val="15"/>
              </w:rPr>
            </w:pPr>
            <w:r>
              <w:rPr>
                <w:sz w:val="15"/>
                <w:szCs w:val="15"/>
              </w:rPr>
              <w:t>2.71</w:t>
            </w:r>
          </w:p>
        </w:tc>
        <w:tc>
          <w:tcPr>
            <w:tcW w:w="794" w:type="dxa"/>
            <w:noWrap w:val="0"/>
            <w:vAlign w:val="center"/>
          </w:tcPr>
          <w:p>
            <w:pPr>
              <w:spacing w:line="240" w:lineRule="exact"/>
              <w:jc w:val="center"/>
              <w:rPr>
                <w:sz w:val="15"/>
                <w:szCs w:val="15"/>
              </w:rPr>
            </w:pPr>
            <w:r>
              <w:rPr>
                <w:sz w:val="15"/>
                <w:szCs w:val="15"/>
              </w:rPr>
              <w:t>1.25</w:t>
            </w:r>
          </w:p>
        </w:tc>
        <w:tc>
          <w:tcPr>
            <w:tcW w:w="648" w:type="dxa"/>
            <w:noWrap w:val="0"/>
            <w:vAlign w:val="center"/>
          </w:tcPr>
          <w:p>
            <w:pPr>
              <w:spacing w:line="240" w:lineRule="exact"/>
              <w:jc w:val="center"/>
              <w:rPr>
                <w:sz w:val="15"/>
                <w:szCs w:val="15"/>
              </w:rPr>
            </w:pPr>
            <w:r>
              <w:rPr>
                <w:sz w:val="15"/>
                <w:szCs w:val="15"/>
              </w:rPr>
              <w:t>3.44</w:t>
            </w:r>
          </w:p>
        </w:tc>
        <w:tc>
          <w:tcPr>
            <w:tcW w:w="695" w:type="dxa"/>
            <w:noWrap w:val="0"/>
            <w:vAlign w:val="center"/>
          </w:tcPr>
          <w:p>
            <w:pPr>
              <w:spacing w:line="240" w:lineRule="exact"/>
              <w:jc w:val="center"/>
              <w:rPr>
                <w:sz w:val="15"/>
                <w:szCs w:val="15"/>
              </w:rPr>
            </w:pPr>
            <w:r>
              <w:rPr>
                <w:sz w:val="15"/>
                <w:szCs w:val="15"/>
              </w:rPr>
              <w:t>2.58</w:t>
            </w:r>
          </w:p>
        </w:tc>
        <w:tc>
          <w:tcPr>
            <w:tcW w:w="695" w:type="dxa"/>
            <w:noWrap w:val="0"/>
            <w:vAlign w:val="center"/>
          </w:tcPr>
          <w:p>
            <w:pPr>
              <w:spacing w:line="240" w:lineRule="exact"/>
              <w:jc w:val="center"/>
              <w:rPr>
                <w:sz w:val="15"/>
                <w:szCs w:val="15"/>
              </w:rPr>
            </w:pPr>
            <w:r>
              <w:rPr>
                <w:sz w:val="15"/>
                <w:szCs w:val="15"/>
              </w:rPr>
              <w:t>2.81</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1" w:hRule="atLeast"/>
          <w:jc w:val="center"/>
        </w:trPr>
        <w:tc>
          <w:tcPr>
            <w:tcW w:w="1565" w:type="dxa"/>
            <w:noWrap w:val="0"/>
            <w:vAlign w:val="center"/>
          </w:tcPr>
          <w:p>
            <w:pPr>
              <w:spacing w:line="240" w:lineRule="exact"/>
              <w:jc w:val="center"/>
              <w:rPr>
                <w:sz w:val="15"/>
                <w:szCs w:val="15"/>
              </w:rPr>
            </w:pPr>
            <w:r>
              <w:rPr>
                <w:sz w:val="15"/>
                <w:szCs w:val="15"/>
              </w:rPr>
              <w:t>40%乐果乳油</w:t>
            </w:r>
          </w:p>
        </w:tc>
        <w:tc>
          <w:tcPr>
            <w:tcW w:w="695" w:type="dxa"/>
            <w:noWrap w:val="0"/>
            <w:vAlign w:val="center"/>
          </w:tcPr>
          <w:p>
            <w:pPr>
              <w:spacing w:line="240" w:lineRule="exact"/>
              <w:jc w:val="center"/>
              <w:rPr>
                <w:sz w:val="15"/>
                <w:szCs w:val="15"/>
              </w:rPr>
            </w:pPr>
            <w:r>
              <w:rPr>
                <w:sz w:val="15"/>
                <w:szCs w:val="15"/>
              </w:rPr>
              <w:t>98.7</w:t>
            </w:r>
          </w:p>
        </w:tc>
        <w:tc>
          <w:tcPr>
            <w:tcW w:w="695" w:type="dxa"/>
            <w:noWrap w:val="0"/>
            <w:vAlign w:val="center"/>
          </w:tcPr>
          <w:p>
            <w:pPr>
              <w:spacing w:line="240" w:lineRule="exact"/>
              <w:jc w:val="center"/>
              <w:rPr>
                <w:sz w:val="15"/>
                <w:szCs w:val="15"/>
              </w:rPr>
            </w:pPr>
            <w:r>
              <w:rPr>
                <w:sz w:val="15"/>
                <w:szCs w:val="15"/>
              </w:rPr>
              <w:t>97.9</w:t>
            </w:r>
          </w:p>
        </w:tc>
        <w:tc>
          <w:tcPr>
            <w:tcW w:w="695" w:type="dxa"/>
            <w:noWrap w:val="0"/>
            <w:vAlign w:val="center"/>
          </w:tcPr>
          <w:p>
            <w:pPr>
              <w:spacing w:line="240" w:lineRule="exact"/>
              <w:jc w:val="center"/>
              <w:rPr>
                <w:sz w:val="15"/>
                <w:szCs w:val="15"/>
              </w:rPr>
            </w:pPr>
            <w:r>
              <w:rPr>
                <w:sz w:val="15"/>
                <w:szCs w:val="15"/>
              </w:rPr>
              <w:t>97.9</w:t>
            </w:r>
          </w:p>
        </w:tc>
        <w:tc>
          <w:tcPr>
            <w:tcW w:w="695" w:type="dxa"/>
            <w:noWrap w:val="0"/>
            <w:vAlign w:val="center"/>
          </w:tcPr>
          <w:p>
            <w:pPr>
              <w:spacing w:line="240" w:lineRule="exact"/>
              <w:jc w:val="center"/>
              <w:rPr>
                <w:sz w:val="15"/>
                <w:szCs w:val="15"/>
              </w:rPr>
            </w:pPr>
            <w:r>
              <w:rPr>
                <w:sz w:val="15"/>
                <w:szCs w:val="15"/>
              </w:rPr>
              <w:t>97.1</w:t>
            </w:r>
          </w:p>
        </w:tc>
        <w:tc>
          <w:tcPr>
            <w:tcW w:w="645" w:type="dxa"/>
            <w:noWrap w:val="0"/>
            <w:vAlign w:val="center"/>
          </w:tcPr>
          <w:p>
            <w:pPr>
              <w:spacing w:line="240" w:lineRule="exact"/>
              <w:jc w:val="center"/>
              <w:rPr>
                <w:sz w:val="15"/>
                <w:szCs w:val="15"/>
              </w:rPr>
            </w:pPr>
            <w:r>
              <w:rPr>
                <w:sz w:val="15"/>
                <w:szCs w:val="15"/>
              </w:rPr>
              <w:t>94.1</w:t>
            </w:r>
          </w:p>
        </w:tc>
        <w:tc>
          <w:tcPr>
            <w:tcW w:w="603" w:type="dxa"/>
            <w:noWrap w:val="0"/>
            <w:vAlign w:val="center"/>
          </w:tcPr>
          <w:p>
            <w:pPr>
              <w:spacing w:line="240" w:lineRule="exact"/>
              <w:jc w:val="center"/>
              <w:rPr>
                <w:sz w:val="15"/>
                <w:szCs w:val="15"/>
              </w:rPr>
            </w:pPr>
            <w:r>
              <w:rPr>
                <w:sz w:val="15"/>
                <w:szCs w:val="15"/>
              </w:rPr>
              <w:t>99.5</w:t>
            </w:r>
          </w:p>
        </w:tc>
        <w:tc>
          <w:tcPr>
            <w:tcW w:w="794" w:type="dxa"/>
            <w:noWrap w:val="0"/>
            <w:vAlign w:val="center"/>
          </w:tcPr>
          <w:p>
            <w:pPr>
              <w:spacing w:line="240" w:lineRule="exact"/>
              <w:jc w:val="center"/>
              <w:rPr>
                <w:sz w:val="15"/>
                <w:szCs w:val="15"/>
              </w:rPr>
            </w:pPr>
            <w:r>
              <w:rPr>
                <w:sz w:val="15"/>
                <w:szCs w:val="15"/>
              </w:rPr>
              <w:t>97.2</w:t>
            </w:r>
          </w:p>
        </w:tc>
        <w:tc>
          <w:tcPr>
            <w:tcW w:w="648" w:type="dxa"/>
            <w:noWrap w:val="0"/>
            <w:vAlign w:val="center"/>
          </w:tcPr>
          <w:p>
            <w:pPr>
              <w:spacing w:line="240" w:lineRule="exact"/>
              <w:jc w:val="center"/>
              <w:rPr>
                <w:sz w:val="15"/>
                <w:szCs w:val="15"/>
              </w:rPr>
            </w:pPr>
            <w:r>
              <w:rPr>
                <w:sz w:val="15"/>
                <w:szCs w:val="15"/>
              </w:rPr>
              <w:t>98.6</w:t>
            </w:r>
          </w:p>
        </w:tc>
        <w:tc>
          <w:tcPr>
            <w:tcW w:w="695" w:type="dxa"/>
            <w:noWrap w:val="0"/>
            <w:vAlign w:val="center"/>
          </w:tcPr>
          <w:p>
            <w:pPr>
              <w:spacing w:line="240" w:lineRule="exact"/>
              <w:jc w:val="center"/>
              <w:rPr>
                <w:sz w:val="15"/>
                <w:szCs w:val="15"/>
              </w:rPr>
            </w:pPr>
            <w:r>
              <w:rPr>
                <w:sz w:val="15"/>
                <w:szCs w:val="15"/>
              </w:rPr>
              <w:t>96.3</w:t>
            </w:r>
          </w:p>
        </w:tc>
        <w:tc>
          <w:tcPr>
            <w:tcW w:w="695" w:type="dxa"/>
            <w:noWrap w:val="0"/>
            <w:vAlign w:val="center"/>
          </w:tcPr>
          <w:p>
            <w:pPr>
              <w:spacing w:line="240" w:lineRule="exact"/>
              <w:jc w:val="center"/>
              <w:rPr>
                <w:sz w:val="15"/>
                <w:szCs w:val="15"/>
              </w:rPr>
            </w:pPr>
            <w:r>
              <w:rPr>
                <w:sz w:val="15"/>
                <w:szCs w:val="15"/>
              </w:rPr>
              <w:t>95.6</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1" w:hRule="atLeast"/>
          <w:jc w:val="center"/>
        </w:trPr>
        <w:tc>
          <w:tcPr>
            <w:tcW w:w="1565" w:type="dxa"/>
            <w:noWrap w:val="0"/>
            <w:vAlign w:val="center"/>
          </w:tcPr>
          <w:p>
            <w:pPr>
              <w:spacing w:line="240" w:lineRule="exact"/>
              <w:jc w:val="center"/>
              <w:rPr>
                <w:sz w:val="15"/>
                <w:szCs w:val="15"/>
              </w:rPr>
            </w:pPr>
            <w:r>
              <w:rPr>
                <w:sz w:val="15"/>
                <w:szCs w:val="15"/>
              </w:rPr>
              <w:t>RSD%</w:t>
            </w:r>
          </w:p>
        </w:tc>
        <w:tc>
          <w:tcPr>
            <w:tcW w:w="695" w:type="dxa"/>
            <w:noWrap w:val="0"/>
            <w:vAlign w:val="center"/>
          </w:tcPr>
          <w:p>
            <w:pPr>
              <w:spacing w:line="240" w:lineRule="exact"/>
              <w:jc w:val="center"/>
              <w:rPr>
                <w:sz w:val="15"/>
                <w:szCs w:val="15"/>
              </w:rPr>
            </w:pPr>
            <w:r>
              <w:rPr>
                <w:sz w:val="15"/>
                <w:szCs w:val="15"/>
              </w:rPr>
              <w:t>1.27</w:t>
            </w:r>
          </w:p>
        </w:tc>
        <w:tc>
          <w:tcPr>
            <w:tcW w:w="695" w:type="dxa"/>
            <w:noWrap w:val="0"/>
            <w:vAlign w:val="center"/>
          </w:tcPr>
          <w:p>
            <w:pPr>
              <w:spacing w:line="240" w:lineRule="exact"/>
              <w:jc w:val="center"/>
              <w:rPr>
                <w:sz w:val="15"/>
                <w:szCs w:val="15"/>
              </w:rPr>
            </w:pPr>
            <w:r>
              <w:rPr>
                <w:sz w:val="15"/>
                <w:szCs w:val="15"/>
              </w:rPr>
              <w:t>3.13</w:t>
            </w:r>
          </w:p>
        </w:tc>
        <w:tc>
          <w:tcPr>
            <w:tcW w:w="695" w:type="dxa"/>
            <w:noWrap w:val="0"/>
            <w:vAlign w:val="center"/>
          </w:tcPr>
          <w:p>
            <w:pPr>
              <w:spacing w:line="240" w:lineRule="exact"/>
              <w:jc w:val="center"/>
              <w:rPr>
                <w:sz w:val="15"/>
                <w:szCs w:val="15"/>
              </w:rPr>
            </w:pPr>
            <w:r>
              <w:rPr>
                <w:sz w:val="15"/>
                <w:szCs w:val="15"/>
              </w:rPr>
              <w:t>2.64</w:t>
            </w:r>
          </w:p>
        </w:tc>
        <w:tc>
          <w:tcPr>
            <w:tcW w:w="695" w:type="dxa"/>
            <w:noWrap w:val="0"/>
            <w:vAlign w:val="center"/>
          </w:tcPr>
          <w:p>
            <w:pPr>
              <w:spacing w:line="240" w:lineRule="exact"/>
              <w:jc w:val="center"/>
              <w:rPr>
                <w:sz w:val="15"/>
                <w:szCs w:val="15"/>
              </w:rPr>
            </w:pPr>
            <w:r>
              <w:rPr>
                <w:sz w:val="15"/>
                <w:szCs w:val="15"/>
              </w:rPr>
              <w:t>3.67</w:t>
            </w:r>
          </w:p>
        </w:tc>
        <w:tc>
          <w:tcPr>
            <w:tcW w:w="645" w:type="dxa"/>
            <w:noWrap w:val="0"/>
            <w:vAlign w:val="center"/>
          </w:tcPr>
          <w:p>
            <w:pPr>
              <w:spacing w:line="240" w:lineRule="exact"/>
              <w:jc w:val="center"/>
              <w:rPr>
                <w:sz w:val="15"/>
                <w:szCs w:val="15"/>
              </w:rPr>
            </w:pPr>
            <w:r>
              <w:rPr>
                <w:sz w:val="15"/>
                <w:szCs w:val="15"/>
              </w:rPr>
              <w:t>2.87</w:t>
            </w:r>
          </w:p>
        </w:tc>
        <w:tc>
          <w:tcPr>
            <w:tcW w:w="603" w:type="dxa"/>
            <w:noWrap w:val="0"/>
            <w:vAlign w:val="center"/>
          </w:tcPr>
          <w:p>
            <w:pPr>
              <w:spacing w:line="240" w:lineRule="exact"/>
              <w:jc w:val="center"/>
              <w:rPr>
                <w:sz w:val="15"/>
                <w:szCs w:val="15"/>
              </w:rPr>
            </w:pPr>
            <w:r>
              <w:rPr>
                <w:sz w:val="15"/>
                <w:szCs w:val="15"/>
              </w:rPr>
              <w:t>2.08</w:t>
            </w:r>
          </w:p>
        </w:tc>
        <w:tc>
          <w:tcPr>
            <w:tcW w:w="794" w:type="dxa"/>
            <w:noWrap w:val="0"/>
            <w:vAlign w:val="center"/>
          </w:tcPr>
          <w:p>
            <w:pPr>
              <w:spacing w:line="240" w:lineRule="exact"/>
              <w:jc w:val="center"/>
              <w:rPr>
                <w:sz w:val="15"/>
                <w:szCs w:val="15"/>
              </w:rPr>
            </w:pPr>
            <w:r>
              <w:rPr>
                <w:sz w:val="15"/>
                <w:szCs w:val="15"/>
              </w:rPr>
              <w:t>3.75</w:t>
            </w:r>
          </w:p>
        </w:tc>
        <w:tc>
          <w:tcPr>
            <w:tcW w:w="648" w:type="dxa"/>
            <w:noWrap w:val="0"/>
            <w:vAlign w:val="center"/>
          </w:tcPr>
          <w:p>
            <w:pPr>
              <w:spacing w:line="240" w:lineRule="exact"/>
              <w:jc w:val="center"/>
              <w:rPr>
                <w:sz w:val="15"/>
                <w:szCs w:val="15"/>
              </w:rPr>
            </w:pPr>
            <w:r>
              <w:rPr>
                <w:sz w:val="15"/>
                <w:szCs w:val="15"/>
              </w:rPr>
              <w:t>3.21</w:t>
            </w:r>
          </w:p>
        </w:tc>
        <w:tc>
          <w:tcPr>
            <w:tcW w:w="695" w:type="dxa"/>
            <w:noWrap w:val="0"/>
            <w:vAlign w:val="center"/>
          </w:tcPr>
          <w:p>
            <w:pPr>
              <w:spacing w:line="240" w:lineRule="exact"/>
              <w:jc w:val="center"/>
              <w:rPr>
                <w:sz w:val="15"/>
                <w:szCs w:val="15"/>
              </w:rPr>
            </w:pPr>
            <w:r>
              <w:rPr>
                <w:sz w:val="15"/>
                <w:szCs w:val="15"/>
              </w:rPr>
              <w:t>3.36</w:t>
            </w:r>
          </w:p>
        </w:tc>
        <w:tc>
          <w:tcPr>
            <w:tcW w:w="695" w:type="dxa"/>
            <w:noWrap w:val="0"/>
            <w:vAlign w:val="center"/>
          </w:tcPr>
          <w:p>
            <w:pPr>
              <w:spacing w:line="240" w:lineRule="exact"/>
              <w:jc w:val="center"/>
              <w:rPr>
                <w:sz w:val="15"/>
                <w:szCs w:val="15"/>
              </w:rPr>
            </w:pPr>
            <w:r>
              <w:rPr>
                <w:sz w:val="15"/>
                <w:szCs w:val="15"/>
              </w:rPr>
              <w:t>3.68</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1" w:hRule="atLeast"/>
          <w:jc w:val="center"/>
        </w:trPr>
        <w:tc>
          <w:tcPr>
            <w:tcW w:w="1565" w:type="dxa"/>
            <w:noWrap w:val="0"/>
            <w:vAlign w:val="center"/>
          </w:tcPr>
          <w:p>
            <w:pPr>
              <w:spacing w:line="240" w:lineRule="exact"/>
              <w:jc w:val="center"/>
              <w:rPr>
                <w:sz w:val="15"/>
                <w:szCs w:val="15"/>
              </w:rPr>
            </w:pPr>
            <w:r>
              <w:rPr>
                <w:sz w:val="15"/>
                <w:szCs w:val="15"/>
              </w:rPr>
              <w:t>20%辛硫磷乳油</w:t>
            </w:r>
          </w:p>
        </w:tc>
        <w:tc>
          <w:tcPr>
            <w:tcW w:w="695" w:type="dxa"/>
            <w:noWrap w:val="0"/>
            <w:vAlign w:val="center"/>
          </w:tcPr>
          <w:p>
            <w:pPr>
              <w:spacing w:line="240" w:lineRule="exact"/>
              <w:jc w:val="center"/>
              <w:rPr>
                <w:sz w:val="15"/>
                <w:szCs w:val="15"/>
              </w:rPr>
            </w:pPr>
            <w:r>
              <w:rPr>
                <w:sz w:val="15"/>
                <w:szCs w:val="15"/>
              </w:rPr>
              <w:t>96.2</w:t>
            </w:r>
          </w:p>
        </w:tc>
        <w:tc>
          <w:tcPr>
            <w:tcW w:w="695" w:type="dxa"/>
            <w:noWrap w:val="0"/>
            <w:vAlign w:val="center"/>
          </w:tcPr>
          <w:p>
            <w:pPr>
              <w:spacing w:line="240" w:lineRule="exact"/>
              <w:jc w:val="center"/>
              <w:rPr>
                <w:sz w:val="15"/>
                <w:szCs w:val="15"/>
              </w:rPr>
            </w:pPr>
            <w:r>
              <w:rPr>
                <w:sz w:val="15"/>
                <w:szCs w:val="15"/>
              </w:rPr>
              <w:t>100.9</w:t>
            </w:r>
          </w:p>
        </w:tc>
        <w:tc>
          <w:tcPr>
            <w:tcW w:w="695" w:type="dxa"/>
            <w:noWrap w:val="0"/>
            <w:vAlign w:val="center"/>
          </w:tcPr>
          <w:p>
            <w:pPr>
              <w:spacing w:line="240" w:lineRule="exact"/>
              <w:jc w:val="center"/>
              <w:rPr>
                <w:sz w:val="15"/>
                <w:szCs w:val="15"/>
              </w:rPr>
            </w:pPr>
            <w:r>
              <w:rPr>
                <w:sz w:val="15"/>
                <w:szCs w:val="15"/>
              </w:rPr>
              <w:t>93.8</w:t>
            </w:r>
          </w:p>
        </w:tc>
        <w:tc>
          <w:tcPr>
            <w:tcW w:w="695" w:type="dxa"/>
            <w:noWrap w:val="0"/>
            <w:vAlign w:val="center"/>
          </w:tcPr>
          <w:p>
            <w:pPr>
              <w:spacing w:line="240" w:lineRule="exact"/>
              <w:jc w:val="center"/>
              <w:rPr>
                <w:sz w:val="15"/>
                <w:szCs w:val="15"/>
              </w:rPr>
            </w:pPr>
            <w:r>
              <w:rPr>
                <w:sz w:val="15"/>
                <w:szCs w:val="15"/>
              </w:rPr>
              <w:t>91.4</w:t>
            </w:r>
          </w:p>
        </w:tc>
        <w:tc>
          <w:tcPr>
            <w:tcW w:w="645" w:type="dxa"/>
            <w:noWrap w:val="0"/>
            <w:vAlign w:val="center"/>
          </w:tcPr>
          <w:p>
            <w:pPr>
              <w:spacing w:line="240" w:lineRule="exact"/>
              <w:jc w:val="center"/>
              <w:rPr>
                <w:sz w:val="15"/>
                <w:szCs w:val="15"/>
              </w:rPr>
            </w:pPr>
            <w:r>
              <w:rPr>
                <w:sz w:val="15"/>
                <w:szCs w:val="15"/>
              </w:rPr>
              <w:t>91.4</w:t>
            </w:r>
          </w:p>
        </w:tc>
        <w:tc>
          <w:tcPr>
            <w:tcW w:w="603" w:type="dxa"/>
            <w:noWrap w:val="0"/>
            <w:vAlign w:val="center"/>
          </w:tcPr>
          <w:p>
            <w:pPr>
              <w:spacing w:line="240" w:lineRule="exact"/>
              <w:jc w:val="center"/>
              <w:rPr>
                <w:sz w:val="15"/>
                <w:szCs w:val="15"/>
              </w:rPr>
            </w:pPr>
            <w:r>
              <w:rPr>
                <w:sz w:val="15"/>
                <w:szCs w:val="15"/>
              </w:rPr>
              <w:t>96.2</w:t>
            </w:r>
          </w:p>
        </w:tc>
        <w:tc>
          <w:tcPr>
            <w:tcW w:w="794" w:type="dxa"/>
            <w:noWrap w:val="0"/>
            <w:vAlign w:val="center"/>
          </w:tcPr>
          <w:p>
            <w:pPr>
              <w:spacing w:line="240" w:lineRule="exact"/>
              <w:jc w:val="center"/>
              <w:rPr>
                <w:sz w:val="15"/>
                <w:szCs w:val="15"/>
              </w:rPr>
            </w:pPr>
            <w:r>
              <w:rPr>
                <w:sz w:val="15"/>
                <w:szCs w:val="15"/>
              </w:rPr>
              <w:t>97.3</w:t>
            </w:r>
          </w:p>
        </w:tc>
        <w:tc>
          <w:tcPr>
            <w:tcW w:w="648" w:type="dxa"/>
            <w:noWrap w:val="0"/>
            <w:vAlign w:val="center"/>
          </w:tcPr>
          <w:p>
            <w:pPr>
              <w:spacing w:line="240" w:lineRule="exact"/>
              <w:jc w:val="center"/>
              <w:rPr>
                <w:sz w:val="15"/>
                <w:szCs w:val="15"/>
              </w:rPr>
            </w:pPr>
            <w:r>
              <w:rPr>
                <w:sz w:val="15"/>
                <w:szCs w:val="15"/>
              </w:rPr>
              <w:t>96.4</w:t>
            </w:r>
          </w:p>
        </w:tc>
        <w:tc>
          <w:tcPr>
            <w:tcW w:w="695" w:type="dxa"/>
            <w:noWrap w:val="0"/>
            <w:vAlign w:val="center"/>
          </w:tcPr>
          <w:p>
            <w:pPr>
              <w:spacing w:line="240" w:lineRule="exact"/>
              <w:jc w:val="center"/>
              <w:rPr>
                <w:sz w:val="15"/>
                <w:szCs w:val="15"/>
              </w:rPr>
            </w:pPr>
            <w:r>
              <w:rPr>
                <w:sz w:val="15"/>
                <w:szCs w:val="15"/>
              </w:rPr>
              <w:t>94.3</w:t>
            </w:r>
          </w:p>
        </w:tc>
        <w:tc>
          <w:tcPr>
            <w:tcW w:w="695" w:type="dxa"/>
            <w:noWrap w:val="0"/>
            <w:vAlign w:val="center"/>
          </w:tcPr>
          <w:p>
            <w:pPr>
              <w:spacing w:line="240" w:lineRule="exact"/>
              <w:jc w:val="center"/>
              <w:rPr>
                <w:sz w:val="15"/>
                <w:szCs w:val="15"/>
              </w:rPr>
            </w:pPr>
            <w:r>
              <w:rPr>
                <w:sz w:val="15"/>
                <w:szCs w:val="15"/>
              </w:rPr>
              <w:t>105.6</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1" w:hRule="atLeast"/>
          <w:jc w:val="center"/>
        </w:trPr>
        <w:tc>
          <w:tcPr>
            <w:tcW w:w="1565" w:type="dxa"/>
            <w:noWrap w:val="0"/>
            <w:vAlign w:val="center"/>
          </w:tcPr>
          <w:p>
            <w:pPr>
              <w:spacing w:line="240" w:lineRule="exact"/>
              <w:jc w:val="center"/>
              <w:rPr>
                <w:sz w:val="15"/>
                <w:szCs w:val="15"/>
              </w:rPr>
            </w:pPr>
            <w:r>
              <w:rPr>
                <w:sz w:val="15"/>
                <w:szCs w:val="15"/>
              </w:rPr>
              <w:t>RSD%</w:t>
            </w:r>
          </w:p>
        </w:tc>
        <w:tc>
          <w:tcPr>
            <w:tcW w:w="695" w:type="dxa"/>
            <w:noWrap w:val="0"/>
            <w:vAlign w:val="center"/>
          </w:tcPr>
          <w:p>
            <w:pPr>
              <w:spacing w:line="240" w:lineRule="exact"/>
              <w:jc w:val="center"/>
              <w:rPr>
                <w:sz w:val="15"/>
                <w:szCs w:val="15"/>
              </w:rPr>
            </w:pPr>
            <w:r>
              <w:rPr>
                <w:sz w:val="15"/>
                <w:szCs w:val="15"/>
              </w:rPr>
              <w:t>3.72</w:t>
            </w:r>
          </w:p>
        </w:tc>
        <w:tc>
          <w:tcPr>
            <w:tcW w:w="695" w:type="dxa"/>
            <w:noWrap w:val="0"/>
            <w:vAlign w:val="center"/>
          </w:tcPr>
          <w:p>
            <w:pPr>
              <w:spacing w:line="240" w:lineRule="exact"/>
              <w:jc w:val="center"/>
              <w:rPr>
                <w:sz w:val="15"/>
                <w:szCs w:val="15"/>
              </w:rPr>
            </w:pPr>
            <w:r>
              <w:rPr>
                <w:sz w:val="15"/>
                <w:szCs w:val="15"/>
              </w:rPr>
              <w:t>2.88</w:t>
            </w:r>
          </w:p>
        </w:tc>
        <w:tc>
          <w:tcPr>
            <w:tcW w:w="695" w:type="dxa"/>
            <w:noWrap w:val="0"/>
            <w:vAlign w:val="center"/>
          </w:tcPr>
          <w:p>
            <w:pPr>
              <w:spacing w:line="240" w:lineRule="exact"/>
              <w:jc w:val="center"/>
              <w:rPr>
                <w:sz w:val="15"/>
                <w:szCs w:val="15"/>
              </w:rPr>
            </w:pPr>
            <w:r>
              <w:rPr>
                <w:sz w:val="15"/>
                <w:szCs w:val="15"/>
              </w:rPr>
              <w:t>2.22</w:t>
            </w:r>
          </w:p>
        </w:tc>
        <w:tc>
          <w:tcPr>
            <w:tcW w:w="695" w:type="dxa"/>
            <w:noWrap w:val="0"/>
            <w:vAlign w:val="center"/>
          </w:tcPr>
          <w:p>
            <w:pPr>
              <w:spacing w:line="240" w:lineRule="exact"/>
              <w:jc w:val="center"/>
              <w:rPr>
                <w:sz w:val="15"/>
                <w:szCs w:val="15"/>
              </w:rPr>
            </w:pPr>
            <w:r>
              <w:rPr>
                <w:sz w:val="15"/>
                <w:szCs w:val="15"/>
              </w:rPr>
              <w:t>3.58</w:t>
            </w:r>
          </w:p>
        </w:tc>
        <w:tc>
          <w:tcPr>
            <w:tcW w:w="645" w:type="dxa"/>
            <w:noWrap w:val="0"/>
            <w:vAlign w:val="center"/>
          </w:tcPr>
          <w:p>
            <w:pPr>
              <w:spacing w:line="240" w:lineRule="exact"/>
              <w:jc w:val="center"/>
              <w:rPr>
                <w:sz w:val="15"/>
                <w:szCs w:val="15"/>
              </w:rPr>
            </w:pPr>
            <w:r>
              <w:rPr>
                <w:sz w:val="15"/>
                <w:szCs w:val="15"/>
              </w:rPr>
              <w:t>3.43</w:t>
            </w:r>
          </w:p>
        </w:tc>
        <w:tc>
          <w:tcPr>
            <w:tcW w:w="603" w:type="dxa"/>
            <w:noWrap w:val="0"/>
            <w:vAlign w:val="center"/>
          </w:tcPr>
          <w:p>
            <w:pPr>
              <w:spacing w:line="240" w:lineRule="exact"/>
              <w:jc w:val="center"/>
              <w:rPr>
                <w:sz w:val="15"/>
                <w:szCs w:val="15"/>
              </w:rPr>
            </w:pPr>
            <w:r>
              <w:rPr>
                <w:sz w:val="15"/>
                <w:szCs w:val="15"/>
              </w:rPr>
              <w:t>1.33</w:t>
            </w:r>
          </w:p>
        </w:tc>
        <w:tc>
          <w:tcPr>
            <w:tcW w:w="794" w:type="dxa"/>
            <w:noWrap w:val="0"/>
            <w:vAlign w:val="center"/>
          </w:tcPr>
          <w:p>
            <w:pPr>
              <w:spacing w:line="240" w:lineRule="exact"/>
              <w:jc w:val="center"/>
              <w:rPr>
                <w:sz w:val="15"/>
                <w:szCs w:val="15"/>
              </w:rPr>
            </w:pPr>
            <w:r>
              <w:rPr>
                <w:sz w:val="15"/>
                <w:szCs w:val="15"/>
              </w:rPr>
              <w:t>3.59</w:t>
            </w:r>
          </w:p>
        </w:tc>
        <w:tc>
          <w:tcPr>
            <w:tcW w:w="648" w:type="dxa"/>
            <w:noWrap w:val="0"/>
            <w:vAlign w:val="center"/>
          </w:tcPr>
          <w:p>
            <w:pPr>
              <w:spacing w:line="240" w:lineRule="exact"/>
              <w:jc w:val="center"/>
              <w:rPr>
                <w:sz w:val="15"/>
                <w:szCs w:val="15"/>
              </w:rPr>
            </w:pPr>
            <w:r>
              <w:rPr>
                <w:sz w:val="15"/>
                <w:szCs w:val="15"/>
              </w:rPr>
              <w:t>1.58</w:t>
            </w:r>
          </w:p>
        </w:tc>
        <w:tc>
          <w:tcPr>
            <w:tcW w:w="695" w:type="dxa"/>
            <w:noWrap w:val="0"/>
            <w:vAlign w:val="center"/>
          </w:tcPr>
          <w:p>
            <w:pPr>
              <w:spacing w:line="240" w:lineRule="exact"/>
              <w:jc w:val="center"/>
              <w:rPr>
                <w:sz w:val="15"/>
                <w:szCs w:val="15"/>
              </w:rPr>
            </w:pPr>
            <w:r>
              <w:rPr>
                <w:sz w:val="15"/>
                <w:szCs w:val="15"/>
              </w:rPr>
              <w:t>3.55</w:t>
            </w:r>
          </w:p>
        </w:tc>
        <w:tc>
          <w:tcPr>
            <w:tcW w:w="695" w:type="dxa"/>
            <w:noWrap w:val="0"/>
            <w:vAlign w:val="center"/>
          </w:tcPr>
          <w:p>
            <w:pPr>
              <w:spacing w:line="240" w:lineRule="exact"/>
              <w:jc w:val="center"/>
              <w:rPr>
                <w:sz w:val="15"/>
                <w:szCs w:val="15"/>
              </w:rPr>
            </w:pPr>
            <w:r>
              <w:rPr>
                <w:sz w:val="15"/>
                <w:szCs w:val="15"/>
              </w:rPr>
              <w:t>2.23</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1" w:hRule="atLeast"/>
          <w:jc w:val="center"/>
        </w:trPr>
        <w:tc>
          <w:tcPr>
            <w:tcW w:w="1565" w:type="dxa"/>
            <w:noWrap w:val="0"/>
            <w:vAlign w:val="center"/>
          </w:tcPr>
          <w:p>
            <w:pPr>
              <w:spacing w:line="240" w:lineRule="exact"/>
              <w:jc w:val="center"/>
              <w:rPr>
                <w:sz w:val="15"/>
                <w:szCs w:val="15"/>
              </w:rPr>
            </w:pPr>
            <w:r>
              <w:rPr>
                <w:sz w:val="15"/>
                <w:szCs w:val="15"/>
              </w:rPr>
              <w:t>20%甲氰菊酯乳油</w:t>
            </w:r>
          </w:p>
        </w:tc>
        <w:tc>
          <w:tcPr>
            <w:tcW w:w="695" w:type="dxa"/>
            <w:noWrap w:val="0"/>
            <w:vAlign w:val="center"/>
          </w:tcPr>
          <w:p>
            <w:pPr>
              <w:spacing w:line="240" w:lineRule="exact"/>
              <w:jc w:val="center"/>
              <w:rPr>
                <w:sz w:val="15"/>
                <w:szCs w:val="15"/>
              </w:rPr>
            </w:pPr>
            <w:r>
              <w:rPr>
                <w:sz w:val="15"/>
                <w:szCs w:val="15"/>
              </w:rPr>
              <w:t>100.6</w:t>
            </w:r>
          </w:p>
        </w:tc>
        <w:tc>
          <w:tcPr>
            <w:tcW w:w="695" w:type="dxa"/>
            <w:noWrap w:val="0"/>
            <w:vAlign w:val="center"/>
          </w:tcPr>
          <w:p>
            <w:pPr>
              <w:spacing w:line="240" w:lineRule="exact"/>
              <w:jc w:val="center"/>
              <w:rPr>
                <w:sz w:val="15"/>
                <w:szCs w:val="15"/>
              </w:rPr>
            </w:pPr>
            <w:r>
              <w:rPr>
                <w:sz w:val="15"/>
                <w:szCs w:val="15"/>
              </w:rPr>
              <w:t>97.5</w:t>
            </w:r>
          </w:p>
        </w:tc>
        <w:tc>
          <w:tcPr>
            <w:tcW w:w="695" w:type="dxa"/>
            <w:noWrap w:val="0"/>
            <w:vAlign w:val="center"/>
          </w:tcPr>
          <w:p>
            <w:pPr>
              <w:spacing w:line="240" w:lineRule="exact"/>
              <w:jc w:val="center"/>
              <w:rPr>
                <w:sz w:val="15"/>
                <w:szCs w:val="15"/>
              </w:rPr>
            </w:pPr>
            <w:r>
              <w:rPr>
                <w:sz w:val="15"/>
                <w:szCs w:val="15"/>
              </w:rPr>
              <w:t>101.8</w:t>
            </w:r>
          </w:p>
        </w:tc>
        <w:tc>
          <w:tcPr>
            <w:tcW w:w="695" w:type="dxa"/>
            <w:noWrap w:val="0"/>
            <w:vAlign w:val="center"/>
          </w:tcPr>
          <w:p>
            <w:pPr>
              <w:spacing w:line="240" w:lineRule="exact"/>
              <w:jc w:val="center"/>
              <w:rPr>
                <w:sz w:val="15"/>
                <w:szCs w:val="15"/>
              </w:rPr>
            </w:pPr>
            <w:r>
              <w:rPr>
                <w:sz w:val="15"/>
                <w:szCs w:val="15"/>
              </w:rPr>
              <w:t>96.6</w:t>
            </w:r>
          </w:p>
        </w:tc>
        <w:tc>
          <w:tcPr>
            <w:tcW w:w="645" w:type="dxa"/>
            <w:noWrap w:val="0"/>
            <w:vAlign w:val="center"/>
          </w:tcPr>
          <w:p>
            <w:pPr>
              <w:spacing w:line="240" w:lineRule="exact"/>
              <w:jc w:val="center"/>
              <w:rPr>
                <w:sz w:val="15"/>
                <w:szCs w:val="15"/>
              </w:rPr>
            </w:pPr>
            <w:r>
              <w:rPr>
                <w:sz w:val="15"/>
                <w:szCs w:val="15"/>
              </w:rPr>
              <w:t>96.9</w:t>
            </w:r>
          </w:p>
        </w:tc>
        <w:tc>
          <w:tcPr>
            <w:tcW w:w="603" w:type="dxa"/>
            <w:noWrap w:val="0"/>
            <w:vAlign w:val="center"/>
          </w:tcPr>
          <w:p>
            <w:pPr>
              <w:spacing w:line="240" w:lineRule="exact"/>
              <w:jc w:val="center"/>
              <w:rPr>
                <w:sz w:val="15"/>
                <w:szCs w:val="15"/>
              </w:rPr>
            </w:pPr>
            <w:r>
              <w:rPr>
                <w:sz w:val="15"/>
                <w:szCs w:val="15"/>
              </w:rPr>
              <w:t>98.6</w:t>
            </w:r>
          </w:p>
        </w:tc>
        <w:tc>
          <w:tcPr>
            <w:tcW w:w="794" w:type="dxa"/>
            <w:noWrap w:val="0"/>
            <w:vAlign w:val="center"/>
          </w:tcPr>
          <w:p>
            <w:pPr>
              <w:spacing w:line="240" w:lineRule="exact"/>
              <w:jc w:val="center"/>
              <w:rPr>
                <w:sz w:val="15"/>
                <w:szCs w:val="15"/>
              </w:rPr>
            </w:pPr>
            <w:r>
              <w:rPr>
                <w:sz w:val="15"/>
                <w:szCs w:val="15"/>
              </w:rPr>
              <w:t>97.7</w:t>
            </w:r>
          </w:p>
        </w:tc>
        <w:tc>
          <w:tcPr>
            <w:tcW w:w="648" w:type="dxa"/>
            <w:noWrap w:val="0"/>
            <w:vAlign w:val="center"/>
          </w:tcPr>
          <w:p>
            <w:pPr>
              <w:spacing w:line="240" w:lineRule="exact"/>
              <w:jc w:val="center"/>
              <w:rPr>
                <w:sz w:val="15"/>
                <w:szCs w:val="15"/>
              </w:rPr>
            </w:pPr>
            <w:r>
              <w:rPr>
                <w:sz w:val="15"/>
                <w:szCs w:val="15"/>
              </w:rPr>
              <w:t>97.8</w:t>
            </w:r>
          </w:p>
        </w:tc>
        <w:tc>
          <w:tcPr>
            <w:tcW w:w="695" w:type="dxa"/>
            <w:noWrap w:val="0"/>
            <w:vAlign w:val="center"/>
          </w:tcPr>
          <w:p>
            <w:pPr>
              <w:spacing w:line="240" w:lineRule="exact"/>
              <w:jc w:val="center"/>
              <w:rPr>
                <w:sz w:val="15"/>
                <w:szCs w:val="15"/>
              </w:rPr>
            </w:pPr>
            <w:r>
              <w:rPr>
                <w:sz w:val="15"/>
                <w:szCs w:val="15"/>
              </w:rPr>
              <w:t>104.2</w:t>
            </w:r>
          </w:p>
        </w:tc>
        <w:tc>
          <w:tcPr>
            <w:tcW w:w="695" w:type="dxa"/>
            <w:noWrap w:val="0"/>
            <w:vAlign w:val="center"/>
          </w:tcPr>
          <w:p>
            <w:pPr>
              <w:spacing w:line="240" w:lineRule="exact"/>
              <w:jc w:val="center"/>
              <w:rPr>
                <w:sz w:val="15"/>
                <w:szCs w:val="15"/>
              </w:rPr>
            </w:pPr>
            <w:r>
              <w:rPr>
                <w:sz w:val="15"/>
                <w:szCs w:val="15"/>
              </w:rPr>
              <w:t>97.7</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1" w:hRule="atLeast"/>
          <w:jc w:val="center"/>
        </w:trPr>
        <w:tc>
          <w:tcPr>
            <w:tcW w:w="1565" w:type="dxa"/>
            <w:noWrap w:val="0"/>
            <w:vAlign w:val="center"/>
          </w:tcPr>
          <w:p>
            <w:pPr>
              <w:spacing w:line="240" w:lineRule="exact"/>
              <w:jc w:val="center"/>
              <w:rPr>
                <w:sz w:val="15"/>
                <w:szCs w:val="15"/>
              </w:rPr>
            </w:pPr>
            <w:r>
              <w:rPr>
                <w:sz w:val="15"/>
                <w:szCs w:val="15"/>
              </w:rPr>
              <w:t>RSD%</w:t>
            </w:r>
          </w:p>
        </w:tc>
        <w:tc>
          <w:tcPr>
            <w:tcW w:w="695" w:type="dxa"/>
            <w:noWrap w:val="0"/>
            <w:vAlign w:val="center"/>
          </w:tcPr>
          <w:p>
            <w:pPr>
              <w:spacing w:line="240" w:lineRule="exact"/>
              <w:jc w:val="center"/>
              <w:rPr>
                <w:sz w:val="15"/>
                <w:szCs w:val="15"/>
              </w:rPr>
            </w:pPr>
            <w:r>
              <w:rPr>
                <w:sz w:val="15"/>
                <w:szCs w:val="15"/>
              </w:rPr>
              <w:t>1.59</w:t>
            </w:r>
          </w:p>
        </w:tc>
        <w:tc>
          <w:tcPr>
            <w:tcW w:w="695" w:type="dxa"/>
            <w:noWrap w:val="0"/>
            <w:vAlign w:val="center"/>
          </w:tcPr>
          <w:p>
            <w:pPr>
              <w:spacing w:line="240" w:lineRule="exact"/>
              <w:jc w:val="center"/>
              <w:rPr>
                <w:sz w:val="15"/>
                <w:szCs w:val="15"/>
              </w:rPr>
            </w:pPr>
            <w:r>
              <w:rPr>
                <w:sz w:val="15"/>
                <w:szCs w:val="15"/>
              </w:rPr>
              <w:t>1.41</w:t>
            </w:r>
          </w:p>
        </w:tc>
        <w:tc>
          <w:tcPr>
            <w:tcW w:w="695" w:type="dxa"/>
            <w:noWrap w:val="0"/>
            <w:vAlign w:val="center"/>
          </w:tcPr>
          <w:p>
            <w:pPr>
              <w:spacing w:line="240" w:lineRule="exact"/>
              <w:jc w:val="center"/>
              <w:rPr>
                <w:sz w:val="15"/>
                <w:szCs w:val="15"/>
              </w:rPr>
            </w:pPr>
            <w:r>
              <w:rPr>
                <w:sz w:val="15"/>
                <w:szCs w:val="15"/>
              </w:rPr>
              <w:t>0.85</w:t>
            </w:r>
          </w:p>
        </w:tc>
        <w:tc>
          <w:tcPr>
            <w:tcW w:w="695" w:type="dxa"/>
            <w:noWrap w:val="0"/>
            <w:vAlign w:val="center"/>
          </w:tcPr>
          <w:p>
            <w:pPr>
              <w:spacing w:line="240" w:lineRule="exact"/>
              <w:jc w:val="center"/>
              <w:rPr>
                <w:sz w:val="15"/>
                <w:szCs w:val="15"/>
              </w:rPr>
            </w:pPr>
            <w:r>
              <w:rPr>
                <w:sz w:val="15"/>
                <w:szCs w:val="15"/>
              </w:rPr>
              <w:t>1.34</w:t>
            </w:r>
          </w:p>
        </w:tc>
        <w:tc>
          <w:tcPr>
            <w:tcW w:w="645" w:type="dxa"/>
            <w:noWrap w:val="0"/>
            <w:vAlign w:val="center"/>
          </w:tcPr>
          <w:p>
            <w:pPr>
              <w:spacing w:line="240" w:lineRule="exact"/>
              <w:jc w:val="center"/>
              <w:rPr>
                <w:sz w:val="15"/>
                <w:szCs w:val="15"/>
              </w:rPr>
            </w:pPr>
            <w:r>
              <w:rPr>
                <w:sz w:val="15"/>
                <w:szCs w:val="15"/>
              </w:rPr>
              <w:t>2.28</w:t>
            </w:r>
          </w:p>
        </w:tc>
        <w:tc>
          <w:tcPr>
            <w:tcW w:w="603" w:type="dxa"/>
            <w:noWrap w:val="0"/>
            <w:vAlign w:val="center"/>
          </w:tcPr>
          <w:p>
            <w:pPr>
              <w:spacing w:line="240" w:lineRule="exact"/>
              <w:jc w:val="center"/>
              <w:rPr>
                <w:sz w:val="15"/>
                <w:szCs w:val="15"/>
              </w:rPr>
            </w:pPr>
            <w:r>
              <w:rPr>
                <w:sz w:val="15"/>
                <w:szCs w:val="15"/>
              </w:rPr>
              <w:t>1.04</w:t>
            </w:r>
          </w:p>
        </w:tc>
        <w:tc>
          <w:tcPr>
            <w:tcW w:w="794" w:type="dxa"/>
            <w:noWrap w:val="0"/>
            <w:vAlign w:val="center"/>
          </w:tcPr>
          <w:p>
            <w:pPr>
              <w:spacing w:line="240" w:lineRule="exact"/>
              <w:jc w:val="center"/>
              <w:rPr>
                <w:sz w:val="15"/>
                <w:szCs w:val="15"/>
              </w:rPr>
            </w:pPr>
            <w:r>
              <w:rPr>
                <w:sz w:val="15"/>
                <w:szCs w:val="15"/>
              </w:rPr>
              <w:t>1.36</w:t>
            </w:r>
          </w:p>
        </w:tc>
        <w:tc>
          <w:tcPr>
            <w:tcW w:w="648" w:type="dxa"/>
            <w:noWrap w:val="0"/>
            <w:vAlign w:val="center"/>
          </w:tcPr>
          <w:p>
            <w:pPr>
              <w:spacing w:line="240" w:lineRule="exact"/>
              <w:jc w:val="center"/>
              <w:rPr>
                <w:sz w:val="15"/>
                <w:szCs w:val="15"/>
              </w:rPr>
            </w:pPr>
            <w:r>
              <w:rPr>
                <w:sz w:val="15"/>
                <w:szCs w:val="15"/>
              </w:rPr>
              <w:t>1.71</w:t>
            </w:r>
          </w:p>
        </w:tc>
        <w:tc>
          <w:tcPr>
            <w:tcW w:w="695" w:type="dxa"/>
            <w:noWrap w:val="0"/>
            <w:vAlign w:val="center"/>
          </w:tcPr>
          <w:p>
            <w:pPr>
              <w:spacing w:line="240" w:lineRule="exact"/>
              <w:jc w:val="center"/>
              <w:rPr>
                <w:sz w:val="15"/>
                <w:szCs w:val="15"/>
              </w:rPr>
            </w:pPr>
            <w:r>
              <w:rPr>
                <w:sz w:val="15"/>
                <w:szCs w:val="15"/>
              </w:rPr>
              <w:t>1.36</w:t>
            </w:r>
          </w:p>
        </w:tc>
        <w:tc>
          <w:tcPr>
            <w:tcW w:w="695" w:type="dxa"/>
            <w:noWrap w:val="0"/>
            <w:vAlign w:val="center"/>
          </w:tcPr>
          <w:p>
            <w:pPr>
              <w:spacing w:line="240" w:lineRule="exact"/>
              <w:jc w:val="center"/>
              <w:rPr>
                <w:sz w:val="15"/>
                <w:szCs w:val="15"/>
              </w:rPr>
            </w:pPr>
            <w:r>
              <w:rPr>
                <w:sz w:val="15"/>
                <w:szCs w:val="15"/>
              </w:rPr>
              <w:t>1.28</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1" w:hRule="atLeast"/>
          <w:jc w:val="center"/>
        </w:trPr>
        <w:tc>
          <w:tcPr>
            <w:tcW w:w="1565" w:type="dxa"/>
            <w:noWrap w:val="0"/>
            <w:vAlign w:val="center"/>
          </w:tcPr>
          <w:p>
            <w:pPr>
              <w:spacing w:line="240" w:lineRule="exact"/>
              <w:jc w:val="center"/>
              <w:rPr>
                <w:sz w:val="15"/>
                <w:szCs w:val="15"/>
              </w:rPr>
            </w:pPr>
            <w:r>
              <w:rPr>
                <w:sz w:val="15"/>
                <w:szCs w:val="15"/>
              </w:rPr>
              <w:t>高效氯氰菊酯（25g/L）</w:t>
            </w:r>
          </w:p>
        </w:tc>
        <w:tc>
          <w:tcPr>
            <w:tcW w:w="695" w:type="dxa"/>
            <w:noWrap w:val="0"/>
            <w:vAlign w:val="center"/>
          </w:tcPr>
          <w:p>
            <w:pPr>
              <w:spacing w:line="240" w:lineRule="exact"/>
              <w:jc w:val="center"/>
              <w:rPr>
                <w:sz w:val="15"/>
                <w:szCs w:val="15"/>
              </w:rPr>
            </w:pPr>
            <w:r>
              <w:rPr>
                <w:sz w:val="15"/>
                <w:szCs w:val="15"/>
              </w:rPr>
              <w:t>98.6</w:t>
            </w:r>
          </w:p>
        </w:tc>
        <w:tc>
          <w:tcPr>
            <w:tcW w:w="695" w:type="dxa"/>
            <w:noWrap w:val="0"/>
            <w:vAlign w:val="center"/>
          </w:tcPr>
          <w:p>
            <w:pPr>
              <w:spacing w:line="240" w:lineRule="exact"/>
              <w:jc w:val="center"/>
              <w:rPr>
                <w:sz w:val="15"/>
                <w:szCs w:val="15"/>
              </w:rPr>
            </w:pPr>
            <w:r>
              <w:rPr>
                <w:sz w:val="15"/>
                <w:szCs w:val="15"/>
              </w:rPr>
              <w:t>97.1</w:t>
            </w:r>
          </w:p>
        </w:tc>
        <w:tc>
          <w:tcPr>
            <w:tcW w:w="695" w:type="dxa"/>
            <w:noWrap w:val="0"/>
            <w:vAlign w:val="center"/>
          </w:tcPr>
          <w:p>
            <w:pPr>
              <w:spacing w:line="240" w:lineRule="exact"/>
              <w:jc w:val="center"/>
              <w:rPr>
                <w:sz w:val="15"/>
                <w:szCs w:val="15"/>
              </w:rPr>
            </w:pPr>
            <w:r>
              <w:rPr>
                <w:sz w:val="15"/>
                <w:szCs w:val="15"/>
              </w:rPr>
              <w:t>96.2</w:t>
            </w:r>
          </w:p>
        </w:tc>
        <w:tc>
          <w:tcPr>
            <w:tcW w:w="695" w:type="dxa"/>
            <w:noWrap w:val="0"/>
            <w:vAlign w:val="center"/>
          </w:tcPr>
          <w:p>
            <w:pPr>
              <w:spacing w:line="240" w:lineRule="exact"/>
              <w:jc w:val="center"/>
              <w:rPr>
                <w:sz w:val="15"/>
                <w:szCs w:val="15"/>
              </w:rPr>
            </w:pPr>
            <w:r>
              <w:rPr>
                <w:sz w:val="15"/>
                <w:szCs w:val="15"/>
              </w:rPr>
              <w:t>100.9</w:t>
            </w:r>
          </w:p>
        </w:tc>
        <w:tc>
          <w:tcPr>
            <w:tcW w:w="645" w:type="dxa"/>
            <w:noWrap w:val="0"/>
            <w:vAlign w:val="center"/>
          </w:tcPr>
          <w:p>
            <w:pPr>
              <w:spacing w:line="240" w:lineRule="exact"/>
              <w:jc w:val="center"/>
              <w:rPr>
                <w:sz w:val="15"/>
                <w:szCs w:val="15"/>
              </w:rPr>
            </w:pPr>
            <w:r>
              <w:rPr>
                <w:sz w:val="15"/>
                <w:szCs w:val="15"/>
              </w:rPr>
              <w:t>99.2</w:t>
            </w:r>
          </w:p>
        </w:tc>
        <w:tc>
          <w:tcPr>
            <w:tcW w:w="603" w:type="dxa"/>
            <w:noWrap w:val="0"/>
            <w:vAlign w:val="center"/>
          </w:tcPr>
          <w:p>
            <w:pPr>
              <w:spacing w:line="240" w:lineRule="exact"/>
              <w:jc w:val="center"/>
              <w:rPr>
                <w:sz w:val="15"/>
                <w:szCs w:val="15"/>
              </w:rPr>
            </w:pPr>
            <w:r>
              <w:rPr>
                <w:sz w:val="15"/>
                <w:szCs w:val="15"/>
              </w:rPr>
              <w:t>96.9</w:t>
            </w:r>
          </w:p>
        </w:tc>
        <w:tc>
          <w:tcPr>
            <w:tcW w:w="794" w:type="dxa"/>
            <w:noWrap w:val="0"/>
            <w:vAlign w:val="center"/>
          </w:tcPr>
          <w:p>
            <w:pPr>
              <w:spacing w:line="240" w:lineRule="exact"/>
              <w:jc w:val="center"/>
              <w:rPr>
                <w:sz w:val="15"/>
                <w:szCs w:val="15"/>
              </w:rPr>
            </w:pPr>
            <w:r>
              <w:rPr>
                <w:sz w:val="15"/>
                <w:szCs w:val="15"/>
              </w:rPr>
              <w:t>97.1</w:t>
            </w:r>
          </w:p>
        </w:tc>
        <w:tc>
          <w:tcPr>
            <w:tcW w:w="648" w:type="dxa"/>
            <w:noWrap w:val="0"/>
            <w:vAlign w:val="center"/>
          </w:tcPr>
          <w:p>
            <w:pPr>
              <w:spacing w:line="240" w:lineRule="exact"/>
              <w:jc w:val="center"/>
              <w:rPr>
                <w:sz w:val="15"/>
                <w:szCs w:val="15"/>
              </w:rPr>
            </w:pPr>
            <w:r>
              <w:rPr>
                <w:sz w:val="15"/>
                <w:szCs w:val="15"/>
              </w:rPr>
              <w:t>97.2</w:t>
            </w:r>
          </w:p>
        </w:tc>
        <w:tc>
          <w:tcPr>
            <w:tcW w:w="695" w:type="dxa"/>
            <w:noWrap w:val="0"/>
            <w:vAlign w:val="center"/>
          </w:tcPr>
          <w:p>
            <w:pPr>
              <w:spacing w:line="240" w:lineRule="exact"/>
              <w:jc w:val="center"/>
              <w:rPr>
                <w:sz w:val="15"/>
                <w:szCs w:val="15"/>
              </w:rPr>
            </w:pPr>
            <w:r>
              <w:rPr>
                <w:sz w:val="15"/>
                <w:szCs w:val="15"/>
              </w:rPr>
              <w:t>95.6</w:t>
            </w:r>
          </w:p>
        </w:tc>
        <w:tc>
          <w:tcPr>
            <w:tcW w:w="695" w:type="dxa"/>
            <w:noWrap w:val="0"/>
            <w:vAlign w:val="center"/>
          </w:tcPr>
          <w:p>
            <w:pPr>
              <w:spacing w:line="240" w:lineRule="exact"/>
              <w:jc w:val="center"/>
              <w:rPr>
                <w:rFonts w:hint="eastAsia"/>
                <w:sz w:val="15"/>
                <w:szCs w:val="15"/>
              </w:rPr>
            </w:pPr>
            <w:r>
              <w:rPr>
                <w:sz w:val="15"/>
                <w:szCs w:val="15"/>
              </w:rPr>
              <w:t>97</w:t>
            </w:r>
            <w:r>
              <w:rPr>
                <w:rFonts w:hint="eastAsia"/>
                <w:sz w:val="15"/>
                <w:szCs w:val="15"/>
              </w:rPr>
              <w:t>.0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1" w:hRule="atLeast"/>
          <w:jc w:val="center"/>
        </w:trPr>
        <w:tc>
          <w:tcPr>
            <w:tcW w:w="1565" w:type="dxa"/>
            <w:noWrap w:val="0"/>
            <w:vAlign w:val="center"/>
          </w:tcPr>
          <w:p>
            <w:pPr>
              <w:spacing w:line="240" w:lineRule="exact"/>
              <w:jc w:val="center"/>
              <w:rPr>
                <w:sz w:val="15"/>
                <w:szCs w:val="15"/>
              </w:rPr>
            </w:pPr>
            <w:r>
              <w:rPr>
                <w:sz w:val="15"/>
                <w:szCs w:val="15"/>
              </w:rPr>
              <w:t>RSD%</w:t>
            </w:r>
          </w:p>
        </w:tc>
        <w:tc>
          <w:tcPr>
            <w:tcW w:w="695" w:type="dxa"/>
            <w:noWrap w:val="0"/>
            <w:vAlign w:val="center"/>
          </w:tcPr>
          <w:p>
            <w:pPr>
              <w:spacing w:line="240" w:lineRule="exact"/>
              <w:jc w:val="center"/>
              <w:rPr>
                <w:sz w:val="15"/>
                <w:szCs w:val="15"/>
              </w:rPr>
            </w:pPr>
            <w:r>
              <w:rPr>
                <w:sz w:val="15"/>
                <w:szCs w:val="15"/>
              </w:rPr>
              <w:t>0.53</w:t>
            </w:r>
          </w:p>
        </w:tc>
        <w:tc>
          <w:tcPr>
            <w:tcW w:w="695" w:type="dxa"/>
            <w:noWrap w:val="0"/>
            <w:vAlign w:val="center"/>
          </w:tcPr>
          <w:p>
            <w:pPr>
              <w:spacing w:line="240" w:lineRule="exact"/>
              <w:jc w:val="center"/>
              <w:rPr>
                <w:sz w:val="15"/>
                <w:szCs w:val="15"/>
              </w:rPr>
            </w:pPr>
            <w:r>
              <w:rPr>
                <w:sz w:val="15"/>
                <w:szCs w:val="15"/>
              </w:rPr>
              <w:t>1.57</w:t>
            </w:r>
          </w:p>
        </w:tc>
        <w:tc>
          <w:tcPr>
            <w:tcW w:w="695" w:type="dxa"/>
            <w:noWrap w:val="0"/>
            <w:vAlign w:val="center"/>
          </w:tcPr>
          <w:p>
            <w:pPr>
              <w:spacing w:line="240" w:lineRule="exact"/>
              <w:jc w:val="center"/>
              <w:rPr>
                <w:sz w:val="15"/>
                <w:szCs w:val="15"/>
              </w:rPr>
            </w:pPr>
            <w:r>
              <w:rPr>
                <w:sz w:val="15"/>
                <w:szCs w:val="15"/>
              </w:rPr>
              <w:t>1.35</w:t>
            </w:r>
          </w:p>
        </w:tc>
        <w:tc>
          <w:tcPr>
            <w:tcW w:w="695" w:type="dxa"/>
            <w:noWrap w:val="0"/>
            <w:vAlign w:val="center"/>
          </w:tcPr>
          <w:p>
            <w:pPr>
              <w:spacing w:line="240" w:lineRule="exact"/>
              <w:jc w:val="center"/>
              <w:rPr>
                <w:sz w:val="15"/>
                <w:szCs w:val="15"/>
              </w:rPr>
            </w:pPr>
            <w:r>
              <w:rPr>
                <w:sz w:val="15"/>
                <w:szCs w:val="15"/>
              </w:rPr>
              <w:t>1.32</w:t>
            </w:r>
          </w:p>
        </w:tc>
        <w:tc>
          <w:tcPr>
            <w:tcW w:w="645" w:type="dxa"/>
            <w:noWrap w:val="0"/>
            <w:vAlign w:val="center"/>
          </w:tcPr>
          <w:p>
            <w:pPr>
              <w:spacing w:line="240" w:lineRule="exact"/>
              <w:jc w:val="center"/>
              <w:rPr>
                <w:rFonts w:hint="eastAsia"/>
                <w:sz w:val="15"/>
                <w:szCs w:val="15"/>
              </w:rPr>
            </w:pPr>
            <w:r>
              <w:rPr>
                <w:sz w:val="15"/>
                <w:szCs w:val="15"/>
              </w:rPr>
              <w:t>2.2</w:t>
            </w:r>
            <w:r>
              <w:rPr>
                <w:rFonts w:hint="eastAsia"/>
                <w:sz w:val="15"/>
                <w:szCs w:val="15"/>
              </w:rPr>
              <w:t>0</w:t>
            </w:r>
          </w:p>
        </w:tc>
        <w:tc>
          <w:tcPr>
            <w:tcW w:w="603" w:type="dxa"/>
            <w:noWrap w:val="0"/>
            <w:vAlign w:val="center"/>
          </w:tcPr>
          <w:p>
            <w:pPr>
              <w:spacing w:line="240" w:lineRule="exact"/>
              <w:jc w:val="center"/>
              <w:rPr>
                <w:sz w:val="15"/>
                <w:szCs w:val="15"/>
              </w:rPr>
            </w:pPr>
            <w:r>
              <w:rPr>
                <w:sz w:val="15"/>
                <w:szCs w:val="15"/>
              </w:rPr>
              <w:t>1.81</w:t>
            </w:r>
          </w:p>
        </w:tc>
        <w:tc>
          <w:tcPr>
            <w:tcW w:w="794" w:type="dxa"/>
            <w:noWrap w:val="0"/>
            <w:vAlign w:val="center"/>
          </w:tcPr>
          <w:p>
            <w:pPr>
              <w:spacing w:line="240" w:lineRule="exact"/>
              <w:jc w:val="center"/>
              <w:rPr>
                <w:sz w:val="15"/>
                <w:szCs w:val="15"/>
              </w:rPr>
            </w:pPr>
            <w:r>
              <w:rPr>
                <w:sz w:val="15"/>
                <w:szCs w:val="15"/>
              </w:rPr>
              <w:t>2.61</w:t>
            </w:r>
          </w:p>
        </w:tc>
        <w:tc>
          <w:tcPr>
            <w:tcW w:w="648" w:type="dxa"/>
            <w:noWrap w:val="0"/>
            <w:vAlign w:val="center"/>
          </w:tcPr>
          <w:p>
            <w:pPr>
              <w:spacing w:line="240" w:lineRule="exact"/>
              <w:jc w:val="center"/>
              <w:rPr>
                <w:sz w:val="15"/>
                <w:szCs w:val="15"/>
              </w:rPr>
            </w:pPr>
            <w:r>
              <w:rPr>
                <w:sz w:val="15"/>
                <w:szCs w:val="15"/>
              </w:rPr>
              <w:t>1.48</w:t>
            </w:r>
          </w:p>
        </w:tc>
        <w:tc>
          <w:tcPr>
            <w:tcW w:w="695" w:type="dxa"/>
            <w:noWrap w:val="0"/>
            <w:vAlign w:val="center"/>
          </w:tcPr>
          <w:p>
            <w:pPr>
              <w:spacing w:line="240" w:lineRule="exact"/>
              <w:jc w:val="center"/>
              <w:rPr>
                <w:rFonts w:hint="eastAsia"/>
                <w:sz w:val="15"/>
                <w:szCs w:val="15"/>
              </w:rPr>
            </w:pPr>
            <w:r>
              <w:rPr>
                <w:sz w:val="15"/>
                <w:szCs w:val="15"/>
              </w:rPr>
              <w:t>2.5</w:t>
            </w:r>
            <w:r>
              <w:rPr>
                <w:rFonts w:hint="eastAsia"/>
                <w:sz w:val="15"/>
                <w:szCs w:val="15"/>
              </w:rPr>
              <w:t>0</w:t>
            </w:r>
          </w:p>
        </w:tc>
        <w:tc>
          <w:tcPr>
            <w:tcW w:w="695" w:type="dxa"/>
            <w:noWrap w:val="0"/>
            <w:vAlign w:val="center"/>
          </w:tcPr>
          <w:p>
            <w:pPr>
              <w:spacing w:line="240" w:lineRule="exact"/>
              <w:jc w:val="center"/>
              <w:rPr>
                <w:sz w:val="15"/>
                <w:szCs w:val="15"/>
              </w:rPr>
            </w:pPr>
            <w:r>
              <w:rPr>
                <w:sz w:val="15"/>
                <w:szCs w:val="15"/>
              </w:rPr>
              <w:t>1.55</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1" w:hRule="atLeast"/>
          <w:jc w:val="center"/>
        </w:trPr>
        <w:tc>
          <w:tcPr>
            <w:tcW w:w="1565" w:type="dxa"/>
            <w:noWrap w:val="0"/>
            <w:vAlign w:val="center"/>
          </w:tcPr>
          <w:p>
            <w:pPr>
              <w:spacing w:line="240" w:lineRule="exact"/>
              <w:jc w:val="center"/>
              <w:rPr>
                <w:sz w:val="15"/>
                <w:szCs w:val="15"/>
              </w:rPr>
            </w:pPr>
            <w:r>
              <w:rPr>
                <w:sz w:val="15"/>
                <w:szCs w:val="15"/>
              </w:rPr>
              <w:t>敌杀死（25g/L溴氰菊酯）</w:t>
            </w:r>
          </w:p>
        </w:tc>
        <w:tc>
          <w:tcPr>
            <w:tcW w:w="695" w:type="dxa"/>
            <w:noWrap w:val="0"/>
            <w:vAlign w:val="center"/>
          </w:tcPr>
          <w:p>
            <w:pPr>
              <w:spacing w:line="240" w:lineRule="exact"/>
              <w:jc w:val="center"/>
              <w:rPr>
                <w:rFonts w:hint="eastAsia"/>
                <w:sz w:val="15"/>
                <w:szCs w:val="15"/>
              </w:rPr>
            </w:pPr>
            <w:r>
              <w:rPr>
                <w:sz w:val="15"/>
                <w:szCs w:val="15"/>
              </w:rPr>
              <w:t>99</w:t>
            </w:r>
            <w:r>
              <w:rPr>
                <w:rFonts w:hint="eastAsia"/>
                <w:sz w:val="15"/>
                <w:szCs w:val="15"/>
              </w:rPr>
              <w:t>.0</w:t>
            </w:r>
          </w:p>
        </w:tc>
        <w:tc>
          <w:tcPr>
            <w:tcW w:w="695" w:type="dxa"/>
            <w:noWrap w:val="0"/>
            <w:vAlign w:val="center"/>
          </w:tcPr>
          <w:p>
            <w:pPr>
              <w:spacing w:line="240" w:lineRule="exact"/>
              <w:jc w:val="center"/>
              <w:rPr>
                <w:sz w:val="15"/>
                <w:szCs w:val="15"/>
              </w:rPr>
            </w:pPr>
            <w:r>
              <w:rPr>
                <w:sz w:val="15"/>
                <w:szCs w:val="15"/>
              </w:rPr>
              <w:t>98.3</w:t>
            </w:r>
          </w:p>
        </w:tc>
        <w:tc>
          <w:tcPr>
            <w:tcW w:w="695" w:type="dxa"/>
            <w:noWrap w:val="0"/>
            <w:vAlign w:val="center"/>
          </w:tcPr>
          <w:p>
            <w:pPr>
              <w:spacing w:line="240" w:lineRule="exact"/>
              <w:jc w:val="center"/>
              <w:rPr>
                <w:sz w:val="15"/>
                <w:szCs w:val="15"/>
              </w:rPr>
            </w:pPr>
            <w:r>
              <w:rPr>
                <w:sz w:val="15"/>
                <w:szCs w:val="15"/>
              </w:rPr>
              <w:t>96.1</w:t>
            </w:r>
          </w:p>
        </w:tc>
        <w:tc>
          <w:tcPr>
            <w:tcW w:w="695" w:type="dxa"/>
            <w:noWrap w:val="0"/>
            <w:vAlign w:val="center"/>
          </w:tcPr>
          <w:p>
            <w:pPr>
              <w:spacing w:line="240" w:lineRule="exact"/>
              <w:jc w:val="center"/>
              <w:rPr>
                <w:rFonts w:hint="eastAsia"/>
                <w:sz w:val="15"/>
                <w:szCs w:val="15"/>
              </w:rPr>
            </w:pPr>
            <w:r>
              <w:rPr>
                <w:sz w:val="15"/>
                <w:szCs w:val="15"/>
              </w:rPr>
              <w:t>96</w:t>
            </w:r>
            <w:r>
              <w:rPr>
                <w:rFonts w:hint="eastAsia"/>
                <w:sz w:val="15"/>
                <w:szCs w:val="15"/>
              </w:rPr>
              <w:t>.0</w:t>
            </w:r>
          </w:p>
        </w:tc>
        <w:tc>
          <w:tcPr>
            <w:tcW w:w="645" w:type="dxa"/>
            <w:noWrap w:val="0"/>
            <w:vAlign w:val="center"/>
          </w:tcPr>
          <w:p>
            <w:pPr>
              <w:spacing w:line="240" w:lineRule="exact"/>
              <w:jc w:val="center"/>
              <w:rPr>
                <w:sz w:val="15"/>
                <w:szCs w:val="15"/>
              </w:rPr>
            </w:pPr>
            <w:r>
              <w:rPr>
                <w:sz w:val="15"/>
                <w:szCs w:val="15"/>
              </w:rPr>
              <w:t>96.4</w:t>
            </w:r>
          </w:p>
        </w:tc>
        <w:tc>
          <w:tcPr>
            <w:tcW w:w="603" w:type="dxa"/>
            <w:noWrap w:val="0"/>
            <w:vAlign w:val="center"/>
          </w:tcPr>
          <w:p>
            <w:pPr>
              <w:spacing w:line="240" w:lineRule="exact"/>
              <w:jc w:val="center"/>
              <w:rPr>
                <w:sz w:val="15"/>
                <w:szCs w:val="15"/>
              </w:rPr>
            </w:pPr>
            <w:r>
              <w:rPr>
                <w:sz w:val="15"/>
                <w:szCs w:val="15"/>
              </w:rPr>
              <w:t>96.6</w:t>
            </w:r>
          </w:p>
        </w:tc>
        <w:tc>
          <w:tcPr>
            <w:tcW w:w="794" w:type="dxa"/>
            <w:noWrap w:val="0"/>
            <w:vAlign w:val="center"/>
          </w:tcPr>
          <w:p>
            <w:pPr>
              <w:spacing w:line="240" w:lineRule="exact"/>
              <w:jc w:val="center"/>
              <w:rPr>
                <w:sz w:val="15"/>
                <w:szCs w:val="15"/>
              </w:rPr>
            </w:pPr>
            <w:r>
              <w:rPr>
                <w:sz w:val="15"/>
                <w:szCs w:val="15"/>
              </w:rPr>
              <w:t>101.6</w:t>
            </w:r>
          </w:p>
        </w:tc>
        <w:tc>
          <w:tcPr>
            <w:tcW w:w="648" w:type="dxa"/>
            <w:noWrap w:val="0"/>
            <w:vAlign w:val="center"/>
          </w:tcPr>
          <w:p>
            <w:pPr>
              <w:spacing w:line="240" w:lineRule="exact"/>
              <w:jc w:val="center"/>
              <w:rPr>
                <w:sz w:val="15"/>
                <w:szCs w:val="15"/>
              </w:rPr>
            </w:pPr>
            <w:r>
              <w:rPr>
                <w:sz w:val="15"/>
                <w:szCs w:val="15"/>
              </w:rPr>
              <w:t>96.8</w:t>
            </w:r>
          </w:p>
        </w:tc>
        <w:tc>
          <w:tcPr>
            <w:tcW w:w="695" w:type="dxa"/>
            <w:noWrap w:val="0"/>
            <w:vAlign w:val="center"/>
          </w:tcPr>
          <w:p>
            <w:pPr>
              <w:spacing w:line="240" w:lineRule="exact"/>
              <w:jc w:val="center"/>
              <w:rPr>
                <w:sz w:val="15"/>
                <w:szCs w:val="15"/>
              </w:rPr>
            </w:pPr>
            <w:r>
              <w:rPr>
                <w:sz w:val="15"/>
                <w:szCs w:val="15"/>
              </w:rPr>
              <w:t>94.8</w:t>
            </w:r>
          </w:p>
        </w:tc>
        <w:tc>
          <w:tcPr>
            <w:tcW w:w="695" w:type="dxa"/>
            <w:noWrap w:val="0"/>
            <w:vAlign w:val="center"/>
          </w:tcPr>
          <w:p>
            <w:pPr>
              <w:spacing w:line="240" w:lineRule="exact"/>
              <w:jc w:val="center"/>
              <w:rPr>
                <w:sz w:val="15"/>
                <w:szCs w:val="15"/>
              </w:rPr>
            </w:pPr>
            <w:r>
              <w:rPr>
                <w:sz w:val="15"/>
                <w:szCs w:val="15"/>
              </w:rPr>
              <w:t>96.8</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1" w:hRule="atLeast"/>
          <w:jc w:val="center"/>
        </w:trPr>
        <w:tc>
          <w:tcPr>
            <w:tcW w:w="1565" w:type="dxa"/>
            <w:noWrap w:val="0"/>
            <w:vAlign w:val="center"/>
          </w:tcPr>
          <w:p>
            <w:pPr>
              <w:spacing w:line="240" w:lineRule="exact"/>
              <w:jc w:val="center"/>
              <w:rPr>
                <w:sz w:val="15"/>
                <w:szCs w:val="15"/>
              </w:rPr>
            </w:pPr>
            <w:r>
              <w:rPr>
                <w:sz w:val="15"/>
                <w:szCs w:val="15"/>
              </w:rPr>
              <w:t>RSD%</w:t>
            </w:r>
          </w:p>
        </w:tc>
        <w:tc>
          <w:tcPr>
            <w:tcW w:w="695" w:type="dxa"/>
            <w:noWrap w:val="0"/>
            <w:vAlign w:val="center"/>
          </w:tcPr>
          <w:p>
            <w:pPr>
              <w:spacing w:line="240" w:lineRule="exact"/>
              <w:jc w:val="center"/>
              <w:rPr>
                <w:sz w:val="15"/>
                <w:szCs w:val="15"/>
              </w:rPr>
            </w:pPr>
            <w:r>
              <w:rPr>
                <w:sz w:val="15"/>
                <w:szCs w:val="15"/>
              </w:rPr>
              <w:t>3.53</w:t>
            </w:r>
          </w:p>
        </w:tc>
        <w:tc>
          <w:tcPr>
            <w:tcW w:w="695" w:type="dxa"/>
            <w:noWrap w:val="0"/>
            <w:vAlign w:val="center"/>
          </w:tcPr>
          <w:p>
            <w:pPr>
              <w:spacing w:line="240" w:lineRule="exact"/>
              <w:jc w:val="center"/>
              <w:rPr>
                <w:sz w:val="15"/>
                <w:szCs w:val="15"/>
              </w:rPr>
            </w:pPr>
            <w:r>
              <w:rPr>
                <w:sz w:val="15"/>
                <w:szCs w:val="15"/>
              </w:rPr>
              <w:t>1.81</w:t>
            </w:r>
          </w:p>
        </w:tc>
        <w:tc>
          <w:tcPr>
            <w:tcW w:w="695" w:type="dxa"/>
            <w:noWrap w:val="0"/>
            <w:vAlign w:val="center"/>
          </w:tcPr>
          <w:p>
            <w:pPr>
              <w:spacing w:line="240" w:lineRule="exact"/>
              <w:jc w:val="center"/>
              <w:rPr>
                <w:sz w:val="15"/>
                <w:szCs w:val="15"/>
              </w:rPr>
            </w:pPr>
            <w:r>
              <w:rPr>
                <w:sz w:val="15"/>
                <w:szCs w:val="15"/>
              </w:rPr>
              <w:t>1.31</w:t>
            </w:r>
          </w:p>
        </w:tc>
        <w:tc>
          <w:tcPr>
            <w:tcW w:w="695" w:type="dxa"/>
            <w:noWrap w:val="0"/>
            <w:vAlign w:val="center"/>
          </w:tcPr>
          <w:p>
            <w:pPr>
              <w:spacing w:line="240" w:lineRule="exact"/>
              <w:jc w:val="center"/>
              <w:rPr>
                <w:sz w:val="15"/>
                <w:szCs w:val="15"/>
              </w:rPr>
            </w:pPr>
            <w:r>
              <w:rPr>
                <w:sz w:val="15"/>
                <w:szCs w:val="15"/>
              </w:rPr>
              <w:t>1.85</w:t>
            </w:r>
          </w:p>
        </w:tc>
        <w:tc>
          <w:tcPr>
            <w:tcW w:w="645" w:type="dxa"/>
            <w:noWrap w:val="0"/>
            <w:vAlign w:val="center"/>
          </w:tcPr>
          <w:p>
            <w:pPr>
              <w:spacing w:line="240" w:lineRule="exact"/>
              <w:jc w:val="center"/>
              <w:rPr>
                <w:sz w:val="15"/>
                <w:szCs w:val="15"/>
              </w:rPr>
            </w:pPr>
            <w:r>
              <w:rPr>
                <w:sz w:val="15"/>
                <w:szCs w:val="15"/>
              </w:rPr>
              <w:t>2.45</w:t>
            </w:r>
          </w:p>
        </w:tc>
        <w:tc>
          <w:tcPr>
            <w:tcW w:w="603" w:type="dxa"/>
            <w:noWrap w:val="0"/>
            <w:vAlign w:val="center"/>
          </w:tcPr>
          <w:p>
            <w:pPr>
              <w:spacing w:line="240" w:lineRule="exact"/>
              <w:jc w:val="center"/>
              <w:rPr>
                <w:sz w:val="15"/>
                <w:szCs w:val="15"/>
              </w:rPr>
            </w:pPr>
            <w:r>
              <w:rPr>
                <w:sz w:val="15"/>
                <w:szCs w:val="15"/>
              </w:rPr>
              <w:t>1.22</w:t>
            </w:r>
          </w:p>
        </w:tc>
        <w:tc>
          <w:tcPr>
            <w:tcW w:w="794" w:type="dxa"/>
            <w:noWrap w:val="0"/>
            <w:vAlign w:val="center"/>
          </w:tcPr>
          <w:p>
            <w:pPr>
              <w:spacing w:line="240" w:lineRule="exact"/>
              <w:jc w:val="center"/>
              <w:rPr>
                <w:sz w:val="15"/>
                <w:szCs w:val="15"/>
              </w:rPr>
            </w:pPr>
            <w:r>
              <w:rPr>
                <w:sz w:val="15"/>
                <w:szCs w:val="15"/>
              </w:rPr>
              <w:t>2.51</w:t>
            </w:r>
          </w:p>
        </w:tc>
        <w:tc>
          <w:tcPr>
            <w:tcW w:w="648" w:type="dxa"/>
            <w:noWrap w:val="0"/>
            <w:vAlign w:val="center"/>
          </w:tcPr>
          <w:p>
            <w:pPr>
              <w:spacing w:line="240" w:lineRule="exact"/>
              <w:jc w:val="center"/>
              <w:rPr>
                <w:sz w:val="15"/>
                <w:szCs w:val="15"/>
              </w:rPr>
            </w:pPr>
            <w:r>
              <w:rPr>
                <w:sz w:val="15"/>
                <w:szCs w:val="15"/>
              </w:rPr>
              <w:t>2.06</w:t>
            </w:r>
          </w:p>
        </w:tc>
        <w:tc>
          <w:tcPr>
            <w:tcW w:w="695" w:type="dxa"/>
            <w:noWrap w:val="0"/>
            <w:vAlign w:val="center"/>
          </w:tcPr>
          <w:p>
            <w:pPr>
              <w:spacing w:line="240" w:lineRule="exact"/>
              <w:jc w:val="center"/>
              <w:rPr>
                <w:sz w:val="15"/>
                <w:szCs w:val="15"/>
              </w:rPr>
            </w:pPr>
            <w:r>
              <w:rPr>
                <w:sz w:val="15"/>
                <w:szCs w:val="15"/>
              </w:rPr>
              <w:t>2.92</w:t>
            </w:r>
          </w:p>
        </w:tc>
        <w:tc>
          <w:tcPr>
            <w:tcW w:w="695" w:type="dxa"/>
            <w:noWrap w:val="0"/>
            <w:vAlign w:val="center"/>
          </w:tcPr>
          <w:p>
            <w:pPr>
              <w:spacing w:line="240" w:lineRule="exact"/>
              <w:jc w:val="center"/>
              <w:rPr>
                <w:sz w:val="15"/>
                <w:szCs w:val="15"/>
              </w:rPr>
            </w:pPr>
            <w:r>
              <w:rPr>
                <w:sz w:val="15"/>
                <w:szCs w:val="15"/>
              </w:rPr>
              <w:t>1.27</w:t>
            </w:r>
          </w:p>
        </w:tc>
      </w:tr>
      <w:bookmarkEnd w:id="89"/>
      <w:bookmarkEnd w:id="90"/>
      <w:bookmarkEnd w:id="91"/>
    </w:tbl>
    <w:p>
      <w:pPr>
        <w:pStyle w:val="3"/>
        <w:rPr>
          <w:rFonts w:hint="eastAsia" w:ascii="仿宋_GB2312" w:eastAsia="仿宋_GB2312"/>
          <w:sz w:val="24"/>
          <w:szCs w:val="24"/>
          <w:lang w:val="en-US" w:eastAsia="zh-CN"/>
        </w:rPr>
      </w:pPr>
      <w:bookmarkStart w:id="92" w:name="_Toc13492"/>
      <w:bookmarkStart w:id="93" w:name="_Toc11024_WPSOffice_Level2"/>
      <w:bookmarkStart w:id="94" w:name="_Toc21980_WPSOffice_Level2"/>
      <w:r>
        <w:rPr>
          <w:rFonts w:hint="eastAsia" w:ascii="仿宋_GB2312" w:eastAsia="仿宋_GB2312"/>
          <w:sz w:val="24"/>
          <w:szCs w:val="24"/>
          <w:lang w:val="en-US" w:eastAsia="zh-CN"/>
        </w:rPr>
        <w:t>4.7 精密度</w:t>
      </w:r>
      <w:bookmarkEnd w:id="92"/>
      <w:bookmarkEnd w:id="93"/>
      <w:bookmarkEnd w:id="94"/>
    </w:p>
    <w:p>
      <w:pPr>
        <w:pStyle w:val="4"/>
        <w:rPr>
          <w:rFonts w:hint="eastAsia" w:ascii="宋体" w:hAnsi="宋体" w:eastAsia="宋体"/>
          <w:sz w:val="24"/>
          <w:szCs w:val="24"/>
          <w:lang w:eastAsia="zh-CN"/>
        </w:rPr>
      </w:pPr>
      <w:bookmarkStart w:id="95" w:name="_Toc20114"/>
      <w:r>
        <w:rPr>
          <w:rFonts w:ascii="宋体" w:hAnsi="宋体"/>
          <w:sz w:val="24"/>
          <w:szCs w:val="24"/>
        </w:rPr>
        <w:t>4.</w:t>
      </w:r>
      <w:r>
        <w:rPr>
          <w:rFonts w:hint="eastAsia" w:ascii="宋体" w:hAnsi="宋体"/>
          <w:sz w:val="24"/>
          <w:szCs w:val="24"/>
          <w:lang w:val="en-US" w:eastAsia="zh-CN"/>
        </w:rPr>
        <w:t>7</w:t>
      </w:r>
      <w:r>
        <w:rPr>
          <w:rFonts w:ascii="宋体" w:hAnsi="宋体"/>
          <w:sz w:val="24"/>
          <w:szCs w:val="24"/>
        </w:rPr>
        <w:t>.1 试验室内精密度</w:t>
      </w:r>
      <w:bookmarkEnd w:id="95"/>
      <w:r>
        <w:rPr>
          <w:rFonts w:hint="eastAsia" w:ascii="宋体" w:hAnsi="宋体"/>
          <w:sz w:val="24"/>
          <w:szCs w:val="24"/>
          <w:lang w:eastAsia="zh-CN"/>
        </w:rPr>
        <w:t>（</w:t>
      </w:r>
      <w:r>
        <w:rPr>
          <w:rFonts w:hint="eastAsia" w:ascii="宋体" w:hAnsi="宋体"/>
          <w:sz w:val="24"/>
          <w:szCs w:val="24"/>
          <w:lang w:val="en-US" w:eastAsia="zh-CN"/>
        </w:rPr>
        <w:t>方法重现性</w:t>
      </w:r>
      <w:r>
        <w:rPr>
          <w:rFonts w:hint="eastAsia" w:ascii="宋体" w:hAnsi="宋体"/>
          <w:sz w:val="24"/>
          <w:szCs w:val="24"/>
          <w:lang w:eastAsia="zh-CN"/>
        </w:rPr>
        <w:t>）</w:t>
      </w:r>
    </w:p>
    <w:p>
      <w:pPr>
        <w:spacing w:line="520" w:lineRule="exact"/>
        <w:ind w:firstLine="470" w:firstLineChars="196"/>
        <w:rPr>
          <w:rFonts w:hint="eastAsia"/>
          <w:sz w:val="24"/>
          <w:szCs w:val="24"/>
          <w:lang w:val="en-US" w:eastAsia="zh-CN"/>
        </w:rPr>
      </w:pPr>
      <w:r>
        <w:rPr>
          <w:rFonts w:hint="eastAsia"/>
          <w:sz w:val="24"/>
          <w:szCs w:val="24"/>
          <w:lang w:val="en-US" w:eastAsia="zh-CN"/>
        </w:rPr>
        <w:t>（1）在本单位由同一操作者使用相同的前处理方法和设备，在短时间内对相同乳油样本中的农药成份含量进行了重复测定10次。选择敌杀死乳油样本，做添加回收实验，结果见表2</w:t>
      </w:r>
    </w:p>
    <w:p>
      <w:pPr>
        <w:ind w:firstLine="422" w:firstLineChars="200"/>
        <w:jc w:val="center"/>
        <w:rPr>
          <w:b/>
          <w:bCs/>
        </w:rPr>
      </w:pPr>
      <w:r>
        <w:rPr>
          <w:b/>
          <w:bCs/>
        </w:rPr>
        <w:t>表2精密度实验结果</w:t>
      </w:r>
    </w:p>
    <w:tbl>
      <w:tblPr>
        <w:tblStyle w:val="10"/>
        <w:tblW w:w="8620" w:type="dxa"/>
        <w:jc w:val="center"/>
        <w:tblInd w:w="453" w:type="dxa"/>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8"/>
        <w:gridCol w:w="629"/>
        <w:gridCol w:w="612"/>
        <w:gridCol w:w="619"/>
        <w:gridCol w:w="598"/>
        <w:gridCol w:w="642"/>
        <w:gridCol w:w="619"/>
        <w:gridCol w:w="619"/>
        <w:gridCol w:w="619"/>
        <w:gridCol w:w="620"/>
        <w:gridCol w:w="600"/>
        <w:gridCol w:w="804"/>
        <w:gridCol w:w="821"/>
      </w:tblGrid>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jc w:val="center"/>
        </w:trPr>
        <w:tc>
          <w:tcPr>
            <w:tcW w:w="818" w:type="dxa"/>
            <w:vMerge w:val="restart"/>
            <w:tcBorders>
              <w:top w:val="single" w:color="auto" w:sz="12" w:space="0"/>
              <w:bottom w:val="single" w:color="008000" w:sz="6" w:space="0"/>
            </w:tcBorders>
            <w:noWrap w:val="0"/>
            <w:vAlign w:val="center"/>
          </w:tcPr>
          <w:p>
            <w:pPr>
              <w:spacing w:line="240" w:lineRule="exact"/>
              <w:jc w:val="center"/>
              <w:rPr>
                <w:sz w:val="15"/>
                <w:szCs w:val="15"/>
              </w:rPr>
            </w:pPr>
            <w:bookmarkStart w:id="96" w:name="OLE_LINK4" w:colFirst="1" w:colLast="11"/>
            <w:bookmarkStart w:id="97" w:name="OLE_LINK5" w:colFirst="1" w:colLast="11"/>
            <w:bookmarkStart w:id="98" w:name="_Hlk172618633"/>
          </w:p>
        </w:tc>
        <w:tc>
          <w:tcPr>
            <w:tcW w:w="6177" w:type="dxa"/>
            <w:gridSpan w:val="10"/>
            <w:tcBorders>
              <w:top w:val="single" w:color="auto" w:sz="12" w:space="0"/>
              <w:bottom w:val="nil"/>
              <w:right w:val="nil"/>
            </w:tcBorders>
            <w:noWrap w:val="0"/>
            <w:vAlign w:val="center"/>
          </w:tcPr>
          <w:p>
            <w:pPr>
              <w:spacing w:line="240" w:lineRule="exact"/>
              <w:jc w:val="center"/>
              <w:rPr>
                <w:sz w:val="15"/>
                <w:szCs w:val="15"/>
              </w:rPr>
            </w:pPr>
            <w:r>
              <w:rPr>
                <w:bCs/>
                <w:sz w:val="15"/>
                <w:szCs w:val="15"/>
              </w:rPr>
              <w:t>10次连续测定结果（%）</w:t>
            </w:r>
          </w:p>
        </w:tc>
        <w:tc>
          <w:tcPr>
            <w:tcW w:w="804" w:type="dxa"/>
            <w:vMerge w:val="restart"/>
            <w:tcBorders>
              <w:top w:val="single" w:color="auto" w:sz="12" w:space="0"/>
              <w:left w:val="nil"/>
              <w:bottom w:val="single" w:color="008000" w:sz="6" w:space="0"/>
              <w:right w:val="nil"/>
            </w:tcBorders>
            <w:noWrap w:val="0"/>
            <w:vAlign w:val="center"/>
          </w:tcPr>
          <w:p>
            <w:pPr>
              <w:spacing w:line="240" w:lineRule="exact"/>
              <w:jc w:val="center"/>
              <w:rPr>
                <w:rFonts w:hint="eastAsia"/>
                <w:bCs/>
                <w:sz w:val="15"/>
                <w:szCs w:val="15"/>
              </w:rPr>
            </w:pPr>
            <w:r>
              <w:rPr>
                <w:bCs/>
                <w:sz w:val="15"/>
                <w:szCs w:val="15"/>
              </w:rPr>
              <w:t>平均值</w:t>
            </w:r>
            <w:r>
              <w:rPr>
                <w:rFonts w:hint="eastAsia"/>
                <w:bCs/>
                <w:sz w:val="15"/>
                <w:szCs w:val="15"/>
              </w:rPr>
              <w:t>%</w:t>
            </w:r>
          </w:p>
        </w:tc>
        <w:tc>
          <w:tcPr>
            <w:tcW w:w="821" w:type="dxa"/>
            <w:vMerge w:val="restart"/>
            <w:tcBorders>
              <w:top w:val="single" w:color="auto" w:sz="12" w:space="0"/>
              <w:left w:val="nil"/>
              <w:bottom w:val="single" w:color="008000" w:sz="6" w:space="0"/>
              <w:right w:val="nil"/>
            </w:tcBorders>
            <w:noWrap w:val="0"/>
            <w:vAlign w:val="center"/>
          </w:tcPr>
          <w:p>
            <w:pPr>
              <w:spacing w:line="240" w:lineRule="exact"/>
              <w:jc w:val="center"/>
              <w:rPr>
                <w:bCs/>
                <w:sz w:val="15"/>
                <w:szCs w:val="15"/>
              </w:rPr>
            </w:pPr>
            <w:r>
              <w:rPr>
                <w:bCs/>
                <w:sz w:val="15"/>
                <w:szCs w:val="15"/>
              </w:rPr>
              <w:t>RSD%</w:t>
            </w:r>
          </w:p>
        </w:tc>
      </w:tr>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56" w:hRule="atLeast"/>
          <w:jc w:val="center"/>
        </w:trPr>
        <w:tc>
          <w:tcPr>
            <w:tcW w:w="818" w:type="dxa"/>
            <w:vMerge w:val="continue"/>
            <w:noWrap w:val="0"/>
            <w:vAlign w:val="center"/>
          </w:tcPr>
          <w:p>
            <w:pPr>
              <w:spacing w:line="240" w:lineRule="exact"/>
              <w:jc w:val="center"/>
              <w:rPr>
                <w:sz w:val="15"/>
                <w:szCs w:val="15"/>
              </w:rPr>
            </w:pPr>
          </w:p>
        </w:tc>
        <w:tc>
          <w:tcPr>
            <w:tcW w:w="629" w:type="dxa"/>
            <w:tcBorders>
              <w:top w:val="nil"/>
              <w:bottom w:val="single" w:color="auto" w:sz="8" w:space="0"/>
            </w:tcBorders>
            <w:noWrap w:val="0"/>
            <w:vAlign w:val="center"/>
          </w:tcPr>
          <w:p>
            <w:pPr>
              <w:spacing w:line="240" w:lineRule="exact"/>
              <w:jc w:val="center"/>
              <w:rPr>
                <w:sz w:val="15"/>
                <w:szCs w:val="15"/>
              </w:rPr>
            </w:pPr>
            <w:r>
              <w:rPr>
                <w:sz w:val="15"/>
                <w:szCs w:val="15"/>
              </w:rPr>
              <w:t>1</w:t>
            </w:r>
          </w:p>
        </w:tc>
        <w:tc>
          <w:tcPr>
            <w:tcW w:w="612" w:type="dxa"/>
            <w:tcBorders>
              <w:top w:val="nil"/>
              <w:bottom w:val="single" w:color="auto" w:sz="8" w:space="0"/>
            </w:tcBorders>
            <w:noWrap w:val="0"/>
            <w:vAlign w:val="center"/>
          </w:tcPr>
          <w:p>
            <w:pPr>
              <w:spacing w:line="240" w:lineRule="exact"/>
              <w:jc w:val="center"/>
              <w:rPr>
                <w:sz w:val="15"/>
                <w:szCs w:val="15"/>
              </w:rPr>
            </w:pPr>
            <w:r>
              <w:rPr>
                <w:sz w:val="15"/>
                <w:szCs w:val="15"/>
              </w:rPr>
              <w:t>2</w:t>
            </w:r>
          </w:p>
        </w:tc>
        <w:tc>
          <w:tcPr>
            <w:tcW w:w="619" w:type="dxa"/>
            <w:tcBorders>
              <w:top w:val="nil"/>
              <w:bottom w:val="single" w:color="auto" w:sz="8" w:space="0"/>
            </w:tcBorders>
            <w:noWrap w:val="0"/>
            <w:vAlign w:val="center"/>
          </w:tcPr>
          <w:p>
            <w:pPr>
              <w:spacing w:line="240" w:lineRule="exact"/>
              <w:jc w:val="center"/>
              <w:rPr>
                <w:sz w:val="15"/>
                <w:szCs w:val="15"/>
              </w:rPr>
            </w:pPr>
            <w:r>
              <w:rPr>
                <w:sz w:val="15"/>
                <w:szCs w:val="15"/>
              </w:rPr>
              <w:t>3</w:t>
            </w:r>
          </w:p>
        </w:tc>
        <w:tc>
          <w:tcPr>
            <w:tcW w:w="598" w:type="dxa"/>
            <w:tcBorders>
              <w:top w:val="nil"/>
              <w:bottom w:val="single" w:color="auto" w:sz="8" w:space="0"/>
            </w:tcBorders>
            <w:noWrap w:val="0"/>
            <w:vAlign w:val="center"/>
          </w:tcPr>
          <w:p>
            <w:pPr>
              <w:spacing w:line="240" w:lineRule="exact"/>
              <w:jc w:val="center"/>
              <w:rPr>
                <w:sz w:val="15"/>
                <w:szCs w:val="15"/>
              </w:rPr>
            </w:pPr>
            <w:r>
              <w:rPr>
                <w:sz w:val="15"/>
                <w:szCs w:val="15"/>
              </w:rPr>
              <w:t>4</w:t>
            </w:r>
          </w:p>
        </w:tc>
        <w:tc>
          <w:tcPr>
            <w:tcW w:w="642" w:type="dxa"/>
            <w:tcBorders>
              <w:top w:val="nil"/>
              <w:bottom w:val="single" w:color="auto" w:sz="8" w:space="0"/>
            </w:tcBorders>
            <w:noWrap w:val="0"/>
            <w:vAlign w:val="center"/>
          </w:tcPr>
          <w:p>
            <w:pPr>
              <w:spacing w:line="240" w:lineRule="exact"/>
              <w:jc w:val="center"/>
              <w:rPr>
                <w:sz w:val="15"/>
                <w:szCs w:val="15"/>
              </w:rPr>
            </w:pPr>
            <w:r>
              <w:rPr>
                <w:sz w:val="15"/>
                <w:szCs w:val="15"/>
              </w:rPr>
              <w:t>5</w:t>
            </w:r>
          </w:p>
        </w:tc>
        <w:tc>
          <w:tcPr>
            <w:tcW w:w="619" w:type="dxa"/>
            <w:tcBorders>
              <w:top w:val="nil"/>
              <w:bottom w:val="single" w:color="auto" w:sz="8" w:space="0"/>
            </w:tcBorders>
            <w:noWrap w:val="0"/>
            <w:vAlign w:val="center"/>
          </w:tcPr>
          <w:p>
            <w:pPr>
              <w:spacing w:line="240" w:lineRule="exact"/>
              <w:jc w:val="center"/>
              <w:rPr>
                <w:sz w:val="15"/>
                <w:szCs w:val="15"/>
              </w:rPr>
            </w:pPr>
            <w:r>
              <w:rPr>
                <w:sz w:val="15"/>
                <w:szCs w:val="15"/>
              </w:rPr>
              <w:t>6</w:t>
            </w:r>
          </w:p>
        </w:tc>
        <w:tc>
          <w:tcPr>
            <w:tcW w:w="619" w:type="dxa"/>
            <w:tcBorders>
              <w:top w:val="nil"/>
              <w:bottom w:val="single" w:color="auto" w:sz="8" w:space="0"/>
            </w:tcBorders>
            <w:noWrap w:val="0"/>
            <w:vAlign w:val="center"/>
          </w:tcPr>
          <w:p>
            <w:pPr>
              <w:spacing w:line="240" w:lineRule="exact"/>
              <w:jc w:val="center"/>
              <w:rPr>
                <w:sz w:val="15"/>
                <w:szCs w:val="15"/>
              </w:rPr>
            </w:pPr>
            <w:r>
              <w:rPr>
                <w:sz w:val="15"/>
                <w:szCs w:val="15"/>
              </w:rPr>
              <w:t>7</w:t>
            </w:r>
          </w:p>
        </w:tc>
        <w:tc>
          <w:tcPr>
            <w:tcW w:w="619" w:type="dxa"/>
            <w:tcBorders>
              <w:top w:val="nil"/>
              <w:bottom w:val="single" w:color="auto" w:sz="8" w:space="0"/>
            </w:tcBorders>
            <w:noWrap w:val="0"/>
            <w:vAlign w:val="center"/>
          </w:tcPr>
          <w:p>
            <w:pPr>
              <w:spacing w:line="240" w:lineRule="exact"/>
              <w:jc w:val="center"/>
              <w:rPr>
                <w:sz w:val="15"/>
                <w:szCs w:val="15"/>
              </w:rPr>
            </w:pPr>
            <w:r>
              <w:rPr>
                <w:sz w:val="15"/>
                <w:szCs w:val="15"/>
              </w:rPr>
              <w:t>8</w:t>
            </w:r>
          </w:p>
        </w:tc>
        <w:tc>
          <w:tcPr>
            <w:tcW w:w="620" w:type="dxa"/>
            <w:tcBorders>
              <w:top w:val="nil"/>
              <w:bottom w:val="single" w:color="auto" w:sz="8" w:space="0"/>
            </w:tcBorders>
            <w:noWrap w:val="0"/>
            <w:vAlign w:val="center"/>
          </w:tcPr>
          <w:p>
            <w:pPr>
              <w:spacing w:line="240" w:lineRule="exact"/>
              <w:jc w:val="center"/>
              <w:rPr>
                <w:sz w:val="15"/>
                <w:szCs w:val="15"/>
              </w:rPr>
            </w:pPr>
            <w:r>
              <w:rPr>
                <w:sz w:val="15"/>
                <w:szCs w:val="15"/>
              </w:rPr>
              <w:t>9</w:t>
            </w:r>
          </w:p>
        </w:tc>
        <w:tc>
          <w:tcPr>
            <w:tcW w:w="600" w:type="dxa"/>
            <w:tcBorders>
              <w:top w:val="nil"/>
              <w:bottom w:val="single" w:color="auto" w:sz="8" w:space="0"/>
            </w:tcBorders>
            <w:noWrap w:val="0"/>
            <w:vAlign w:val="center"/>
          </w:tcPr>
          <w:p>
            <w:pPr>
              <w:spacing w:line="240" w:lineRule="exact"/>
              <w:jc w:val="center"/>
              <w:rPr>
                <w:sz w:val="15"/>
                <w:szCs w:val="15"/>
              </w:rPr>
            </w:pPr>
            <w:r>
              <w:rPr>
                <w:sz w:val="15"/>
                <w:szCs w:val="15"/>
              </w:rPr>
              <w:t>10</w:t>
            </w:r>
          </w:p>
        </w:tc>
        <w:tc>
          <w:tcPr>
            <w:tcW w:w="804" w:type="dxa"/>
            <w:vMerge w:val="continue"/>
            <w:tcBorders>
              <w:top w:val="single" w:color="auto" w:sz="4" w:space="0"/>
              <w:bottom w:val="single" w:color="auto" w:sz="8" w:space="0"/>
              <w:right w:val="nil"/>
            </w:tcBorders>
            <w:noWrap w:val="0"/>
            <w:vAlign w:val="center"/>
          </w:tcPr>
          <w:p>
            <w:pPr>
              <w:spacing w:line="240" w:lineRule="exact"/>
              <w:jc w:val="center"/>
              <w:rPr>
                <w:sz w:val="15"/>
                <w:szCs w:val="15"/>
              </w:rPr>
            </w:pPr>
          </w:p>
        </w:tc>
        <w:tc>
          <w:tcPr>
            <w:tcW w:w="821" w:type="dxa"/>
            <w:vMerge w:val="continue"/>
            <w:tcBorders>
              <w:top w:val="single" w:color="auto" w:sz="4" w:space="0"/>
              <w:left w:val="nil"/>
              <w:bottom w:val="single" w:color="auto" w:sz="8" w:space="0"/>
              <w:right w:val="nil"/>
            </w:tcBorders>
            <w:noWrap w:val="0"/>
            <w:vAlign w:val="center"/>
          </w:tcPr>
          <w:p>
            <w:pPr>
              <w:spacing w:line="240" w:lineRule="exact"/>
              <w:jc w:val="center"/>
              <w:rPr>
                <w:sz w:val="15"/>
                <w:szCs w:val="15"/>
              </w:rPr>
            </w:pPr>
          </w:p>
        </w:tc>
      </w:tr>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5" w:hRule="atLeast"/>
          <w:jc w:val="center"/>
        </w:trPr>
        <w:tc>
          <w:tcPr>
            <w:tcW w:w="818" w:type="dxa"/>
            <w:noWrap w:val="0"/>
            <w:vAlign w:val="center"/>
          </w:tcPr>
          <w:p>
            <w:pPr>
              <w:spacing w:line="240" w:lineRule="exact"/>
              <w:jc w:val="center"/>
              <w:rPr>
                <w:sz w:val="15"/>
                <w:szCs w:val="15"/>
              </w:rPr>
            </w:pPr>
            <w:r>
              <w:rPr>
                <w:sz w:val="15"/>
                <w:szCs w:val="15"/>
              </w:rPr>
              <w:t>甲胺磷</w:t>
            </w:r>
          </w:p>
        </w:tc>
        <w:tc>
          <w:tcPr>
            <w:tcW w:w="629" w:type="dxa"/>
            <w:tcBorders>
              <w:top w:val="single" w:color="auto" w:sz="8" w:space="0"/>
              <w:bottom w:val="nil"/>
            </w:tcBorders>
            <w:noWrap w:val="0"/>
            <w:vAlign w:val="center"/>
          </w:tcPr>
          <w:p>
            <w:pPr>
              <w:spacing w:line="240" w:lineRule="exact"/>
              <w:jc w:val="center"/>
              <w:rPr>
                <w:sz w:val="15"/>
                <w:szCs w:val="15"/>
              </w:rPr>
            </w:pPr>
            <w:r>
              <w:rPr>
                <w:sz w:val="15"/>
                <w:szCs w:val="15"/>
              </w:rPr>
              <w:t xml:space="preserve">0.808 </w:t>
            </w:r>
          </w:p>
        </w:tc>
        <w:tc>
          <w:tcPr>
            <w:tcW w:w="612" w:type="dxa"/>
            <w:tcBorders>
              <w:top w:val="single" w:color="auto" w:sz="8" w:space="0"/>
              <w:bottom w:val="nil"/>
            </w:tcBorders>
            <w:noWrap w:val="0"/>
            <w:vAlign w:val="center"/>
          </w:tcPr>
          <w:p>
            <w:pPr>
              <w:spacing w:line="240" w:lineRule="exact"/>
              <w:jc w:val="center"/>
              <w:rPr>
                <w:sz w:val="15"/>
                <w:szCs w:val="15"/>
              </w:rPr>
            </w:pPr>
            <w:r>
              <w:rPr>
                <w:sz w:val="15"/>
                <w:szCs w:val="15"/>
              </w:rPr>
              <w:t xml:space="preserve">0.821 </w:t>
            </w:r>
          </w:p>
        </w:tc>
        <w:tc>
          <w:tcPr>
            <w:tcW w:w="619" w:type="dxa"/>
            <w:tcBorders>
              <w:top w:val="single" w:color="auto" w:sz="8" w:space="0"/>
              <w:bottom w:val="nil"/>
            </w:tcBorders>
            <w:noWrap w:val="0"/>
            <w:vAlign w:val="center"/>
          </w:tcPr>
          <w:p>
            <w:pPr>
              <w:spacing w:line="240" w:lineRule="exact"/>
              <w:jc w:val="center"/>
              <w:rPr>
                <w:sz w:val="15"/>
                <w:szCs w:val="15"/>
              </w:rPr>
            </w:pPr>
            <w:r>
              <w:rPr>
                <w:sz w:val="15"/>
                <w:szCs w:val="15"/>
              </w:rPr>
              <w:t xml:space="preserve">0.826 </w:t>
            </w:r>
          </w:p>
        </w:tc>
        <w:tc>
          <w:tcPr>
            <w:tcW w:w="598" w:type="dxa"/>
            <w:tcBorders>
              <w:top w:val="single" w:color="auto" w:sz="8" w:space="0"/>
              <w:bottom w:val="nil"/>
            </w:tcBorders>
            <w:noWrap w:val="0"/>
            <w:vAlign w:val="center"/>
          </w:tcPr>
          <w:p>
            <w:pPr>
              <w:spacing w:line="240" w:lineRule="exact"/>
              <w:jc w:val="center"/>
              <w:rPr>
                <w:sz w:val="15"/>
                <w:szCs w:val="15"/>
              </w:rPr>
            </w:pPr>
            <w:r>
              <w:rPr>
                <w:sz w:val="15"/>
                <w:szCs w:val="15"/>
              </w:rPr>
              <w:t xml:space="preserve">0.829 </w:t>
            </w:r>
          </w:p>
        </w:tc>
        <w:tc>
          <w:tcPr>
            <w:tcW w:w="642" w:type="dxa"/>
            <w:tcBorders>
              <w:top w:val="single" w:color="auto" w:sz="8" w:space="0"/>
              <w:bottom w:val="nil"/>
            </w:tcBorders>
            <w:noWrap w:val="0"/>
            <w:vAlign w:val="center"/>
          </w:tcPr>
          <w:p>
            <w:pPr>
              <w:spacing w:line="240" w:lineRule="exact"/>
              <w:jc w:val="center"/>
              <w:rPr>
                <w:sz w:val="15"/>
                <w:szCs w:val="15"/>
              </w:rPr>
            </w:pPr>
            <w:r>
              <w:rPr>
                <w:sz w:val="15"/>
                <w:szCs w:val="15"/>
              </w:rPr>
              <w:t xml:space="preserve">0.832 </w:t>
            </w:r>
          </w:p>
        </w:tc>
        <w:tc>
          <w:tcPr>
            <w:tcW w:w="619" w:type="dxa"/>
            <w:tcBorders>
              <w:top w:val="single" w:color="auto" w:sz="8" w:space="0"/>
              <w:bottom w:val="nil"/>
            </w:tcBorders>
            <w:noWrap w:val="0"/>
            <w:vAlign w:val="center"/>
          </w:tcPr>
          <w:p>
            <w:pPr>
              <w:spacing w:line="240" w:lineRule="exact"/>
              <w:jc w:val="center"/>
              <w:rPr>
                <w:sz w:val="15"/>
                <w:szCs w:val="15"/>
              </w:rPr>
            </w:pPr>
            <w:r>
              <w:rPr>
                <w:sz w:val="15"/>
                <w:szCs w:val="15"/>
              </w:rPr>
              <w:t xml:space="preserve">0.832 </w:t>
            </w:r>
          </w:p>
        </w:tc>
        <w:tc>
          <w:tcPr>
            <w:tcW w:w="619" w:type="dxa"/>
            <w:tcBorders>
              <w:top w:val="single" w:color="auto" w:sz="8" w:space="0"/>
              <w:bottom w:val="nil"/>
            </w:tcBorders>
            <w:noWrap w:val="0"/>
            <w:vAlign w:val="center"/>
          </w:tcPr>
          <w:p>
            <w:pPr>
              <w:spacing w:line="240" w:lineRule="exact"/>
              <w:jc w:val="center"/>
              <w:rPr>
                <w:sz w:val="15"/>
                <w:szCs w:val="15"/>
              </w:rPr>
            </w:pPr>
            <w:r>
              <w:rPr>
                <w:sz w:val="15"/>
                <w:szCs w:val="15"/>
              </w:rPr>
              <w:t xml:space="preserve">0.848 </w:t>
            </w:r>
          </w:p>
        </w:tc>
        <w:tc>
          <w:tcPr>
            <w:tcW w:w="619" w:type="dxa"/>
            <w:tcBorders>
              <w:top w:val="single" w:color="auto" w:sz="8" w:space="0"/>
              <w:bottom w:val="nil"/>
            </w:tcBorders>
            <w:noWrap w:val="0"/>
            <w:vAlign w:val="center"/>
          </w:tcPr>
          <w:p>
            <w:pPr>
              <w:spacing w:line="240" w:lineRule="exact"/>
              <w:jc w:val="center"/>
              <w:rPr>
                <w:sz w:val="15"/>
                <w:szCs w:val="15"/>
              </w:rPr>
            </w:pPr>
            <w:r>
              <w:rPr>
                <w:sz w:val="15"/>
                <w:szCs w:val="15"/>
              </w:rPr>
              <w:t xml:space="preserve">0.834 </w:t>
            </w:r>
          </w:p>
        </w:tc>
        <w:tc>
          <w:tcPr>
            <w:tcW w:w="620" w:type="dxa"/>
            <w:tcBorders>
              <w:top w:val="single" w:color="auto" w:sz="8" w:space="0"/>
              <w:bottom w:val="nil"/>
            </w:tcBorders>
            <w:noWrap w:val="0"/>
            <w:vAlign w:val="center"/>
          </w:tcPr>
          <w:p>
            <w:pPr>
              <w:spacing w:line="240" w:lineRule="exact"/>
              <w:jc w:val="center"/>
              <w:rPr>
                <w:sz w:val="15"/>
                <w:szCs w:val="15"/>
              </w:rPr>
            </w:pPr>
            <w:r>
              <w:rPr>
                <w:sz w:val="15"/>
                <w:szCs w:val="15"/>
              </w:rPr>
              <w:t xml:space="preserve">0.835 </w:t>
            </w:r>
          </w:p>
        </w:tc>
        <w:tc>
          <w:tcPr>
            <w:tcW w:w="600" w:type="dxa"/>
            <w:tcBorders>
              <w:top w:val="single" w:color="auto" w:sz="8" w:space="0"/>
              <w:bottom w:val="nil"/>
            </w:tcBorders>
            <w:noWrap w:val="0"/>
            <w:vAlign w:val="center"/>
          </w:tcPr>
          <w:p>
            <w:pPr>
              <w:spacing w:line="240" w:lineRule="exact"/>
              <w:jc w:val="center"/>
              <w:rPr>
                <w:sz w:val="15"/>
                <w:szCs w:val="15"/>
              </w:rPr>
            </w:pPr>
            <w:r>
              <w:rPr>
                <w:sz w:val="15"/>
                <w:szCs w:val="15"/>
              </w:rPr>
              <w:t xml:space="preserve">0.835 </w:t>
            </w:r>
          </w:p>
        </w:tc>
        <w:tc>
          <w:tcPr>
            <w:tcW w:w="804" w:type="dxa"/>
            <w:tcBorders>
              <w:top w:val="single" w:color="auto" w:sz="8" w:space="0"/>
              <w:bottom w:val="nil"/>
            </w:tcBorders>
            <w:noWrap w:val="0"/>
            <w:vAlign w:val="center"/>
          </w:tcPr>
          <w:p>
            <w:pPr>
              <w:spacing w:line="240" w:lineRule="exact"/>
              <w:jc w:val="center"/>
              <w:rPr>
                <w:sz w:val="15"/>
                <w:szCs w:val="15"/>
              </w:rPr>
            </w:pPr>
            <w:r>
              <w:rPr>
                <w:sz w:val="15"/>
                <w:szCs w:val="15"/>
              </w:rPr>
              <w:t>0.83</w:t>
            </w:r>
          </w:p>
        </w:tc>
        <w:tc>
          <w:tcPr>
            <w:tcW w:w="821" w:type="dxa"/>
            <w:tcBorders>
              <w:top w:val="single" w:color="auto" w:sz="8" w:space="0"/>
              <w:bottom w:val="nil"/>
              <w:right w:val="nil"/>
            </w:tcBorders>
            <w:noWrap w:val="0"/>
            <w:vAlign w:val="center"/>
          </w:tcPr>
          <w:p>
            <w:pPr>
              <w:spacing w:line="240" w:lineRule="exact"/>
              <w:jc w:val="center"/>
              <w:rPr>
                <w:sz w:val="15"/>
                <w:szCs w:val="15"/>
              </w:rPr>
            </w:pPr>
            <w:r>
              <w:rPr>
                <w:sz w:val="15"/>
                <w:szCs w:val="15"/>
              </w:rPr>
              <w:t xml:space="preserve">1.26 </w:t>
            </w:r>
          </w:p>
        </w:tc>
      </w:tr>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6" w:hRule="atLeast"/>
          <w:jc w:val="center"/>
        </w:trPr>
        <w:tc>
          <w:tcPr>
            <w:tcW w:w="818" w:type="dxa"/>
            <w:noWrap w:val="0"/>
            <w:vAlign w:val="center"/>
          </w:tcPr>
          <w:p>
            <w:pPr>
              <w:spacing w:line="240" w:lineRule="exact"/>
              <w:jc w:val="center"/>
              <w:rPr>
                <w:sz w:val="15"/>
                <w:szCs w:val="15"/>
              </w:rPr>
            </w:pPr>
            <w:r>
              <w:rPr>
                <w:sz w:val="15"/>
                <w:szCs w:val="15"/>
              </w:rPr>
              <w:t>甲拌磷</w:t>
            </w:r>
          </w:p>
        </w:tc>
        <w:tc>
          <w:tcPr>
            <w:tcW w:w="629" w:type="dxa"/>
            <w:tcBorders>
              <w:top w:val="nil"/>
            </w:tcBorders>
            <w:noWrap w:val="0"/>
            <w:vAlign w:val="center"/>
          </w:tcPr>
          <w:p>
            <w:pPr>
              <w:spacing w:line="240" w:lineRule="exact"/>
              <w:jc w:val="center"/>
              <w:rPr>
                <w:sz w:val="15"/>
                <w:szCs w:val="15"/>
              </w:rPr>
            </w:pPr>
            <w:r>
              <w:rPr>
                <w:sz w:val="15"/>
                <w:szCs w:val="15"/>
              </w:rPr>
              <w:t xml:space="preserve">0.618 </w:t>
            </w:r>
          </w:p>
        </w:tc>
        <w:tc>
          <w:tcPr>
            <w:tcW w:w="612" w:type="dxa"/>
            <w:tcBorders>
              <w:top w:val="nil"/>
            </w:tcBorders>
            <w:noWrap w:val="0"/>
            <w:vAlign w:val="center"/>
          </w:tcPr>
          <w:p>
            <w:pPr>
              <w:spacing w:line="240" w:lineRule="exact"/>
              <w:jc w:val="center"/>
              <w:rPr>
                <w:sz w:val="15"/>
                <w:szCs w:val="15"/>
              </w:rPr>
            </w:pPr>
            <w:r>
              <w:rPr>
                <w:sz w:val="15"/>
                <w:szCs w:val="15"/>
              </w:rPr>
              <w:t xml:space="preserve">0.639 </w:t>
            </w:r>
          </w:p>
        </w:tc>
        <w:tc>
          <w:tcPr>
            <w:tcW w:w="619" w:type="dxa"/>
            <w:tcBorders>
              <w:top w:val="nil"/>
            </w:tcBorders>
            <w:noWrap w:val="0"/>
            <w:vAlign w:val="center"/>
          </w:tcPr>
          <w:p>
            <w:pPr>
              <w:spacing w:line="240" w:lineRule="exact"/>
              <w:jc w:val="center"/>
              <w:rPr>
                <w:sz w:val="15"/>
                <w:szCs w:val="15"/>
              </w:rPr>
            </w:pPr>
            <w:r>
              <w:rPr>
                <w:sz w:val="15"/>
                <w:szCs w:val="15"/>
              </w:rPr>
              <w:t xml:space="preserve">0.635 </w:t>
            </w:r>
          </w:p>
        </w:tc>
        <w:tc>
          <w:tcPr>
            <w:tcW w:w="598" w:type="dxa"/>
            <w:tcBorders>
              <w:top w:val="nil"/>
            </w:tcBorders>
            <w:noWrap w:val="0"/>
            <w:vAlign w:val="center"/>
          </w:tcPr>
          <w:p>
            <w:pPr>
              <w:spacing w:line="240" w:lineRule="exact"/>
              <w:jc w:val="center"/>
              <w:rPr>
                <w:sz w:val="15"/>
                <w:szCs w:val="15"/>
              </w:rPr>
            </w:pPr>
            <w:r>
              <w:rPr>
                <w:sz w:val="15"/>
                <w:szCs w:val="15"/>
              </w:rPr>
              <w:t xml:space="preserve">0.622 </w:t>
            </w:r>
          </w:p>
        </w:tc>
        <w:tc>
          <w:tcPr>
            <w:tcW w:w="642" w:type="dxa"/>
            <w:tcBorders>
              <w:top w:val="nil"/>
            </w:tcBorders>
            <w:noWrap w:val="0"/>
            <w:vAlign w:val="center"/>
          </w:tcPr>
          <w:p>
            <w:pPr>
              <w:spacing w:line="240" w:lineRule="exact"/>
              <w:jc w:val="center"/>
              <w:rPr>
                <w:sz w:val="15"/>
                <w:szCs w:val="15"/>
              </w:rPr>
            </w:pPr>
            <w:r>
              <w:rPr>
                <w:sz w:val="15"/>
                <w:szCs w:val="15"/>
              </w:rPr>
              <w:t xml:space="preserve">0.631 </w:t>
            </w:r>
          </w:p>
        </w:tc>
        <w:tc>
          <w:tcPr>
            <w:tcW w:w="619" w:type="dxa"/>
            <w:tcBorders>
              <w:top w:val="nil"/>
            </w:tcBorders>
            <w:noWrap w:val="0"/>
            <w:vAlign w:val="center"/>
          </w:tcPr>
          <w:p>
            <w:pPr>
              <w:spacing w:line="240" w:lineRule="exact"/>
              <w:jc w:val="center"/>
              <w:rPr>
                <w:sz w:val="15"/>
                <w:szCs w:val="15"/>
              </w:rPr>
            </w:pPr>
            <w:r>
              <w:rPr>
                <w:sz w:val="15"/>
                <w:szCs w:val="15"/>
              </w:rPr>
              <w:t xml:space="preserve">0.643 </w:t>
            </w:r>
          </w:p>
        </w:tc>
        <w:tc>
          <w:tcPr>
            <w:tcW w:w="619" w:type="dxa"/>
            <w:tcBorders>
              <w:top w:val="nil"/>
            </w:tcBorders>
            <w:noWrap w:val="0"/>
            <w:vAlign w:val="center"/>
          </w:tcPr>
          <w:p>
            <w:pPr>
              <w:spacing w:line="240" w:lineRule="exact"/>
              <w:jc w:val="center"/>
              <w:rPr>
                <w:sz w:val="15"/>
                <w:szCs w:val="15"/>
              </w:rPr>
            </w:pPr>
            <w:r>
              <w:rPr>
                <w:sz w:val="15"/>
                <w:szCs w:val="15"/>
              </w:rPr>
              <w:t xml:space="preserve">0.617 </w:t>
            </w:r>
          </w:p>
        </w:tc>
        <w:tc>
          <w:tcPr>
            <w:tcW w:w="619" w:type="dxa"/>
            <w:tcBorders>
              <w:top w:val="nil"/>
            </w:tcBorders>
            <w:noWrap w:val="0"/>
            <w:vAlign w:val="center"/>
          </w:tcPr>
          <w:p>
            <w:pPr>
              <w:spacing w:line="240" w:lineRule="exact"/>
              <w:jc w:val="center"/>
              <w:rPr>
                <w:sz w:val="15"/>
                <w:szCs w:val="15"/>
              </w:rPr>
            </w:pPr>
            <w:r>
              <w:rPr>
                <w:sz w:val="15"/>
                <w:szCs w:val="15"/>
              </w:rPr>
              <w:t xml:space="preserve">0.625 </w:t>
            </w:r>
          </w:p>
        </w:tc>
        <w:tc>
          <w:tcPr>
            <w:tcW w:w="620" w:type="dxa"/>
            <w:tcBorders>
              <w:top w:val="nil"/>
            </w:tcBorders>
            <w:noWrap w:val="0"/>
            <w:vAlign w:val="center"/>
          </w:tcPr>
          <w:p>
            <w:pPr>
              <w:spacing w:line="240" w:lineRule="exact"/>
              <w:jc w:val="center"/>
              <w:rPr>
                <w:sz w:val="15"/>
                <w:szCs w:val="15"/>
              </w:rPr>
            </w:pPr>
            <w:r>
              <w:rPr>
                <w:sz w:val="15"/>
                <w:szCs w:val="15"/>
              </w:rPr>
              <w:t xml:space="preserve">0.636 </w:t>
            </w:r>
          </w:p>
        </w:tc>
        <w:tc>
          <w:tcPr>
            <w:tcW w:w="600" w:type="dxa"/>
            <w:tcBorders>
              <w:top w:val="nil"/>
            </w:tcBorders>
            <w:noWrap w:val="0"/>
            <w:vAlign w:val="center"/>
          </w:tcPr>
          <w:p>
            <w:pPr>
              <w:spacing w:line="240" w:lineRule="exact"/>
              <w:jc w:val="center"/>
              <w:rPr>
                <w:sz w:val="15"/>
                <w:szCs w:val="15"/>
              </w:rPr>
            </w:pPr>
            <w:r>
              <w:rPr>
                <w:sz w:val="15"/>
                <w:szCs w:val="15"/>
              </w:rPr>
              <w:t xml:space="preserve">0.615 </w:t>
            </w:r>
          </w:p>
        </w:tc>
        <w:tc>
          <w:tcPr>
            <w:tcW w:w="804" w:type="dxa"/>
            <w:tcBorders>
              <w:top w:val="nil"/>
            </w:tcBorders>
            <w:noWrap w:val="0"/>
            <w:vAlign w:val="center"/>
          </w:tcPr>
          <w:p>
            <w:pPr>
              <w:spacing w:line="240" w:lineRule="exact"/>
              <w:jc w:val="center"/>
              <w:rPr>
                <w:sz w:val="15"/>
                <w:szCs w:val="15"/>
              </w:rPr>
            </w:pPr>
            <w:r>
              <w:rPr>
                <w:sz w:val="15"/>
                <w:szCs w:val="15"/>
              </w:rPr>
              <w:t>0.618</w:t>
            </w:r>
          </w:p>
        </w:tc>
        <w:tc>
          <w:tcPr>
            <w:tcW w:w="821" w:type="dxa"/>
            <w:tcBorders>
              <w:top w:val="nil"/>
              <w:right w:val="nil"/>
            </w:tcBorders>
            <w:noWrap w:val="0"/>
            <w:vAlign w:val="center"/>
          </w:tcPr>
          <w:p>
            <w:pPr>
              <w:spacing w:line="240" w:lineRule="exact"/>
              <w:jc w:val="center"/>
              <w:rPr>
                <w:sz w:val="15"/>
                <w:szCs w:val="15"/>
              </w:rPr>
            </w:pPr>
            <w:r>
              <w:rPr>
                <w:sz w:val="15"/>
                <w:szCs w:val="15"/>
              </w:rPr>
              <w:t xml:space="preserve">1.62 </w:t>
            </w:r>
          </w:p>
        </w:tc>
      </w:tr>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6" w:hRule="atLeast"/>
          <w:jc w:val="center"/>
        </w:trPr>
        <w:tc>
          <w:tcPr>
            <w:tcW w:w="818" w:type="dxa"/>
            <w:noWrap w:val="0"/>
            <w:vAlign w:val="center"/>
          </w:tcPr>
          <w:p>
            <w:pPr>
              <w:spacing w:line="240" w:lineRule="exact"/>
              <w:jc w:val="center"/>
              <w:rPr>
                <w:sz w:val="15"/>
                <w:szCs w:val="15"/>
              </w:rPr>
            </w:pPr>
            <w:r>
              <w:rPr>
                <w:sz w:val="15"/>
                <w:szCs w:val="15"/>
              </w:rPr>
              <w:t>治螟磷</w:t>
            </w:r>
          </w:p>
        </w:tc>
        <w:tc>
          <w:tcPr>
            <w:tcW w:w="629" w:type="dxa"/>
            <w:noWrap w:val="0"/>
            <w:vAlign w:val="center"/>
          </w:tcPr>
          <w:p>
            <w:pPr>
              <w:spacing w:line="240" w:lineRule="exact"/>
              <w:jc w:val="center"/>
              <w:rPr>
                <w:sz w:val="15"/>
                <w:szCs w:val="15"/>
              </w:rPr>
            </w:pPr>
            <w:r>
              <w:rPr>
                <w:sz w:val="15"/>
                <w:szCs w:val="15"/>
              </w:rPr>
              <w:t xml:space="preserve">0.490 </w:t>
            </w:r>
          </w:p>
        </w:tc>
        <w:tc>
          <w:tcPr>
            <w:tcW w:w="612" w:type="dxa"/>
            <w:noWrap w:val="0"/>
            <w:vAlign w:val="center"/>
          </w:tcPr>
          <w:p>
            <w:pPr>
              <w:spacing w:line="240" w:lineRule="exact"/>
              <w:jc w:val="center"/>
              <w:rPr>
                <w:sz w:val="15"/>
                <w:szCs w:val="15"/>
              </w:rPr>
            </w:pPr>
            <w:r>
              <w:rPr>
                <w:sz w:val="15"/>
                <w:szCs w:val="15"/>
              </w:rPr>
              <w:t xml:space="preserve">0.492 </w:t>
            </w:r>
          </w:p>
        </w:tc>
        <w:tc>
          <w:tcPr>
            <w:tcW w:w="619" w:type="dxa"/>
            <w:noWrap w:val="0"/>
            <w:vAlign w:val="center"/>
          </w:tcPr>
          <w:p>
            <w:pPr>
              <w:spacing w:line="240" w:lineRule="exact"/>
              <w:jc w:val="center"/>
              <w:rPr>
                <w:sz w:val="15"/>
                <w:szCs w:val="15"/>
              </w:rPr>
            </w:pPr>
            <w:r>
              <w:rPr>
                <w:sz w:val="15"/>
                <w:szCs w:val="15"/>
              </w:rPr>
              <w:t xml:space="preserve">0.485 </w:t>
            </w:r>
          </w:p>
        </w:tc>
        <w:tc>
          <w:tcPr>
            <w:tcW w:w="598" w:type="dxa"/>
            <w:noWrap w:val="0"/>
            <w:vAlign w:val="center"/>
          </w:tcPr>
          <w:p>
            <w:pPr>
              <w:spacing w:line="240" w:lineRule="exact"/>
              <w:jc w:val="center"/>
              <w:rPr>
                <w:sz w:val="15"/>
                <w:szCs w:val="15"/>
              </w:rPr>
            </w:pPr>
            <w:r>
              <w:rPr>
                <w:sz w:val="15"/>
                <w:szCs w:val="15"/>
              </w:rPr>
              <w:t xml:space="preserve">0.479 </w:t>
            </w:r>
          </w:p>
        </w:tc>
        <w:tc>
          <w:tcPr>
            <w:tcW w:w="642" w:type="dxa"/>
            <w:noWrap w:val="0"/>
            <w:vAlign w:val="center"/>
          </w:tcPr>
          <w:p>
            <w:pPr>
              <w:spacing w:line="240" w:lineRule="exact"/>
              <w:jc w:val="center"/>
              <w:rPr>
                <w:sz w:val="15"/>
                <w:szCs w:val="15"/>
              </w:rPr>
            </w:pPr>
            <w:r>
              <w:rPr>
                <w:sz w:val="15"/>
                <w:szCs w:val="15"/>
              </w:rPr>
              <w:t xml:space="preserve">0.499 </w:t>
            </w:r>
          </w:p>
        </w:tc>
        <w:tc>
          <w:tcPr>
            <w:tcW w:w="619" w:type="dxa"/>
            <w:noWrap w:val="0"/>
            <w:vAlign w:val="center"/>
          </w:tcPr>
          <w:p>
            <w:pPr>
              <w:spacing w:line="240" w:lineRule="exact"/>
              <w:jc w:val="center"/>
              <w:rPr>
                <w:sz w:val="15"/>
                <w:szCs w:val="15"/>
              </w:rPr>
            </w:pPr>
            <w:r>
              <w:rPr>
                <w:sz w:val="15"/>
                <w:szCs w:val="15"/>
              </w:rPr>
              <w:t xml:space="preserve">0.491 </w:t>
            </w:r>
          </w:p>
        </w:tc>
        <w:tc>
          <w:tcPr>
            <w:tcW w:w="619" w:type="dxa"/>
            <w:noWrap w:val="0"/>
            <w:vAlign w:val="center"/>
          </w:tcPr>
          <w:p>
            <w:pPr>
              <w:spacing w:line="240" w:lineRule="exact"/>
              <w:jc w:val="center"/>
              <w:rPr>
                <w:sz w:val="15"/>
                <w:szCs w:val="15"/>
              </w:rPr>
            </w:pPr>
            <w:r>
              <w:rPr>
                <w:sz w:val="15"/>
                <w:szCs w:val="15"/>
              </w:rPr>
              <w:t xml:space="preserve">0.491 </w:t>
            </w:r>
          </w:p>
        </w:tc>
        <w:tc>
          <w:tcPr>
            <w:tcW w:w="619" w:type="dxa"/>
            <w:noWrap w:val="0"/>
            <w:vAlign w:val="center"/>
          </w:tcPr>
          <w:p>
            <w:pPr>
              <w:spacing w:line="240" w:lineRule="exact"/>
              <w:jc w:val="center"/>
              <w:rPr>
                <w:sz w:val="15"/>
                <w:szCs w:val="15"/>
              </w:rPr>
            </w:pPr>
            <w:r>
              <w:rPr>
                <w:sz w:val="15"/>
                <w:szCs w:val="15"/>
              </w:rPr>
              <w:t xml:space="preserve">0.491 </w:t>
            </w:r>
          </w:p>
        </w:tc>
        <w:tc>
          <w:tcPr>
            <w:tcW w:w="620" w:type="dxa"/>
            <w:noWrap w:val="0"/>
            <w:vAlign w:val="center"/>
          </w:tcPr>
          <w:p>
            <w:pPr>
              <w:spacing w:line="240" w:lineRule="exact"/>
              <w:jc w:val="center"/>
              <w:rPr>
                <w:sz w:val="15"/>
                <w:szCs w:val="15"/>
              </w:rPr>
            </w:pPr>
            <w:r>
              <w:rPr>
                <w:sz w:val="15"/>
                <w:szCs w:val="15"/>
              </w:rPr>
              <w:t xml:space="preserve">0.492 </w:t>
            </w:r>
          </w:p>
        </w:tc>
        <w:tc>
          <w:tcPr>
            <w:tcW w:w="600" w:type="dxa"/>
            <w:noWrap w:val="0"/>
            <w:vAlign w:val="center"/>
          </w:tcPr>
          <w:p>
            <w:pPr>
              <w:spacing w:line="240" w:lineRule="exact"/>
              <w:jc w:val="center"/>
              <w:rPr>
                <w:sz w:val="15"/>
                <w:szCs w:val="15"/>
              </w:rPr>
            </w:pPr>
            <w:r>
              <w:rPr>
                <w:sz w:val="15"/>
                <w:szCs w:val="15"/>
              </w:rPr>
              <w:t xml:space="preserve">0.491 </w:t>
            </w:r>
          </w:p>
        </w:tc>
        <w:tc>
          <w:tcPr>
            <w:tcW w:w="804" w:type="dxa"/>
            <w:noWrap w:val="0"/>
            <w:vAlign w:val="center"/>
          </w:tcPr>
          <w:p>
            <w:pPr>
              <w:spacing w:line="240" w:lineRule="exact"/>
              <w:jc w:val="center"/>
              <w:rPr>
                <w:sz w:val="15"/>
                <w:szCs w:val="15"/>
              </w:rPr>
            </w:pPr>
            <w:r>
              <w:rPr>
                <w:sz w:val="15"/>
                <w:szCs w:val="15"/>
              </w:rPr>
              <w:t>0.491</w:t>
            </w:r>
          </w:p>
        </w:tc>
        <w:tc>
          <w:tcPr>
            <w:tcW w:w="821" w:type="dxa"/>
            <w:tcBorders>
              <w:right w:val="nil"/>
            </w:tcBorders>
            <w:noWrap w:val="0"/>
            <w:vAlign w:val="center"/>
          </w:tcPr>
          <w:p>
            <w:pPr>
              <w:spacing w:line="240" w:lineRule="exact"/>
              <w:jc w:val="center"/>
              <w:rPr>
                <w:sz w:val="15"/>
                <w:szCs w:val="15"/>
              </w:rPr>
            </w:pPr>
            <w:r>
              <w:rPr>
                <w:sz w:val="15"/>
                <w:szCs w:val="15"/>
              </w:rPr>
              <w:t xml:space="preserve">1.05 </w:t>
            </w:r>
          </w:p>
        </w:tc>
      </w:tr>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6" w:hRule="atLeast"/>
          <w:jc w:val="center"/>
        </w:trPr>
        <w:tc>
          <w:tcPr>
            <w:tcW w:w="818" w:type="dxa"/>
            <w:noWrap w:val="0"/>
            <w:vAlign w:val="center"/>
          </w:tcPr>
          <w:p>
            <w:pPr>
              <w:spacing w:line="240" w:lineRule="exact"/>
              <w:jc w:val="center"/>
              <w:rPr>
                <w:sz w:val="15"/>
                <w:szCs w:val="15"/>
              </w:rPr>
            </w:pPr>
            <w:r>
              <w:rPr>
                <w:sz w:val="15"/>
                <w:szCs w:val="15"/>
              </w:rPr>
              <w:t>氧乐果</w:t>
            </w:r>
          </w:p>
        </w:tc>
        <w:tc>
          <w:tcPr>
            <w:tcW w:w="629" w:type="dxa"/>
            <w:noWrap w:val="0"/>
            <w:vAlign w:val="center"/>
          </w:tcPr>
          <w:p>
            <w:pPr>
              <w:spacing w:line="240" w:lineRule="exact"/>
              <w:jc w:val="center"/>
              <w:rPr>
                <w:sz w:val="15"/>
                <w:szCs w:val="15"/>
              </w:rPr>
            </w:pPr>
            <w:r>
              <w:rPr>
                <w:sz w:val="15"/>
                <w:szCs w:val="15"/>
              </w:rPr>
              <w:t xml:space="preserve">1.415 </w:t>
            </w:r>
          </w:p>
        </w:tc>
        <w:tc>
          <w:tcPr>
            <w:tcW w:w="612" w:type="dxa"/>
            <w:noWrap w:val="0"/>
            <w:vAlign w:val="center"/>
          </w:tcPr>
          <w:p>
            <w:pPr>
              <w:spacing w:line="240" w:lineRule="exact"/>
              <w:jc w:val="center"/>
              <w:rPr>
                <w:sz w:val="15"/>
                <w:szCs w:val="15"/>
              </w:rPr>
            </w:pPr>
            <w:r>
              <w:rPr>
                <w:sz w:val="15"/>
                <w:szCs w:val="15"/>
              </w:rPr>
              <w:t xml:space="preserve">1.445 </w:t>
            </w:r>
          </w:p>
        </w:tc>
        <w:tc>
          <w:tcPr>
            <w:tcW w:w="619" w:type="dxa"/>
            <w:noWrap w:val="0"/>
            <w:vAlign w:val="center"/>
          </w:tcPr>
          <w:p>
            <w:pPr>
              <w:spacing w:line="240" w:lineRule="exact"/>
              <w:jc w:val="center"/>
              <w:rPr>
                <w:sz w:val="15"/>
                <w:szCs w:val="15"/>
              </w:rPr>
            </w:pPr>
            <w:r>
              <w:rPr>
                <w:sz w:val="15"/>
                <w:szCs w:val="15"/>
              </w:rPr>
              <w:t xml:space="preserve">1.457 </w:t>
            </w:r>
          </w:p>
        </w:tc>
        <w:tc>
          <w:tcPr>
            <w:tcW w:w="598" w:type="dxa"/>
            <w:noWrap w:val="0"/>
            <w:vAlign w:val="center"/>
          </w:tcPr>
          <w:p>
            <w:pPr>
              <w:spacing w:line="240" w:lineRule="exact"/>
              <w:jc w:val="center"/>
              <w:rPr>
                <w:sz w:val="15"/>
                <w:szCs w:val="15"/>
              </w:rPr>
            </w:pPr>
            <w:r>
              <w:rPr>
                <w:sz w:val="15"/>
                <w:szCs w:val="15"/>
              </w:rPr>
              <w:t xml:space="preserve">1.463 </w:t>
            </w:r>
          </w:p>
        </w:tc>
        <w:tc>
          <w:tcPr>
            <w:tcW w:w="642" w:type="dxa"/>
            <w:noWrap w:val="0"/>
            <w:vAlign w:val="center"/>
          </w:tcPr>
          <w:p>
            <w:pPr>
              <w:spacing w:line="240" w:lineRule="exact"/>
              <w:jc w:val="center"/>
              <w:rPr>
                <w:sz w:val="15"/>
                <w:szCs w:val="15"/>
              </w:rPr>
            </w:pPr>
            <w:r>
              <w:rPr>
                <w:sz w:val="15"/>
                <w:szCs w:val="15"/>
              </w:rPr>
              <w:t xml:space="preserve">1.469 </w:t>
            </w:r>
          </w:p>
        </w:tc>
        <w:tc>
          <w:tcPr>
            <w:tcW w:w="619" w:type="dxa"/>
            <w:noWrap w:val="0"/>
            <w:vAlign w:val="center"/>
          </w:tcPr>
          <w:p>
            <w:pPr>
              <w:spacing w:line="240" w:lineRule="exact"/>
              <w:jc w:val="center"/>
              <w:rPr>
                <w:sz w:val="15"/>
                <w:szCs w:val="15"/>
              </w:rPr>
            </w:pPr>
            <w:r>
              <w:rPr>
                <w:sz w:val="15"/>
                <w:szCs w:val="15"/>
              </w:rPr>
              <w:t xml:space="preserve">1.470 </w:t>
            </w:r>
          </w:p>
        </w:tc>
        <w:tc>
          <w:tcPr>
            <w:tcW w:w="619" w:type="dxa"/>
            <w:noWrap w:val="0"/>
            <w:vAlign w:val="center"/>
          </w:tcPr>
          <w:p>
            <w:pPr>
              <w:spacing w:line="240" w:lineRule="exact"/>
              <w:jc w:val="center"/>
              <w:rPr>
                <w:sz w:val="15"/>
                <w:szCs w:val="15"/>
              </w:rPr>
            </w:pPr>
            <w:r>
              <w:rPr>
                <w:sz w:val="15"/>
                <w:szCs w:val="15"/>
              </w:rPr>
              <w:t xml:space="preserve">1.474 </w:t>
            </w:r>
          </w:p>
        </w:tc>
        <w:tc>
          <w:tcPr>
            <w:tcW w:w="619" w:type="dxa"/>
            <w:noWrap w:val="0"/>
            <w:vAlign w:val="center"/>
          </w:tcPr>
          <w:p>
            <w:pPr>
              <w:spacing w:line="240" w:lineRule="exact"/>
              <w:jc w:val="center"/>
              <w:rPr>
                <w:sz w:val="15"/>
                <w:szCs w:val="15"/>
              </w:rPr>
            </w:pPr>
            <w:r>
              <w:rPr>
                <w:sz w:val="15"/>
                <w:szCs w:val="15"/>
              </w:rPr>
              <w:t xml:space="preserve">1.466 </w:t>
            </w:r>
          </w:p>
        </w:tc>
        <w:tc>
          <w:tcPr>
            <w:tcW w:w="620" w:type="dxa"/>
            <w:noWrap w:val="0"/>
            <w:vAlign w:val="center"/>
          </w:tcPr>
          <w:p>
            <w:pPr>
              <w:spacing w:line="240" w:lineRule="exact"/>
              <w:jc w:val="center"/>
              <w:rPr>
                <w:sz w:val="15"/>
                <w:szCs w:val="15"/>
              </w:rPr>
            </w:pPr>
            <w:r>
              <w:rPr>
                <w:sz w:val="15"/>
                <w:szCs w:val="15"/>
              </w:rPr>
              <w:t xml:space="preserve">1.485 </w:t>
            </w:r>
          </w:p>
        </w:tc>
        <w:tc>
          <w:tcPr>
            <w:tcW w:w="600" w:type="dxa"/>
            <w:noWrap w:val="0"/>
            <w:vAlign w:val="center"/>
          </w:tcPr>
          <w:p>
            <w:pPr>
              <w:spacing w:line="240" w:lineRule="exact"/>
              <w:jc w:val="center"/>
              <w:rPr>
                <w:sz w:val="15"/>
                <w:szCs w:val="15"/>
              </w:rPr>
            </w:pPr>
            <w:r>
              <w:rPr>
                <w:sz w:val="15"/>
                <w:szCs w:val="15"/>
              </w:rPr>
              <w:t xml:space="preserve">1.478 </w:t>
            </w:r>
          </w:p>
        </w:tc>
        <w:tc>
          <w:tcPr>
            <w:tcW w:w="804" w:type="dxa"/>
            <w:noWrap w:val="0"/>
            <w:vAlign w:val="center"/>
          </w:tcPr>
          <w:p>
            <w:pPr>
              <w:spacing w:line="240" w:lineRule="exact"/>
              <w:jc w:val="center"/>
              <w:rPr>
                <w:sz w:val="15"/>
                <w:szCs w:val="15"/>
              </w:rPr>
            </w:pPr>
            <w:r>
              <w:rPr>
                <w:sz w:val="15"/>
                <w:szCs w:val="15"/>
              </w:rPr>
              <w:t>1.463</w:t>
            </w:r>
          </w:p>
        </w:tc>
        <w:tc>
          <w:tcPr>
            <w:tcW w:w="821" w:type="dxa"/>
            <w:tcBorders>
              <w:right w:val="nil"/>
            </w:tcBorders>
            <w:noWrap w:val="0"/>
            <w:vAlign w:val="center"/>
          </w:tcPr>
          <w:p>
            <w:pPr>
              <w:spacing w:line="240" w:lineRule="exact"/>
              <w:jc w:val="center"/>
              <w:rPr>
                <w:sz w:val="15"/>
                <w:szCs w:val="15"/>
              </w:rPr>
            </w:pPr>
            <w:r>
              <w:rPr>
                <w:sz w:val="15"/>
                <w:szCs w:val="15"/>
              </w:rPr>
              <w:t xml:space="preserve">1.36 </w:t>
            </w:r>
          </w:p>
        </w:tc>
      </w:tr>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9" w:hRule="atLeast"/>
          <w:jc w:val="center"/>
        </w:trPr>
        <w:tc>
          <w:tcPr>
            <w:tcW w:w="818" w:type="dxa"/>
            <w:noWrap w:val="0"/>
            <w:vAlign w:val="center"/>
          </w:tcPr>
          <w:p>
            <w:pPr>
              <w:spacing w:line="240" w:lineRule="exact"/>
              <w:jc w:val="center"/>
              <w:rPr>
                <w:sz w:val="15"/>
                <w:szCs w:val="15"/>
              </w:rPr>
            </w:pPr>
            <w:r>
              <w:rPr>
                <w:sz w:val="15"/>
                <w:szCs w:val="15"/>
              </w:rPr>
              <w:t>特丁硫磷</w:t>
            </w:r>
          </w:p>
        </w:tc>
        <w:tc>
          <w:tcPr>
            <w:tcW w:w="629" w:type="dxa"/>
            <w:noWrap w:val="0"/>
            <w:vAlign w:val="center"/>
          </w:tcPr>
          <w:p>
            <w:pPr>
              <w:spacing w:line="240" w:lineRule="exact"/>
              <w:jc w:val="center"/>
              <w:rPr>
                <w:sz w:val="15"/>
                <w:szCs w:val="15"/>
              </w:rPr>
            </w:pPr>
            <w:r>
              <w:rPr>
                <w:sz w:val="15"/>
                <w:szCs w:val="15"/>
              </w:rPr>
              <w:t xml:space="preserve">0.462 </w:t>
            </w:r>
          </w:p>
        </w:tc>
        <w:tc>
          <w:tcPr>
            <w:tcW w:w="612" w:type="dxa"/>
            <w:noWrap w:val="0"/>
            <w:vAlign w:val="center"/>
          </w:tcPr>
          <w:p>
            <w:pPr>
              <w:spacing w:line="240" w:lineRule="exact"/>
              <w:jc w:val="center"/>
              <w:rPr>
                <w:sz w:val="15"/>
                <w:szCs w:val="15"/>
              </w:rPr>
            </w:pPr>
            <w:r>
              <w:rPr>
                <w:sz w:val="15"/>
                <w:szCs w:val="15"/>
              </w:rPr>
              <w:t xml:space="preserve">0.463 </w:t>
            </w:r>
          </w:p>
        </w:tc>
        <w:tc>
          <w:tcPr>
            <w:tcW w:w="619" w:type="dxa"/>
            <w:noWrap w:val="0"/>
            <w:vAlign w:val="center"/>
          </w:tcPr>
          <w:p>
            <w:pPr>
              <w:spacing w:line="240" w:lineRule="exact"/>
              <w:jc w:val="center"/>
              <w:rPr>
                <w:sz w:val="15"/>
                <w:szCs w:val="15"/>
              </w:rPr>
            </w:pPr>
            <w:r>
              <w:rPr>
                <w:sz w:val="15"/>
                <w:szCs w:val="15"/>
              </w:rPr>
              <w:t xml:space="preserve">0.458 </w:t>
            </w:r>
          </w:p>
        </w:tc>
        <w:tc>
          <w:tcPr>
            <w:tcW w:w="598" w:type="dxa"/>
            <w:noWrap w:val="0"/>
            <w:vAlign w:val="center"/>
          </w:tcPr>
          <w:p>
            <w:pPr>
              <w:spacing w:line="240" w:lineRule="exact"/>
              <w:jc w:val="center"/>
              <w:rPr>
                <w:sz w:val="15"/>
                <w:szCs w:val="15"/>
              </w:rPr>
            </w:pPr>
            <w:r>
              <w:rPr>
                <w:sz w:val="15"/>
                <w:szCs w:val="15"/>
              </w:rPr>
              <w:t xml:space="preserve">0.462 </w:t>
            </w:r>
          </w:p>
        </w:tc>
        <w:tc>
          <w:tcPr>
            <w:tcW w:w="642" w:type="dxa"/>
            <w:noWrap w:val="0"/>
            <w:vAlign w:val="center"/>
          </w:tcPr>
          <w:p>
            <w:pPr>
              <w:spacing w:line="240" w:lineRule="exact"/>
              <w:jc w:val="center"/>
              <w:rPr>
                <w:sz w:val="15"/>
                <w:szCs w:val="15"/>
              </w:rPr>
            </w:pPr>
            <w:r>
              <w:rPr>
                <w:sz w:val="15"/>
                <w:szCs w:val="15"/>
              </w:rPr>
              <w:t xml:space="preserve">0.475 </w:t>
            </w:r>
          </w:p>
        </w:tc>
        <w:tc>
          <w:tcPr>
            <w:tcW w:w="619" w:type="dxa"/>
            <w:noWrap w:val="0"/>
            <w:vAlign w:val="center"/>
          </w:tcPr>
          <w:p>
            <w:pPr>
              <w:spacing w:line="240" w:lineRule="exact"/>
              <w:jc w:val="center"/>
              <w:rPr>
                <w:sz w:val="15"/>
                <w:szCs w:val="15"/>
              </w:rPr>
            </w:pPr>
            <w:r>
              <w:rPr>
                <w:sz w:val="15"/>
                <w:szCs w:val="15"/>
              </w:rPr>
              <w:t xml:space="preserve">0.450 </w:t>
            </w:r>
          </w:p>
        </w:tc>
        <w:tc>
          <w:tcPr>
            <w:tcW w:w="619" w:type="dxa"/>
            <w:noWrap w:val="0"/>
            <w:vAlign w:val="center"/>
          </w:tcPr>
          <w:p>
            <w:pPr>
              <w:spacing w:line="240" w:lineRule="exact"/>
              <w:jc w:val="center"/>
              <w:rPr>
                <w:sz w:val="15"/>
                <w:szCs w:val="15"/>
              </w:rPr>
            </w:pPr>
            <w:r>
              <w:rPr>
                <w:sz w:val="15"/>
                <w:szCs w:val="15"/>
              </w:rPr>
              <w:t xml:space="preserve">0.461 </w:t>
            </w:r>
          </w:p>
        </w:tc>
        <w:tc>
          <w:tcPr>
            <w:tcW w:w="619" w:type="dxa"/>
            <w:noWrap w:val="0"/>
            <w:vAlign w:val="center"/>
          </w:tcPr>
          <w:p>
            <w:pPr>
              <w:spacing w:line="240" w:lineRule="exact"/>
              <w:jc w:val="center"/>
              <w:rPr>
                <w:sz w:val="15"/>
                <w:szCs w:val="15"/>
              </w:rPr>
            </w:pPr>
            <w:r>
              <w:rPr>
                <w:sz w:val="15"/>
                <w:szCs w:val="15"/>
              </w:rPr>
              <w:t xml:space="preserve">0.453 </w:t>
            </w:r>
          </w:p>
        </w:tc>
        <w:tc>
          <w:tcPr>
            <w:tcW w:w="620" w:type="dxa"/>
            <w:noWrap w:val="0"/>
            <w:vAlign w:val="center"/>
          </w:tcPr>
          <w:p>
            <w:pPr>
              <w:spacing w:line="240" w:lineRule="exact"/>
              <w:jc w:val="center"/>
              <w:rPr>
                <w:sz w:val="15"/>
                <w:szCs w:val="15"/>
              </w:rPr>
            </w:pPr>
            <w:r>
              <w:rPr>
                <w:sz w:val="15"/>
                <w:szCs w:val="15"/>
              </w:rPr>
              <w:t xml:space="preserve">0.471 </w:t>
            </w:r>
          </w:p>
        </w:tc>
        <w:tc>
          <w:tcPr>
            <w:tcW w:w="600" w:type="dxa"/>
            <w:noWrap w:val="0"/>
            <w:vAlign w:val="center"/>
          </w:tcPr>
          <w:p>
            <w:pPr>
              <w:spacing w:line="240" w:lineRule="exact"/>
              <w:jc w:val="center"/>
              <w:rPr>
                <w:sz w:val="15"/>
                <w:szCs w:val="15"/>
              </w:rPr>
            </w:pPr>
            <w:r>
              <w:rPr>
                <w:sz w:val="15"/>
                <w:szCs w:val="15"/>
              </w:rPr>
              <w:t xml:space="preserve">0.478 </w:t>
            </w:r>
          </w:p>
        </w:tc>
        <w:tc>
          <w:tcPr>
            <w:tcW w:w="804" w:type="dxa"/>
            <w:noWrap w:val="0"/>
            <w:vAlign w:val="center"/>
          </w:tcPr>
          <w:p>
            <w:pPr>
              <w:spacing w:line="240" w:lineRule="exact"/>
              <w:jc w:val="center"/>
              <w:rPr>
                <w:sz w:val="15"/>
                <w:szCs w:val="15"/>
              </w:rPr>
            </w:pPr>
            <w:r>
              <w:rPr>
                <w:sz w:val="15"/>
                <w:szCs w:val="15"/>
              </w:rPr>
              <w:t>0.46</w:t>
            </w:r>
          </w:p>
        </w:tc>
        <w:tc>
          <w:tcPr>
            <w:tcW w:w="821" w:type="dxa"/>
            <w:tcBorders>
              <w:right w:val="nil"/>
            </w:tcBorders>
            <w:noWrap w:val="0"/>
            <w:vAlign w:val="center"/>
          </w:tcPr>
          <w:p>
            <w:pPr>
              <w:spacing w:line="240" w:lineRule="exact"/>
              <w:jc w:val="center"/>
              <w:rPr>
                <w:sz w:val="15"/>
                <w:szCs w:val="15"/>
              </w:rPr>
            </w:pPr>
            <w:r>
              <w:rPr>
                <w:sz w:val="15"/>
                <w:szCs w:val="15"/>
              </w:rPr>
              <w:t xml:space="preserve">1.96 </w:t>
            </w:r>
          </w:p>
        </w:tc>
      </w:tr>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6" w:hRule="atLeast"/>
          <w:jc w:val="center"/>
        </w:trPr>
        <w:tc>
          <w:tcPr>
            <w:tcW w:w="818" w:type="dxa"/>
            <w:noWrap w:val="0"/>
            <w:vAlign w:val="center"/>
          </w:tcPr>
          <w:p>
            <w:pPr>
              <w:spacing w:line="240" w:lineRule="exact"/>
              <w:jc w:val="center"/>
              <w:rPr>
                <w:sz w:val="15"/>
                <w:szCs w:val="15"/>
              </w:rPr>
            </w:pPr>
            <w:r>
              <w:rPr>
                <w:sz w:val="15"/>
                <w:szCs w:val="15"/>
              </w:rPr>
              <w:t>久效磷</w:t>
            </w:r>
          </w:p>
        </w:tc>
        <w:tc>
          <w:tcPr>
            <w:tcW w:w="629" w:type="dxa"/>
            <w:noWrap w:val="0"/>
            <w:vAlign w:val="center"/>
          </w:tcPr>
          <w:p>
            <w:pPr>
              <w:spacing w:line="240" w:lineRule="exact"/>
              <w:jc w:val="center"/>
              <w:rPr>
                <w:sz w:val="15"/>
                <w:szCs w:val="15"/>
              </w:rPr>
            </w:pPr>
            <w:r>
              <w:rPr>
                <w:sz w:val="15"/>
                <w:szCs w:val="15"/>
              </w:rPr>
              <w:t xml:space="preserve">0.772 </w:t>
            </w:r>
          </w:p>
        </w:tc>
        <w:tc>
          <w:tcPr>
            <w:tcW w:w="612" w:type="dxa"/>
            <w:noWrap w:val="0"/>
            <w:vAlign w:val="center"/>
          </w:tcPr>
          <w:p>
            <w:pPr>
              <w:spacing w:line="240" w:lineRule="exact"/>
              <w:jc w:val="center"/>
              <w:rPr>
                <w:sz w:val="15"/>
                <w:szCs w:val="15"/>
              </w:rPr>
            </w:pPr>
            <w:r>
              <w:rPr>
                <w:sz w:val="15"/>
                <w:szCs w:val="15"/>
              </w:rPr>
              <w:t xml:space="preserve">0.782 </w:t>
            </w:r>
          </w:p>
        </w:tc>
        <w:tc>
          <w:tcPr>
            <w:tcW w:w="619" w:type="dxa"/>
            <w:noWrap w:val="0"/>
            <w:vAlign w:val="center"/>
          </w:tcPr>
          <w:p>
            <w:pPr>
              <w:spacing w:line="240" w:lineRule="exact"/>
              <w:jc w:val="center"/>
              <w:rPr>
                <w:sz w:val="15"/>
                <w:szCs w:val="15"/>
              </w:rPr>
            </w:pPr>
            <w:r>
              <w:rPr>
                <w:sz w:val="15"/>
                <w:szCs w:val="15"/>
              </w:rPr>
              <w:t xml:space="preserve">0.763 </w:t>
            </w:r>
          </w:p>
        </w:tc>
        <w:tc>
          <w:tcPr>
            <w:tcW w:w="598" w:type="dxa"/>
            <w:noWrap w:val="0"/>
            <w:vAlign w:val="center"/>
          </w:tcPr>
          <w:p>
            <w:pPr>
              <w:spacing w:line="240" w:lineRule="exact"/>
              <w:jc w:val="center"/>
              <w:rPr>
                <w:sz w:val="15"/>
                <w:szCs w:val="15"/>
              </w:rPr>
            </w:pPr>
            <w:r>
              <w:rPr>
                <w:sz w:val="15"/>
                <w:szCs w:val="15"/>
              </w:rPr>
              <w:t xml:space="preserve">0.789 </w:t>
            </w:r>
          </w:p>
        </w:tc>
        <w:tc>
          <w:tcPr>
            <w:tcW w:w="642" w:type="dxa"/>
            <w:noWrap w:val="0"/>
            <w:vAlign w:val="center"/>
          </w:tcPr>
          <w:p>
            <w:pPr>
              <w:spacing w:line="240" w:lineRule="exact"/>
              <w:jc w:val="center"/>
              <w:rPr>
                <w:sz w:val="15"/>
                <w:szCs w:val="15"/>
              </w:rPr>
            </w:pPr>
            <w:r>
              <w:rPr>
                <w:sz w:val="15"/>
                <w:szCs w:val="15"/>
              </w:rPr>
              <w:t xml:space="preserve">0.795 </w:t>
            </w:r>
          </w:p>
        </w:tc>
        <w:tc>
          <w:tcPr>
            <w:tcW w:w="619" w:type="dxa"/>
            <w:noWrap w:val="0"/>
            <w:vAlign w:val="center"/>
          </w:tcPr>
          <w:p>
            <w:pPr>
              <w:spacing w:line="240" w:lineRule="exact"/>
              <w:jc w:val="center"/>
              <w:rPr>
                <w:sz w:val="15"/>
                <w:szCs w:val="15"/>
              </w:rPr>
            </w:pPr>
            <w:r>
              <w:rPr>
                <w:sz w:val="15"/>
                <w:szCs w:val="15"/>
              </w:rPr>
              <w:t xml:space="preserve">0.788 </w:t>
            </w:r>
          </w:p>
        </w:tc>
        <w:tc>
          <w:tcPr>
            <w:tcW w:w="619" w:type="dxa"/>
            <w:noWrap w:val="0"/>
            <w:vAlign w:val="center"/>
          </w:tcPr>
          <w:p>
            <w:pPr>
              <w:spacing w:line="240" w:lineRule="exact"/>
              <w:jc w:val="center"/>
              <w:rPr>
                <w:sz w:val="15"/>
                <w:szCs w:val="15"/>
              </w:rPr>
            </w:pPr>
            <w:r>
              <w:rPr>
                <w:sz w:val="15"/>
                <w:szCs w:val="15"/>
              </w:rPr>
              <w:t xml:space="preserve">0.799 </w:t>
            </w:r>
          </w:p>
        </w:tc>
        <w:tc>
          <w:tcPr>
            <w:tcW w:w="619" w:type="dxa"/>
            <w:noWrap w:val="0"/>
            <w:vAlign w:val="center"/>
          </w:tcPr>
          <w:p>
            <w:pPr>
              <w:spacing w:line="240" w:lineRule="exact"/>
              <w:jc w:val="center"/>
              <w:rPr>
                <w:sz w:val="15"/>
                <w:szCs w:val="15"/>
              </w:rPr>
            </w:pPr>
            <w:r>
              <w:rPr>
                <w:sz w:val="15"/>
                <w:szCs w:val="15"/>
              </w:rPr>
              <w:t xml:space="preserve">0.805 </w:t>
            </w:r>
          </w:p>
        </w:tc>
        <w:tc>
          <w:tcPr>
            <w:tcW w:w="620" w:type="dxa"/>
            <w:noWrap w:val="0"/>
            <w:vAlign w:val="center"/>
          </w:tcPr>
          <w:p>
            <w:pPr>
              <w:spacing w:line="240" w:lineRule="exact"/>
              <w:jc w:val="center"/>
              <w:rPr>
                <w:sz w:val="15"/>
                <w:szCs w:val="15"/>
              </w:rPr>
            </w:pPr>
            <w:r>
              <w:rPr>
                <w:sz w:val="15"/>
                <w:szCs w:val="15"/>
              </w:rPr>
              <w:t xml:space="preserve">0.812 </w:t>
            </w:r>
          </w:p>
        </w:tc>
        <w:tc>
          <w:tcPr>
            <w:tcW w:w="600" w:type="dxa"/>
            <w:noWrap w:val="0"/>
            <w:vAlign w:val="center"/>
          </w:tcPr>
          <w:p>
            <w:pPr>
              <w:spacing w:line="240" w:lineRule="exact"/>
              <w:jc w:val="center"/>
              <w:rPr>
                <w:sz w:val="15"/>
                <w:szCs w:val="15"/>
              </w:rPr>
            </w:pPr>
            <w:r>
              <w:rPr>
                <w:sz w:val="15"/>
                <w:szCs w:val="15"/>
              </w:rPr>
              <w:t xml:space="preserve">0.823 </w:t>
            </w:r>
          </w:p>
        </w:tc>
        <w:tc>
          <w:tcPr>
            <w:tcW w:w="804" w:type="dxa"/>
            <w:noWrap w:val="0"/>
            <w:vAlign w:val="center"/>
          </w:tcPr>
          <w:p>
            <w:pPr>
              <w:spacing w:line="240" w:lineRule="exact"/>
              <w:jc w:val="center"/>
              <w:rPr>
                <w:sz w:val="15"/>
                <w:szCs w:val="15"/>
              </w:rPr>
            </w:pPr>
            <w:r>
              <w:rPr>
                <w:sz w:val="15"/>
                <w:szCs w:val="15"/>
              </w:rPr>
              <w:t>0.792</w:t>
            </w:r>
          </w:p>
        </w:tc>
        <w:tc>
          <w:tcPr>
            <w:tcW w:w="821" w:type="dxa"/>
            <w:tcBorders>
              <w:right w:val="nil"/>
            </w:tcBorders>
            <w:noWrap w:val="0"/>
            <w:vAlign w:val="center"/>
          </w:tcPr>
          <w:p>
            <w:pPr>
              <w:spacing w:line="240" w:lineRule="exact"/>
              <w:jc w:val="center"/>
              <w:rPr>
                <w:sz w:val="15"/>
                <w:szCs w:val="15"/>
              </w:rPr>
            </w:pPr>
            <w:r>
              <w:rPr>
                <w:sz w:val="15"/>
                <w:szCs w:val="15"/>
              </w:rPr>
              <w:t xml:space="preserve">2.29 </w:t>
            </w:r>
          </w:p>
        </w:tc>
      </w:tr>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9" w:hRule="atLeast"/>
          <w:jc w:val="center"/>
        </w:trPr>
        <w:tc>
          <w:tcPr>
            <w:tcW w:w="818" w:type="dxa"/>
            <w:noWrap w:val="0"/>
            <w:vAlign w:val="center"/>
          </w:tcPr>
          <w:p>
            <w:pPr>
              <w:spacing w:line="240" w:lineRule="exact"/>
              <w:jc w:val="center"/>
              <w:rPr>
                <w:sz w:val="15"/>
                <w:szCs w:val="15"/>
              </w:rPr>
            </w:pPr>
            <w:r>
              <w:rPr>
                <w:sz w:val="15"/>
                <w:szCs w:val="15"/>
              </w:rPr>
              <w:t>甲基对硫磷</w:t>
            </w:r>
          </w:p>
        </w:tc>
        <w:tc>
          <w:tcPr>
            <w:tcW w:w="629" w:type="dxa"/>
            <w:noWrap w:val="0"/>
            <w:vAlign w:val="center"/>
          </w:tcPr>
          <w:p>
            <w:pPr>
              <w:spacing w:line="240" w:lineRule="exact"/>
              <w:jc w:val="center"/>
              <w:rPr>
                <w:sz w:val="15"/>
                <w:szCs w:val="15"/>
              </w:rPr>
            </w:pPr>
            <w:r>
              <w:rPr>
                <w:sz w:val="15"/>
                <w:szCs w:val="15"/>
              </w:rPr>
              <w:t xml:space="preserve">1.492 </w:t>
            </w:r>
          </w:p>
        </w:tc>
        <w:tc>
          <w:tcPr>
            <w:tcW w:w="612" w:type="dxa"/>
            <w:noWrap w:val="0"/>
            <w:vAlign w:val="center"/>
          </w:tcPr>
          <w:p>
            <w:pPr>
              <w:spacing w:line="240" w:lineRule="exact"/>
              <w:jc w:val="center"/>
              <w:rPr>
                <w:sz w:val="15"/>
                <w:szCs w:val="15"/>
              </w:rPr>
            </w:pPr>
            <w:r>
              <w:rPr>
                <w:sz w:val="15"/>
                <w:szCs w:val="15"/>
              </w:rPr>
              <w:t xml:space="preserve">1.523 </w:t>
            </w:r>
          </w:p>
        </w:tc>
        <w:tc>
          <w:tcPr>
            <w:tcW w:w="619" w:type="dxa"/>
            <w:noWrap w:val="0"/>
            <w:vAlign w:val="center"/>
          </w:tcPr>
          <w:p>
            <w:pPr>
              <w:spacing w:line="240" w:lineRule="exact"/>
              <w:jc w:val="center"/>
              <w:rPr>
                <w:sz w:val="15"/>
                <w:szCs w:val="15"/>
              </w:rPr>
            </w:pPr>
            <w:r>
              <w:rPr>
                <w:sz w:val="15"/>
                <w:szCs w:val="15"/>
              </w:rPr>
              <w:t xml:space="preserve">1.519 </w:t>
            </w:r>
          </w:p>
        </w:tc>
        <w:tc>
          <w:tcPr>
            <w:tcW w:w="598" w:type="dxa"/>
            <w:noWrap w:val="0"/>
            <w:vAlign w:val="center"/>
          </w:tcPr>
          <w:p>
            <w:pPr>
              <w:spacing w:line="240" w:lineRule="exact"/>
              <w:jc w:val="center"/>
              <w:rPr>
                <w:sz w:val="15"/>
                <w:szCs w:val="15"/>
              </w:rPr>
            </w:pPr>
            <w:r>
              <w:rPr>
                <w:sz w:val="15"/>
                <w:szCs w:val="15"/>
              </w:rPr>
              <w:t xml:space="preserve">1.472 </w:t>
            </w:r>
          </w:p>
        </w:tc>
        <w:tc>
          <w:tcPr>
            <w:tcW w:w="642" w:type="dxa"/>
            <w:noWrap w:val="0"/>
            <w:vAlign w:val="center"/>
          </w:tcPr>
          <w:p>
            <w:pPr>
              <w:spacing w:line="240" w:lineRule="exact"/>
              <w:jc w:val="center"/>
              <w:rPr>
                <w:sz w:val="15"/>
                <w:szCs w:val="15"/>
              </w:rPr>
            </w:pPr>
            <w:r>
              <w:rPr>
                <w:sz w:val="15"/>
                <w:szCs w:val="15"/>
              </w:rPr>
              <w:t xml:space="preserve">1.469 </w:t>
            </w:r>
          </w:p>
        </w:tc>
        <w:tc>
          <w:tcPr>
            <w:tcW w:w="619" w:type="dxa"/>
            <w:noWrap w:val="0"/>
            <w:vAlign w:val="center"/>
          </w:tcPr>
          <w:p>
            <w:pPr>
              <w:spacing w:line="240" w:lineRule="exact"/>
              <w:jc w:val="center"/>
              <w:rPr>
                <w:sz w:val="15"/>
                <w:szCs w:val="15"/>
              </w:rPr>
            </w:pPr>
            <w:r>
              <w:rPr>
                <w:sz w:val="15"/>
                <w:szCs w:val="15"/>
              </w:rPr>
              <w:t xml:space="preserve">1.495 </w:t>
            </w:r>
          </w:p>
        </w:tc>
        <w:tc>
          <w:tcPr>
            <w:tcW w:w="619" w:type="dxa"/>
            <w:noWrap w:val="0"/>
            <w:vAlign w:val="center"/>
          </w:tcPr>
          <w:p>
            <w:pPr>
              <w:spacing w:line="240" w:lineRule="exact"/>
              <w:jc w:val="center"/>
              <w:rPr>
                <w:sz w:val="15"/>
                <w:szCs w:val="15"/>
              </w:rPr>
            </w:pPr>
            <w:r>
              <w:rPr>
                <w:sz w:val="15"/>
                <w:szCs w:val="15"/>
              </w:rPr>
              <w:t xml:space="preserve">1.493 </w:t>
            </w:r>
          </w:p>
        </w:tc>
        <w:tc>
          <w:tcPr>
            <w:tcW w:w="619" w:type="dxa"/>
            <w:noWrap w:val="0"/>
            <w:vAlign w:val="center"/>
          </w:tcPr>
          <w:p>
            <w:pPr>
              <w:spacing w:line="240" w:lineRule="exact"/>
              <w:jc w:val="center"/>
              <w:rPr>
                <w:sz w:val="15"/>
                <w:szCs w:val="15"/>
              </w:rPr>
            </w:pPr>
            <w:r>
              <w:rPr>
                <w:sz w:val="15"/>
                <w:szCs w:val="15"/>
              </w:rPr>
              <w:t xml:space="preserve">1.472 </w:t>
            </w:r>
          </w:p>
        </w:tc>
        <w:tc>
          <w:tcPr>
            <w:tcW w:w="620" w:type="dxa"/>
            <w:noWrap w:val="0"/>
            <w:vAlign w:val="center"/>
          </w:tcPr>
          <w:p>
            <w:pPr>
              <w:spacing w:line="240" w:lineRule="exact"/>
              <w:jc w:val="center"/>
              <w:rPr>
                <w:sz w:val="15"/>
                <w:szCs w:val="15"/>
              </w:rPr>
            </w:pPr>
            <w:r>
              <w:rPr>
                <w:sz w:val="15"/>
                <w:szCs w:val="15"/>
              </w:rPr>
              <w:t xml:space="preserve">1.510 </w:t>
            </w:r>
          </w:p>
        </w:tc>
        <w:tc>
          <w:tcPr>
            <w:tcW w:w="600" w:type="dxa"/>
            <w:noWrap w:val="0"/>
            <w:vAlign w:val="center"/>
          </w:tcPr>
          <w:p>
            <w:pPr>
              <w:spacing w:line="240" w:lineRule="exact"/>
              <w:jc w:val="center"/>
              <w:rPr>
                <w:sz w:val="15"/>
                <w:szCs w:val="15"/>
              </w:rPr>
            </w:pPr>
            <w:r>
              <w:rPr>
                <w:sz w:val="15"/>
                <w:szCs w:val="15"/>
              </w:rPr>
              <w:t xml:space="preserve">1.464 </w:t>
            </w:r>
          </w:p>
        </w:tc>
        <w:tc>
          <w:tcPr>
            <w:tcW w:w="804" w:type="dxa"/>
            <w:noWrap w:val="0"/>
            <w:vAlign w:val="center"/>
          </w:tcPr>
          <w:p>
            <w:pPr>
              <w:spacing w:line="240" w:lineRule="exact"/>
              <w:jc w:val="center"/>
              <w:rPr>
                <w:sz w:val="15"/>
                <w:szCs w:val="15"/>
              </w:rPr>
            </w:pPr>
            <w:r>
              <w:rPr>
                <w:sz w:val="15"/>
                <w:szCs w:val="15"/>
              </w:rPr>
              <w:t>1.462</w:t>
            </w:r>
          </w:p>
        </w:tc>
        <w:tc>
          <w:tcPr>
            <w:tcW w:w="821" w:type="dxa"/>
            <w:tcBorders>
              <w:right w:val="nil"/>
            </w:tcBorders>
            <w:noWrap w:val="0"/>
            <w:vAlign w:val="center"/>
          </w:tcPr>
          <w:p>
            <w:pPr>
              <w:spacing w:line="240" w:lineRule="exact"/>
              <w:jc w:val="center"/>
              <w:rPr>
                <w:sz w:val="15"/>
                <w:szCs w:val="15"/>
              </w:rPr>
            </w:pPr>
            <w:r>
              <w:rPr>
                <w:sz w:val="15"/>
                <w:szCs w:val="15"/>
              </w:rPr>
              <w:t xml:space="preserve">1.46 </w:t>
            </w:r>
          </w:p>
        </w:tc>
      </w:tr>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6" w:hRule="atLeast"/>
          <w:jc w:val="center"/>
        </w:trPr>
        <w:tc>
          <w:tcPr>
            <w:tcW w:w="818" w:type="dxa"/>
            <w:noWrap w:val="0"/>
            <w:vAlign w:val="center"/>
          </w:tcPr>
          <w:p>
            <w:pPr>
              <w:spacing w:line="240" w:lineRule="exact"/>
              <w:jc w:val="center"/>
              <w:rPr>
                <w:sz w:val="15"/>
                <w:szCs w:val="15"/>
              </w:rPr>
            </w:pPr>
            <w:r>
              <w:rPr>
                <w:sz w:val="15"/>
                <w:szCs w:val="15"/>
              </w:rPr>
              <w:t>对硫磷</w:t>
            </w:r>
          </w:p>
        </w:tc>
        <w:tc>
          <w:tcPr>
            <w:tcW w:w="629" w:type="dxa"/>
            <w:noWrap w:val="0"/>
            <w:vAlign w:val="center"/>
          </w:tcPr>
          <w:p>
            <w:pPr>
              <w:spacing w:line="240" w:lineRule="exact"/>
              <w:jc w:val="center"/>
              <w:rPr>
                <w:sz w:val="15"/>
                <w:szCs w:val="15"/>
              </w:rPr>
            </w:pPr>
            <w:r>
              <w:rPr>
                <w:sz w:val="15"/>
                <w:szCs w:val="15"/>
              </w:rPr>
              <w:t xml:space="preserve">0.482 </w:t>
            </w:r>
          </w:p>
        </w:tc>
        <w:tc>
          <w:tcPr>
            <w:tcW w:w="612" w:type="dxa"/>
            <w:noWrap w:val="0"/>
            <w:vAlign w:val="center"/>
          </w:tcPr>
          <w:p>
            <w:pPr>
              <w:spacing w:line="240" w:lineRule="exact"/>
              <w:jc w:val="center"/>
              <w:rPr>
                <w:sz w:val="15"/>
                <w:szCs w:val="15"/>
              </w:rPr>
            </w:pPr>
            <w:r>
              <w:rPr>
                <w:sz w:val="15"/>
                <w:szCs w:val="15"/>
              </w:rPr>
              <w:t xml:space="preserve">0.475 </w:t>
            </w:r>
          </w:p>
        </w:tc>
        <w:tc>
          <w:tcPr>
            <w:tcW w:w="619" w:type="dxa"/>
            <w:noWrap w:val="0"/>
            <w:vAlign w:val="center"/>
          </w:tcPr>
          <w:p>
            <w:pPr>
              <w:spacing w:line="240" w:lineRule="exact"/>
              <w:jc w:val="center"/>
              <w:rPr>
                <w:sz w:val="15"/>
                <w:szCs w:val="15"/>
              </w:rPr>
            </w:pPr>
            <w:r>
              <w:rPr>
                <w:sz w:val="15"/>
                <w:szCs w:val="15"/>
              </w:rPr>
              <w:t xml:space="preserve">0.468 </w:t>
            </w:r>
          </w:p>
        </w:tc>
        <w:tc>
          <w:tcPr>
            <w:tcW w:w="598" w:type="dxa"/>
            <w:noWrap w:val="0"/>
            <w:vAlign w:val="center"/>
          </w:tcPr>
          <w:p>
            <w:pPr>
              <w:spacing w:line="240" w:lineRule="exact"/>
              <w:jc w:val="center"/>
              <w:rPr>
                <w:sz w:val="15"/>
                <w:szCs w:val="15"/>
              </w:rPr>
            </w:pPr>
            <w:r>
              <w:rPr>
                <w:sz w:val="15"/>
                <w:szCs w:val="15"/>
              </w:rPr>
              <w:t xml:space="preserve">0.495 </w:t>
            </w:r>
          </w:p>
        </w:tc>
        <w:tc>
          <w:tcPr>
            <w:tcW w:w="642" w:type="dxa"/>
            <w:noWrap w:val="0"/>
            <w:vAlign w:val="center"/>
          </w:tcPr>
          <w:p>
            <w:pPr>
              <w:spacing w:line="240" w:lineRule="exact"/>
              <w:jc w:val="center"/>
              <w:rPr>
                <w:sz w:val="15"/>
                <w:szCs w:val="15"/>
              </w:rPr>
            </w:pPr>
            <w:r>
              <w:rPr>
                <w:sz w:val="15"/>
                <w:szCs w:val="15"/>
              </w:rPr>
              <w:t xml:space="preserve">0.474 </w:t>
            </w:r>
          </w:p>
        </w:tc>
        <w:tc>
          <w:tcPr>
            <w:tcW w:w="619" w:type="dxa"/>
            <w:noWrap w:val="0"/>
            <w:vAlign w:val="center"/>
          </w:tcPr>
          <w:p>
            <w:pPr>
              <w:spacing w:line="240" w:lineRule="exact"/>
              <w:jc w:val="center"/>
              <w:rPr>
                <w:sz w:val="15"/>
                <w:szCs w:val="15"/>
              </w:rPr>
            </w:pPr>
            <w:r>
              <w:rPr>
                <w:sz w:val="15"/>
                <w:szCs w:val="15"/>
              </w:rPr>
              <w:t xml:space="preserve">0.485 </w:t>
            </w:r>
          </w:p>
        </w:tc>
        <w:tc>
          <w:tcPr>
            <w:tcW w:w="619" w:type="dxa"/>
            <w:noWrap w:val="0"/>
            <w:vAlign w:val="center"/>
          </w:tcPr>
          <w:p>
            <w:pPr>
              <w:spacing w:line="240" w:lineRule="exact"/>
              <w:jc w:val="center"/>
              <w:rPr>
                <w:sz w:val="15"/>
                <w:szCs w:val="15"/>
              </w:rPr>
            </w:pPr>
            <w:r>
              <w:rPr>
                <w:sz w:val="15"/>
                <w:szCs w:val="15"/>
              </w:rPr>
              <w:t xml:space="preserve">0.475 </w:t>
            </w:r>
          </w:p>
        </w:tc>
        <w:tc>
          <w:tcPr>
            <w:tcW w:w="619" w:type="dxa"/>
            <w:noWrap w:val="0"/>
            <w:vAlign w:val="center"/>
          </w:tcPr>
          <w:p>
            <w:pPr>
              <w:spacing w:line="240" w:lineRule="exact"/>
              <w:jc w:val="center"/>
              <w:rPr>
                <w:sz w:val="15"/>
                <w:szCs w:val="15"/>
              </w:rPr>
            </w:pPr>
            <w:r>
              <w:rPr>
                <w:sz w:val="15"/>
                <w:szCs w:val="15"/>
              </w:rPr>
              <w:t xml:space="preserve">0.485 </w:t>
            </w:r>
          </w:p>
        </w:tc>
        <w:tc>
          <w:tcPr>
            <w:tcW w:w="620" w:type="dxa"/>
            <w:noWrap w:val="0"/>
            <w:vAlign w:val="center"/>
          </w:tcPr>
          <w:p>
            <w:pPr>
              <w:spacing w:line="240" w:lineRule="exact"/>
              <w:jc w:val="center"/>
              <w:rPr>
                <w:sz w:val="15"/>
                <w:szCs w:val="15"/>
              </w:rPr>
            </w:pPr>
            <w:r>
              <w:rPr>
                <w:sz w:val="15"/>
                <w:szCs w:val="15"/>
              </w:rPr>
              <w:t xml:space="preserve">0.498 </w:t>
            </w:r>
          </w:p>
        </w:tc>
        <w:tc>
          <w:tcPr>
            <w:tcW w:w="600" w:type="dxa"/>
            <w:noWrap w:val="0"/>
            <w:vAlign w:val="center"/>
          </w:tcPr>
          <w:p>
            <w:pPr>
              <w:spacing w:line="240" w:lineRule="exact"/>
              <w:jc w:val="center"/>
              <w:rPr>
                <w:sz w:val="15"/>
                <w:szCs w:val="15"/>
              </w:rPr>
            </w:pPr>
            <w:r>
              <w:rPr>
                <w:sz w:val="15"/>
                <w:szCs w:val="15"/>
              </w:rPr>
              <w:t xml:space="preserve">0.490 </w:t>
            </w:r>
          </w:p>
        </w:tc>
        <w:tc>
          <w:tcPr>
            <w:tcW w:w="804" w:type="dxa"/>
            <w:noWrap w:val="0"/>
            <w:vAlign w:val="center"/>
          </w:tcPr>
          <w:p>
            <w:pPr>
              <w:spacing w:line="240" w:lineRule="exact"/>
              <w:jc w:val="center"/>
              <w:rPr>
                <w:sz w:val="15"/>
                <w:szCs w:val="15"/>
              </w:rPr>
            </w:pPr>
            <w:r>
              <w:rPr>
                <w:sz w:val="15"/>
                <w:szCs w:val="15"/>
              </w:rPr>
              <w:t>0.512</w:t>
            </w:r>
          </w:p>
        </w:tc>
        <w:tc>
          <w:tcPr>
            <w:tcW w:w="821" w:type="dxa"/>
            <w:tcBorders>
              <w:right w:val="nil"/>
            </w:tcBorders>
            <w:noWrap w:val="0"/>
            <w:vAlign w:val="center"/>
          </w:tcPr>
          <w:p>
            <w:pPr>
              <w:spacing w:line="240" w:lineRule="exact"/>
              <w:jc w:val="center"/>
              <w:rPr>
                <w:sz w:val="15"/>
                <w:szCs w:val="15"/>
              </w:rPr>
            </w:pPr>
            <w:r>
              <w:rPr>
                <w:sz w:val="15"/>
                <w:szCs w:val="15"/>
              </w:rPr>
              <w:t xml:space="preserve">1.91 </w:t>
            </w:r>
          </w:p>
        </w:tc>
      </w:tr>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9" w:hRule="atLeast"/>
          <w:jc w:val="center"/>
        </w:trPr>
        <w:tc>
          <w:tcPr>
            <w:tcW w:w="818" w:type="dxa"/>
            <w:tcBorders>
              <w:bottom w:val="nil"/>
            </w:tcBorders>
            <w:noWrap w:val="0"/>
            <w:vAlign w:val="center"/>
          </w:tcPr>
          <w:p>
            <w:pPr>
              <w:spacing w:line="240" w:lineRule="exact"/>
              <w:jc w:val="center"/>
              <w:rPr>
                <w:sz w:val="15"/>
                <w:szCs w:val="15"/>
              </w:rPr>
            </w:pPr>
            <w:r>
              <w:rPr>
                <w:sz w:val="15"/>
                <w:szCs w:val="15"/>
              </w:rPr>
              <w:t>甲基异柳磷</w:t>
            </w:r>
          </w:p>
        </w:tc>
        <w:tc>
          <w:tcPr>
            <w:tcW w:w="629" w:type="dxa"/>
            <w:tcBorders>
              <w:bottom w:val="nil"/>
            </w:tcBorders>
            <w:noWrap w:val="0"/>
            <w:vAlign w:val="center"/>
          </w:tcPr>
          <w:p>
            <w:pPr>
              <w:spacing w:line="240" w:lineRule="exact"/>
              <w:jc w:val="center"/>
              <w:rPr>
                <w:sz w:val="15"/>
                <w:szCs w:val="15"/>
              </w:rPr>
            </w:pPr>
            <w:r>
              <w:rPr>
                <w:sz w:val="15"/>
                <w:szCs w:val="15"/>
              </w:rPr>
              <w:t xml:space="preserve">0.668 </w:t>
            </w:r>
          </w:p>
        </w:tc>
        <w:tc>
          <w:tcPr>
            <w:tcW w:w="612" w:type="dxa"/>
            <w:tcBorders>
              <w:bottom w:val="nil"/>
            </w:tcBorders>
            <w:noWrap w:val="0"/>
            <w:vAlign w:val="center"/>
          </w:tcPr>
          <w:p>
            <w:pPr>
              <w:spacing w:line="240" w:lineRule="exact"/>
              <w:jc w:val="center"/>
              <w:rPr>
                <w:sz w:val="15"/>
                <w:szCs w:val="15"/>
              </w:rPr>
            </w:pPr>
            <w:r>
              <w:rPr>
                <w:sz w:val="15"/>
                <w:szCs w:val="15"/>
              </w:rPr>
              <w:t xml:space="preserve">0.642 </w:t>
            </w:r>
          </w:p>
        </w:tc>
        <w:tc>
          <w:tcPr>
            <w:tcW w:w="619" w:type="dxa"/>
            <w:tcBorders>
              <w:bottom w:val="nil"/>
            </w:tcBorders>
            <w:noWrap w:val="0"/>
            <w:vAlign w:val="center"/>
          </w:tcPr>
          <w:p>
            <w:pPr>
              <w:spacing w:line="240" w:lineRule="exact"/>
              <w:jc w:val="center"/>
              <w:rPr>
                <w:sz w:val="15"/>
                <w:szCs w:val="15"/>
              </w:rPr>
            </w:pPr>
            <w:r>
              <w:rPr>
                <w:sz w:val="15"/>
                <w:szCs w:val="15"/>
              </w:rPr>
              <w:t xml:space="preserve">0.656 </w:t>
            </w:r>
          </w:p>
        </w:tc>
        <w:tc>
          <w:tcPr>
            <w:tcW w:w="598" w:type="dxa"/>
            <w:tcBorders>
              <w:bottom w:val="nil"/>
            </w:tcBorders>
            <w:noWrap w:val="0"/>
            <w:vAlign w:val="center"/>
          </w:tcPr>
          <w:p>
            <w:pPr>
              <w:spacing w:line="240" w:lineRule="exact"/>
              <w:jc w:val="center"/>
              <w:rPr>
                <w:sz w:val="15"/>
                <w:szCs w:val="15"/>
              </w:rPr>
            </w:pPr>
            <w:r>
              <w:rPr>
                <w:sz w:val="15"/>
                <w:szCs w:val="15"/>
              </w:rPr>
              <w:t xml:space="preserve">0.643 </w:t>
            </w:r>
          </w:p>
        </w:tc>
        <w:tc>
          <w:tcPr>
            <w:tcW w:w="642" w:type="dxa"/>
            <w:tcBorders>
              <w:bottom w:val="nil"/>
            </w:tcBorders>
            <w:noWrap w:val="0"/>
            <w:vAlign w:val="center"/>
          </w:tcPr>
          <w:p>
            <w:pPr>
              <w:spacing w:line="240" w:lineRule="exact"/>
              <w:jc w:val="center"/>
              <w:rPr>
                <w:sz w:val="15"/>
                <w:szCs w:val="15"/>
              </w:rPr>
            </w:pPr>
            <w:r>
              <w:rPr>
                <w:sz w:val="15"/>
                <w:szCs w:val="15"/>
              </w:rPr>
              <w:t xml:space="preserve">0.653 </w:t>
            </w:r>
          </w:p>
        </w:tc>
        <w:tc>
          <w:tcPr>
            <w:tcW w:w="619" w:type="dxa"/>
            <w:tcBorders>
              <w:bottom w:val="nil"/>
            </w:tcBorders>
            <w:noWrap w:val="0"/>
            <w:vAlign w:val="center"/>
          </w:tcPr>
          <w:p>
            <w:pPr>
              <w:spacing w:line="240" w:lineRule="exact"/>
              <w:jc w:val="center"/>
              <w:rPr>
                <w:sz w:val="15"/>
                <w:szCs w:val="15"/>
              </w:rPr>
            </w:pPr>
            <w:r>
              <w:rPr>
                <w:sz w:val="15"/>
                <w:szCs w:val="15"/>
              </w:rPr>
              <w:t xml:space="preserve">0.648 </w:t>
            </w:r>
          </w:p>
        </w:tc>
        <w:tc>
          <w:tcPr>
            <w:tcW w:w="619" w:type="dxa"/>
            <w:tcBorders>
              <w:bottom w:val="nil"/>
            </w:tcBorders>
            <w:noWrap w:val="0"/>
            <w:vAlign w:val="center"/>
          </w:tcPr>
          <w:p>
            <w:pPr>
              <w:spacing w:line="240" w:lineRule="exact"/>
              <w:jc w:val="center"/>
              <w:rPr>
                <w:sz w:val="15"/>
                <w:szCs w:val="15"/>
              </w:rPr>
            </w:pPr>
            <w:r>
              <w:rPr>
                <w:sz w:val="15"/>
                <w:szCs w:val="15"/>
              </w:rPr>
              <w:t xml:space="preserve">0.639 </w:t>
            </w:r>
          </w:p>
        </w:tc>
        <w:tc>
          <w:tcPr>
            <w:tcW w:w="619" w:type="dxa"/>
            <w:tcBorders>
              <w:bottom w:val="nil"/>
            </w:tcBorders>
            <w:noWrap w:val="0"/>
            <w:vAlign w:val="center"/>
          </w:tcPr>
          <w:p>
            <w:pPr>
              <w:spacing w:line="240" w:lineRule="exact"/>
              <w:jc w:val="center"/>
              <w:rPr>
                <w:sz w:val="15"/>
                <w:szCs w:val="15"/>
              </w:rPr>
            </w:pPr>
            <w:r>
              <w:rPr>
                <w:sz w:val="15"/>
                <w:szCs w:val="15"/>
              </w:rPr>
              <w:t xml:space="preserve">0.670 </w:t>
            </w:r>
          </w:p>
        </w:tc>
        <w:tc>
          <w:tcPr>
            <w:tcW w:w="620" w:type="dxa"/>
            <w:tcBorders>
              <w:bottom w:val="nil"/>
            </w:tcBorders>
            <w:noWrap w:val="0"/>
            <w:vAlign w:val="center"/>
          </w:tcPr>
          <w:p>
            <w:pPr>
              <w:spacing w:line="240" w:lineRule="exact"/>
              <w:jc w:val="center"/>
              <w:rPr>
                <w:sz w:val="15"/>
                <w:szCs w:val="15"/>
              </w:rPr>
            </w:pPr>
            <w:r>
              <w:rPr>
                <w:sz w:val="15"/>
                <w:szCs w:val="15"/>
              </w:rPr>
              <w:t xml:space="preserve">0.625 </w:t>
            </w:r>
          </w:p>
        </w:tc>
        <w:tc>
          <w:tcPr>
            <w:tcW w:w="600" w:type="dxa"/>
            <w:tcBorders>
              <w:bottom w:val="nil"/>
            </w:tcBorders>
            <w:noWrap w:val="0"/>
            <w:vAlign w:val="center"/>
          </w:tcPr>
          <w:p>
            <w:pPr>
              <w:spacing w:line="240" w:lineRule="exact"/>
              <w:jc w:val="center"/>
              <w:rPr>
                <w:sz w:val="15"/>
                <w:szCs w:val="15"/>
              </w:rPr>
            </w:pPr>
            <w:r>
              <w:rPr>
                <w:sz w:val="15"/>
                <w:szCs w:val="15"/>
              </w:rPr>
              <w:t xml:space="preserve">0.651 </w:t>
            </w:r>
          </w:p>
        </w:tc>
        <w:tc>
          <w:tcPr>
            <w:tcW w:w="804" w:type="dxa"/>
            <w:tcBorders>
              <w:bottom w:val="nil"/>
            </w:tcBorders>
            <w:noWrap w:val="0"/>
            <w:vAlign w:val="center"/>
          </w:tcPr>
          <w:p>
            <w:pPr>
              <w:spacing w:line="240" w:lineRule="exact"/>
              <w:jc w:val="center"/>
              <w:rPr>
                <w:sz w:val="15"/>
                <w:szCs w:val="15"/>
              </w:rPr>
            </w:pPr>
            <w:r>
              <w:rPr>
                <w:sz w:val="15"/>
                <w:szCs w:val="15"/>
              </w:rPr>
              <w:t>0.663</w:t>
            </w:r>
          </w:p>
        </w:tc>
        <w:tc>
          <w:tcPr>
            <w:tcW w:w="821" w:type="dxa"/>
            <w:tcBorders>
              <w:bottom w:val="nil"/>
              <w:right w:val="nil"/>
            </w:tcBorders>
            <w:noWrap w:val="0"/>
            <w:vAlign w:val="center"/>
          </w:tcPr>
          <w:p>
            <w:pPr>
              <w:spacing w:line="240" w:lineRule="exact"/>
              <w:jc w:val="center"/>
              <w:rPr>
                <w:sz w:val="15"/>
                <w:szCs w:val="15"/>
              </w:rPr>
            </w:pPr>
            <w:r>
              <w:rPr>
                <w:sz w:val="15"/>
                <w:szCs w:val="15"/>
              </w:rPr>
              <w:t xml:space="preserve">2.03 </w:t>
            </w:r>
          </w:p>
        </w:tc>
      </w:tr>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jc w:val="center"/>
        </w:trPr>
        <w:tc>
          <w:tcPr>
            <w:tcW w:w="818" w:type="dxa"/>
            <w:tcBorders>
              <w:top w:val="nil"/>
              <w:bottom w:val="single" w:color="auto" w:sz="12" w:space="0"/>
            </w:tcBorders>
            <w:noWrap w:val="0"/>
            <w:vAlign w:val="center"/>
          </w:tcPr>
          <w:p>
            <w:pPr>
              <w:spacing w:line="240" w:lineRule="exact"/>
              <w:jc w:val="center"/>
              <w:rPr>
                <w:sz w:val="15"/>
                <w:szCs w:val="15"/>
              </w:rPr>
            </w:pPr>
            <w:r>
              <w:rPr>
                <w:sz w:val="15"/>
                <w:szCs w:val="15"/>
              </w:rPr>
              <w:t>水胺硫磷</w:t>
            </w:r>
          </w:p>
        </w:tc>
        <w:tc>
          <w:tcPr>
            <w:tcW w:w="629" w:type="dxa"/>
            <w:tcBorders>
              <w:top w:val="nil"/>
              <w:bottom w:val="single" w:color="auto" w:sz="12" w:space="0"/>
            </w:tcBorders>
            <w:noWrap w:val="0"/>
            <w:vAlign w:val="center"/>
          </w:tcPr>
          <w:p>
            <w:pPr>
              <w:spacing w:line="240" w:lineRule="exact"/>
              <w:jc w:val="center"/>
              <w:rPr>
                <w:sz w:val="15"/>
                <w:szCs w:val="15"/>
              </w:rPr>
            </w:pPr>
            <w:r>
              <w:rPr>
                <w:sz w:val="15"/>
                <w:szCs w:val="15"/>
              </w:rPr>
              <w:t xml:space="preserve">0.365 </w:t>
            </w:r>
          </w:p>
        </w:tc>
        <w:tc>
          <w:tcPr>
            <w:tcW w:w="612" w:type="dxa"/>
            <w:tcBorders>
              <w:top w:val="nil"/>
              <w:bottom w:val="single" w:color="auto" w:sz="12" w:space="0"/>
            </w:tcBorders>
            <w:noWrap w:val="0"/>
            <w:vAlign w:val="center"/>
          </w:tcPr>
          <w:p>
            <w:pPr>
              <w:spacing w:line="240" w:lineRule="exact"/>
              <w:jc w:val="center"/>
              <w:rPr>
                <w:sz w:val="15"/>
                <w:szCs w:val="15"/>
              </w:rPr>
            </w:pPr>
            <w:r>
              <w:rPr>
                <w:sz w:val="15"/>
                <w:szCs w:val="15"/>
              </w:rPr>
              <w:t xml:space="preserve">0.365 </w:t>
            </w:r>
          </w:p>
        </w:tc>
        <w:tc>
          <w:tcPr>
            <w:tcW w:w="619" w:type="dxa"/>
            <w:tcBorders>
              <w:top w:val="nil"/>
              <w:bottom w:val="single" w:color="auto" w:sz="12" w:space="0"/>
            </w:tcBorders>
            <w:noWrap w:val="0"/>
            <w:vAlign w:val="center"/>
          </w:tcPr>
          <w:p>
            <w:pPr>
              <w:spacing w:line="240" w:lineRule="exact"/>
              <w:jc w:val="center"/>
              <w:rPr>
                <w:sz w:val="15"/>
                <w:szCs w:val="15"/>
              </w:rPr>
            </w:pPr>
            <w:r>
              <w:rPr>
                <w:sz w:val="15"/>
                <w:szCs w:val="15"/>
              </w:rPr>
              <w:t xml:space="preserve">0.371 </w:t>
            </w:r>
          </w:p>
        </w:tc>
        <w:tc>
          <w:tcPr>
            <w:tcW w:w="598" w:type="dxa"/>
            <w:tcBorders>
              <w:top w:val="nil"/>
              <w:bottom w:val="single" w:color="auto" w:sz="12" w:space="0"/>
            </w:tcBorders>
            <w:noWrap w:val="0"/>
            <w:vAlign w:val="center"/>
          </w:tcPr>
          <w:p>
            <w:pPr>
              <w:spacing w:line="240" w:lineRule="exact"/>
              <w:jc w:val="center"/>
              <w:rPr>
                <w:sz w:val="15"/>
                <w:szCs w:val="15"/>
              </w:rPr>
            </w:pPr>
            <w:r>
              <w:rPr>
                <w:sz w:val="15"/>
                <w:szCs w:val="15"/>
              </w:rPr>
              <w:t xml:space="preserve">0.355 </w:t>
            </w:r>
          </w:p>
        </w:tc>
        <w:tc>
          <w:tcPr>
            <w:tcW w:w="642" w:type="dxa"/>
            <w:tcBorders>
              <w:top w:val="nil"/>
              <w:bottom w:val="single" w:color="auto" w:sz="12" w:space="0"/>
            </w:tcBorders>
            <w:noWrap w:val="0"/>
            <w:vAlign w:val="center"/>
          </w:tcPr>
          <w:p>
            <w:pPr>
              <w:spacing w:line="240" w:lineRule="exact"/>
              <w:jc w:val="center"/>
              <w:rPr>
                <w:sz w:val="15"/>
                <w:szCs w:val="15"/>
              </w:rPr>
            </w:pPr>
            <w:r>
              <w:rPr>
                <w:sz w:val="15"/>
                <w:szCs w:val="15"/>
              </w:rPr>
              <w:t xml:space="preserve">0.356 </w:t>
            </w:r>
          </w:p>
        </w:tc>
        <w:tc>
          <w:tcPr>
            <w:tcW w:w="619" w:type="dxa"/>
            <w:tcBorders>
              <w:top w:val="nil"/>
              <w:bottom w:val="single" w:color="auto" w:sz="12" w:space="0"/>
            </w:tcBorders>
            <w:noWrap w:val="0"/>
            <w:vAlign w:val="center"/>
          </w:tcPr>
          <w:p>
            <w:pPr>
              <w:spacing w:line="240" w:lineRule="exact"/>
              <w:jc w:val="center"/>
              <w:rPr>
                <w:sz w:val="15"/>
                <w:szCs w:val="15"/>
              </w:rPr>
            </w:pPr>
            <w:r>
              <w:rPr>
                <w:sz w:val="15"/>
                <w:szCs w:val="15"/>
              </w:rPr>
              <w:t xml:space="preserve">0.367 </w:t>
            </w:r>
          </w:p>
        </w:tc>
        <w:tc>
          <w:tcPr>
            <w:tcW w:w="619" w:type="dxa"/>
            <w:tcBorders>
              <w:top w:val="nil"/>
              <w:bottom w:val="single" w:color="auto" w:sz="12" w:space="0"/>
            </w:tcBorders>
            <w:noWrap w:val="0"/>
            <w:vAlign w:val="center"/>
          </w:tcPr>
          <w:p>
            <w:pPr>
              <w:spacing w:line="240" w:lineRule="exact"/>
              <w:jc w:val="center"/>
              <w:rPr>
                <w:sz w:val="15"/>
                <w:szCs w:val="15"/>
              </w:rPr>
            </w:pPr>
            <w:r>
              <w:rPr>
                <w:sz w:val="15"/>
                <w:szCs w:val="15"/>
              </w:rPr>
              <w:t xml:space="preserve">0.356 </w:t>
            </w:r>
          </w:p>
        </w:tc>
        <w:tc>
          <w:tcPr>
            <w:tcW w:w="619" w:type="dxa"/>
            <w:tcBorders>
              <w:top w:val="nil"/>
              <w:bottom w:val="single" w:color="auto" w:sz="12" w:space="0"/>
            </w:tcBorders>
            <w:noWrap w:val="0"/>
            <w:vAlign w:val="center"/>
          </w:tcPr>
          <w:p>
            <w:pPr>
              <w:spacing w:line="240" w:lineRule="exact"/>
              <w:jc w:val="center"/>
              <w:rPr>
                <w:sz w:val="15"/>
                <w:szCs w:val="15"/>
              </w:rPr>
            </w:pPr>
            <w:r>
              <w:rPr>
                <w:sz w:val="15"/>
                <w:szCs w:val="15"/>
              </w:rPr>
              <w:t xml:space="preserve">0.378 </w:t>
            </w:r>
          </w:p>
        </w:tc>
        <w:tc>
          <w:tcPr>
            <w:tcW w:w="620" w:type="dxa"/>
            <w:tcBorders>
              <w:top w:val="nil"/>
              <w:bottom w:val="single" w:color="auto" w:sz="12" w:space="0"/>
            </w:tcBorders>
            <w:noWrap w:val="0"/>
            <w:vAlign w:val="center"/>
          </w:tcPr>
          <w:p>
            <w:pPr>
              <w:spacing w:line="240" w:lineRule="exact"/>
              <w:jc w:val="center"/>
              <w:rPr>
                <w:sz w:val="15"/>
                <w:szCs w:val="15"/>
              </w:rPr>
            </w:pPr>
            <w:r>
              <w:rPr>
                <w:sz w:val="15"/>
                <w:szCs w:val="15"/>
              </w:rPr>
              <w:t xml:space="preserve">0.359 </w:t>
            </w:r>
          </w:p>
        </w:tc>
        <w:tc>
          <w:tcPr>
            <w:tcW w:w="600" w:type="dxa"/>
            <w:tcBorders>
              <w:top w:val="nil"/>
              <w:bottom w:val="single" w:color="auto" w:sz="12" w:space="0"/>
            </w:tcBorders>
            <w:noWrap w:val="0"/>
            <w:vAlign w:val="center"/>
          </w:tcPr>
          <w:p>
            <w:pPr>
              <w:spacing w:line="240" w:lineRule="exact"/>
              <w:jc w:val="center"/>
              <w:rPr>
                <w:sz w:val="15"/>
                <w:szCs w:val="15"/>
              </w:rPr>
            </w:pPr>
            <w:r>
              <w:rPr>
                <w:sz w:val="15"/>
                <w:szCs w:val="15"/>
              </w:rPr>
              <w:t xml:space="preserve">0.367 </w:t>
            </w:r>
          </w:p>
        </w:tc>
        <w:tc>
          <w:tcPr>
            <w:tcW w:w="804" w:type="dxa"/>
            <w:tcBorders>
              <w:top w:val="nil"/>
              <w:bottom w:val="single" w:color="auto" w:sz="12" w:space="0"/>
            </w:tcBorders>
            <w:noWrap w:val="0"/>
            <w:vAlign w:val="center"/>
          </w:tcPr>
          <w:p>
            <w:pPr>
              <w:spacing w:line="240" w:lineRule="exact"/>
              <w:jc w:val="center"/>
              <w:rPr>
                <w:sz w:val="15"/>
                <w:szCs w:val="15"/>
              </w:rPr>
            </w:pPr>
            <w:r>
              <w:rPr>
                <w:sz w:val="15"/>
                <w:szCs w:val="15"/>
              </w:rPr>
              <w:t>0.359</w:t>
            </w:r>
          </w:p>
        </w:tc>
        <w:tc>
          <w:tcPr>
            <w:tcW w:w="821" w:type="dxa"/>
            <w:tcBorders>
              <w:top w:val="nil"/>
              <w:bottom w:val="single" w:color="auto" w:sz="12" w:space="0"/>
              <w:right w:val="nil"/>
            </w:tcBorders>
            <w:noWrap w:val="0"/>
            <w:vAlign w:val="center"/>
          </w:tcPr>
          <w:p>
            <w:pPr>
              <w:spacing w:line="240" w:lineRule="exact"/>
              <w:jc w:val="center"/>
              <w:rPr>
                <w:sz w:val="15"/>
                <w:szCs w:val="15"/>
              </w:rPr>
            </w:pPr>
            <w:r>
              <w:rPr>
                <w:sz w:val="15"/>
                <w:szCs w:val="15"/>
              </w:rPr>
              <w:t xml:space="preserve">2.07 </w:t>
            </w:r>
          </w:p>
        </w:tc>
      </w:tr>
      <w:bookmarkEnd w:id="96"/>
      <w:bookmarkEnd w:id="97"/>
      <w:bookmarkEnd w:id="98"/>
    </w:tbl>
    <w:p>
      <w:pPr>
        <w:spacing w:line="520" w:lineRule="exact"/>
        <w:ind w:firstLine="470" w:firstLineChars="196"/>
        <w:rPr>
          <w:rFonts w:hint="eastAsia"/>
          <w:sz w:val="24"/>
          <w:lang w:val="en-US" w:eastAsia="zh-CN"/>
        </w:rPr>
      </w:pPr>
      <w:r>
        <w:rPr>
          <w:rFonts w:hint="eastAsia"/>
          <w:sz w:val="24"/>
          <w:lang w:val="en-US" w:eastAsia="zh-CN"/>
        </w:rPr>
        <w:t>由表2可知，在同一实验室，同一操作人员条件下，短时间内对样本连续测定10次，其变异系数均在2.07%以下。</w:t>
      </w:r>
    </w:p>
    <w:p>
      <w:pPr>
        <w:spacing w:line="520" w:lineRule="exact"/>
        <w:ind w:firstLine="470" w:firstLineChars="196"/>
        <w:rPr>
          <w:rFonts w:hint="eastAsia"/>
          <w:sz w:val="24"/>
          <w:lang w:val="en-US" w:eastAsia="zh-CN"/>
        </w:rPr>
      </w:pPr>
      <w:r>
        <w:rPr>
          <w:rFonts w:hint="eastAsia"/>
          <w:sz w:val="24"/>
          <w:lang w:val="en-US" w:eastAsia="zh-CN"/>
        </w:rPr>
        <w:t>（2）在本单位由不同操作者使用相同的前处理方法和设备，5人对相同乳油样本中的农药成份含量进行了6次重复测定，取平均值。用敌杀死乳油样本为添加基体，做添加回收实验，结果见表3。</w:t>
      </w:r>
    </w:p>
    <w:p>
      <w:pPr>
        <w:ind w:firstLine="422" w:firstLineChars="200"/>
        <w:jc w:val="center"/>
        <w:rPr>
          <w:b/>
          <w:bCs/>
        </w:rPr>
      </w:pPr>
      <w:r>
        <w:rPr>
          <w:b/>
          <w:bCs/>
        </w:rPr>
        <w:t>表3精密度实验结果</w:t>
      </w:r>
    </w:p>
    <w:tbl>
      <w:tblPr>
        <w:tblStyle w:val="10"/>
        <w:tblW w:w="8660" w:type="dxa"/>
        <w:jc w:val="center"/>
        <w:tblInd w:w="0" w:type="dxa"/>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97"/>
        <w:gridCol w:w="1183"/>
        <w:gridCol w:w="6"/>
        <w:gridCol w:w="1166"/>
        <w:gridCol w:w="12"/>
        <w:gridCol w:w="1183"/>
        <w:gridCol w:w="13"/>
        <w:gridCol w:w="1171"/>
        <w:gridCol w:w="17"/>
        <w:gridCol w:w="1167"/>
        <w:gridCol w:w="772"/>
        <w:gridCol w:w="773"/>
      </w:tblGrid>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jc w:val="center"/>
        </w:trPr>
        <w:tc>
          <w:tcPr>
            <w:tcW w:w="1197" w:type="dxa"/>
            <w:vMerge w:val="restart"/>
            <w:tcBorders>
              <w:top w:val="single" w:color="auto" w:sz="12" w:space="0"/>
              <w:bottom w:val="single" w:color="008000" w:sz="6" w:space="0"/>
            </w:tcBorders>
            <w:noWrap w:val="0"/>
            <w:vAlign w:val="center"/>
          </w:tcPr>
          <w:p>
            <w:pPr>
              <w:spacing w:line="240" w:lineRule="exact"/>
              <w:jc w:val="center"/>
              <w:rPr>
                <w:sz w:val="13"/>
                <w:szCs w:val="13"/>
              </w:rPr>
            </w:pPr>
          </w:p>
        </w:tc>
        <w:tc>
          <w:tcPr>
            <w:tcW w:w="5918" w:type="dxa"/>
            <w:gridSpan w:val="9"/>
            <w:tcBorders>
              <w:top w:val="single" w:color="auto" w:sz="12" w:space="0"/>
              <w:bottom w:val="nil"/>
              <w:right w:val="nil"/>
            </w:tcBorders>
            <w:noWrap w:val="0"/>
            <w:vAlign w:val="center"/>
          </w:tcPr>
          <w:p>
            <w:pPr>
              <w:spacing w:line="240" w:lineRule="exact"/>
              <w:jc w:val="center"/>
              <w:rPr>
                <w:sz w:val="13"/>
                <w:szCs w:val="13"/>
              </w:rPr>
            </w:pPr>
            <w:r>
              <w:rPr>
                <w:bCs/>
                <w:sz w:val="13"/>
                <w:szCs w:val="13"/>
              </w:rPr>
              <w:t>5人测定结果（%）</w:t>
            </w:r>
          </w:p>
        </w:tc>
        <w:tc>
          <w:tcPr>
            <w:tcW w:w="772" w:type="dxa"/>
            <w:vMerge w:val="restart"/>
            <w:tcBorders>
              <w:top w:val="single" w:color="auto" w:sz="12" w:space="0"/>
              <w:left w:val="nil"/>
              <w:bottom w:val="single" w:color="008000" w:sz="6" w:space="0"/>
              <w:right w:val="nil"/>
            </w:tcBorders>
            <w:noWrap w:val="0"/>
            <w:vAlign w:val="center"/>
          </w:tcPr>
          <w:p>
            <w:pPr>
              <w:spacing w:line="240" w:lineRule="exact"/>
              <w:jc w:val="center"/>
              <w:rPr>
                <w:bCs/>
                <w:sz w:val="13"/>
                <w:szCs w:val="13"/>
              </w:rPr>
            </w:pPr>
            <w:r>
              <w:rPr>
                <w:bCs/>
                <w:sz w:val="13"/>
                <w:szCs w:val="13"/>
              </w:rPr>
              <w:t>平均值</w:t>
            </w:r>
          </w:p>
        </w:tc>
        <w:tc>
          <w:tcPr>
            <w:tcW w:w="773" w:type="dxa"/>
            <w:vMerge w:val="restart"/>
            <w:tcBorders>
              <w:top w:val="single" w:color="auto" w:sz="12" w:space="0"/>
              <w:left w:val="nil"/>
              <w:bottom w:val="single" w:color="008000" w:sz="6" w:space="0"/>
              <w:right w:val="nil"/>
            </w:tcBorders>
            <w:noWrap w:val="0"/>
            <w:vAlign w:val="center"/>
          </w:tcPr>
          <w:p>
            <w:pPr>
              <w:spacing w:line="240" w:lineRule="exact"/>
              <w:jc w:val="center"/>
              <w:rPr>
                <w:bCs/>
                <w:sz w:val="13"/>
                <w:szCs w:val="13"/>
              </w:rPr>
            </w:pPr>
            <w:r>
              <w:rPr>
                <w:bCs/>
                <w:sz w:val="13"/>
                <w:szCs w:val="13"/>
              </w:rPr>
              <w:t>RSD%</w:t>
            </w:r>
          </w:p>
        </w:tc>
      </w:tr>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7" w:hRule="atLeast"/>
          <w:jc w:val="center"/>
        </w:trPr>
        <w:tc>
          <w:tcPr>
            <w:tcW w:w="1197" w:type="dxa"/>
            <w:vMerge w:val="continue"/>
            <w:noWrap w:val="0"/>
            <w:vAlign w:val="center"/>
          </w:tcPr>
          <w:p>
            <w:pPr>
              <w:spacing w:line="240" w:lineRule="exact"/>
              <w:jc w:val="center"/>
              <w:rPr>
                <w:sz w:val="13"/>
                <w:szCs w:val="13"/>
              </w:rPr>
            </w:pPr>
          </w:p>
        </w:tc>
        <w:tc>
          <w:tcPr>
            <w:tcW w:w="1189" w:type="dxa"/>
            <w:gridSpan w:val="2"/>
            <w:tcBorders>
              <w:top w:val="nil"/>
              <w:bottom w:val="single" w:color="000000" w:sz="8" w:space="0"/>
            </w:tcBorders>
            <w:noWrap w:val="0"/>
            <w:vAlign w:val="center"/>
          </w:tcPr>
          <w:p>
            <w:pPr>
              <w:spacing w:line="240" w:lineRule="exact"/>
              <w:jc w:val="center"/>
              <w:rPr>
                <w:rFonts w:hint="eastAsia"/>
                <w:sz w:val="13"/>
                <w:szCs w:val="13"/>
              </w:rPr>
            </w:pPr>
            <w:r>
              <w:rPr>
                <w:rFonts w:hint="eastAsia"/>
                <w:sz w:val="13"/>
                <w:szCs w:val="13"/>
              </w:rPr>
              <w:t>李俊</w:t>
            </w:r>
          </w:p>
        </w:tc>
        <w:tc>
          <w:tcPr>
            <w:tcW w:w="1166" w:type="dxa"/>
            <w:tcBorders>
              <w:top w:val="nil"/>
              <w:bottom w:val="single" w:color="000000" w:sz="8" w:space="0"/>
            </w:tcBorders>
            <w:noWrap w:val="0"/>
            <w:vAlign w:val="center"/>
          </w:tcPr>
          <w:p>
            <w:pPr>
              <w:spacing w:line="240" w:lineRule="exact"/>
              <w:jc w:val="center"/>
              <w:rPr>
                <w:rFonts w:hint="eastAsia"/>
                <w:sz w:val="13"/>
                <w:szCs w:val="13"/>
              </w:rPr>
            </w:pPr>
            <w:r>
              <w:rPr>
                <w:rFonts w:hint="eastAsia"/>
                <w:sz w:val="13"/>
                <w:szCs w:val="13"/>
              </w:rPr>
              <w:t>王震</w:t>
            </w:r>
          </w:p>
        </w:tc>
        <w:tc>
          <w:tcPr>
            <w:tcW w:w="1208" w:type="dxa"/>
            <w:gridSpan w:val="3"/>
            <w:tcBorders>
              <w:top w:val="nil"/>
              <w:bottom w:val="single" w:color="000000" w:sz="8" w:space="0"/>
            </w:tcBorders>
            <w:noWrap w:val="0"/>
            <w:vAlign w:val="center"/>
          </w:tcPr>
          <w:p>
            <w:pPr>
              <w:spacing w:line="240" w:lineRule="exact"/>
              <w:jc w:val="center"/>
              <w:rPr>
                <w:rFonts w:hint="eastAsia"/>
                <w:sz w:val="13"/>
                <w:szCs w:val="13"/>
              </w:rPr>
            </w:pPr>
            <w:r>
              <w:rPr>
                <w:rFonts w:hint="eastAsia"/>
                <w:sz w:val="13"/>
                <w:szCs w:val="13"/>
              </w:rPr>
              <w:t>郭晓关</w:t>
            </w:r>
          </w:p>
        </w:tc>
        <w:tc>
          <w:tcPr>
            <w:tcW w:w="1188" w:type="dxa"/>
            <w:gridSpan w:val="2"/>
            <w:tcBorders>
              <w:top w:val="nil"/>
              <w:bottom w:val="single" w:color="000000" w:sz="8" w:space="0"/>
            </w:tcBorders>
            <w:noWrap w:val="0"/>
            <w:vAlign w:val="center"/>
          </w:tcPr>
          <w:p>
            <w:pPr>
              <w:spacing w:line="240" w:lineRule="exact"/>
              <w:jc w:val="center"/>
              <w:rPr>
                <w:rFonts w:hint="eastAsia"/>
                <w:sz w:val="13"/>
                <w:szCs w:val="13"/>
              </w:rPr>
            </w:pPr>
            <w:r>
              <w:rPr>
                <w:rFonts w:hint="eastAsia"/>
                <w:sz w:val="13"/>
                <w:szCs w:val="13"/>
              </w:rPr>
              <w:t>庞宏宇</w:t>
            </w:r>
          </w:p>
        </w:tc>
        <w:tc>
          <w:tcPr>
            <w:tcW w:w="1167" w:type="dxa"/>
            <w:tcBorders>
              <w:top w:val="nil"/>
              <w:bottom w:val="single" w:color="000000" w:sz="8" w:space="0"/>
            </w:tcBorders>
            <w:noWrap w:val="0"/>
            <w:vAlign w:val="center"/>
          </w:tcPr>
          <w:p>
            <w:pPr>
              <w:spacing w:line="240" w:lineRule="exact"/>
              <w:jc w:val="center"/>
              <w:rPr>
                <w:rFonts w:hint="eastAsia"/>
                <w:sz w:val="13"/>
                <w:szCs w:val="13"/>
              </w:rPr>
            </w:pPr>
            <w:r>
              <w:rPr>
                <w:rFonts w:hint="eastAsia"/>
                <w:sz w:val="13"/>
                <w:szCs w:val="13"/>
              </w:rPr>
              <w:t>杜楠</w:t>
            </w:r>
          </w:p>
        </w:tc>
        <w:tc>
          <w:tcPr>
            <w:tcW w:w="772" w:type="dxa"/>
            <w:vMerge w:val="continue"/>
            <w:tcBorders>
              <w:top w:val="single" w:color="auto" w:sz="4" w:space="0"/>
              <w:bottom w:val="single" w:color="000000" w:sz="8" w:space="0"/>
              <w:right w:val="nil"/>
            </w:tcBorders>
            <w:noWrap w:val="0"/>
            <w:vAlign w:val="center"/>
          </w:tcPr>
          <w:p>
            <w:pPr>
              <w:spacing w:line="240" w:lineRule="exact"/>
              <w:jc w:val="center"/>
              <w:rPr>
                <w:sz w:val="13"/>
                <w:szCs w:val="13"/>
              </w:rPr>
            </w:pPr>
          </w:p>
        </w:tc>
        <w:tc>
          <w:tcPr>
            <w:tcW w:w="773" w:type="dxa"/>
            <w:vMerge w:val="continue"/>
            <w:tcBorders>
              <w:top w:val="single" w:color="auto" w:sz="4" w:space="0"/>
              <w:left w:val="nil"/>
              <w:bottom w:val="single" w:color="000000" w:sz="8" w:space="0"/>
              <w:right w:val="nil"/>
            </w:tcBorders>
            <w:noWrap w:val="0"/>
            <w:vAlign w:val="center"/>
          </w:tcPr>
          <w:p>
            <w:pPr>
              <w:spacing w:line="240" w:lineRule="exact"/>
              <w:jc w:val="center"/>
              <w:rPr>
                <w:sz w:val="13"/>
                <w:szCs w:val="13"/>
              </w:rPr>
            </w:pPr>
          </w:p>
        </w:tc>
      </w:tr>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2" w:hRule="atLeast"/>
          <w:jc w:val="center"/>
        </w:trPr>
        <w:tc>
          <w:tcPr>
            <w:tcW w:w="1197" w:type="dxa"/>
            <w:noWrap w:val="0"/>
            <w:vAlign w:val="center"/>
          </w:tcPr>
          <w:p>
            <w:pPr>
              <w:spacing w:line="240" w:lineRule="exact"/>
              <w:jc w:val="center"/>
              <w:rPr>
                <w:sz w:val="13"/>
                <w:szCs w:val="13"/>
              </w:rPr>
            </w:pPr>
            <w:r>
              <w:rPr>
                <w:sz w:val="13"/>
                <w:szCs w:val="13"/>
              </w:rPr>
              <w:t>甲胺磷</w:t>
            </w:r>
          </w:p>
        </w:tc>
        <w:tc>
          <w:tcPr>
            <w:tcW w:w="1183" w:type="dxa"/>
            <w:tcBorders>
              <w:top w:val="single" w:color="000000" w:sz="8" w:space="0"/>
              <w:bottom w:val="nil"/>
            </w:tcBorders>
            <w:noWrap w:val="0"/>
            <w:vAlign w:val="center"/>
          </w:tcPr>
          <w:p>
            <w:pPr>
              <w:widowControl/>
              <w:spacing w:line="240" w:lineRule="exact"/>
              <w:jc w:val="center"/>
              <w:rPr>
                <w:kern w:val="0"/>
                <w:sz w:val="13"/>
                <w:szCs w:val="13"/>
              </w:rPr>
            </w:pPr>
            <w:r>
              <w:rPr>
                <w:kern w:val="0"/>
                <w:sz w:val="13"/>
                <w:szCs w:val="13"/>
              </w:rPr>
              <w:t>0.789</w:t>
            </w:r>
          </w:p>
        </w:tc>
        <w:tc>
          <w:tcPr>
            <w:tcW w:w="1184" w:type="dxa"/>
            <w:gridSpan w:val="3"/>
            <w:tcBorders>
              <w:top w:val="single" w:color="000000" w:sz="8" w:space="0"/>
              <w:bottom w:val="nil"/>
            </w:tcBorders>
            <w:noWrap w:val="0"/>
            <w:vAlign w:val="center"/>
          </w:tcPr>
          <w:p>
            <w:pPr>
              <w:widowControl/>
              <w:spacing w:line="240" w:lineRule="exact"/>
              <w:jc w:val="center"/>
              <w:rPr>
                <w:kern w:val="0"/>
                <w:sz w:val="13"/>
                <w:szCs w:val="13"/>
              </w:rPr>
            </w:pPr>
            <w:r>
              <w:rPr>
                <w:kern w:val="0"/>
                <w:sz w:val="13"/>
                <w:szCs w:val="13"/>
              </w:rPr>
              <w:t>0.756</w:t>
            </w:r>
          </w:p>
        </w:tc>
        <w:tc>
          <w:tcPr>
            <w:tcW w:w="1183" w:type="dxa"/>
            <w:tcBorders>
              <w:top w:val="single" w:color="000000" w:sz="8" w:space="0"/>
              <w:bottom w:val="nil"/>
            </w:tcBorders>
            <w:noWrap w:val="0"/>
            <w:vAlign w:val="center"/>
          </w:tcPr>
          <w:p>
            <w:pPr>
              <w:widowControl/>
              <w:spacing w:line="240" w:lineRule="exact"/>
              <w:jc w:val="center"/>
              <w:rPr>
                <w:kern w:val="0"/>
                <w:sz w:val="13"/>
                <w:szCs w:val="13"/>
              </w:rPr>
            </w:pPr>
            <w:r>
              <w:rPr>
                <w:kern w:val="0"/>
                <w:sz w:val="13"/>
                <w:szCs w:val="13"/>
              </w:rPr>
              <w:t>0.799</w:t>
            </w:r>
          </w:p>
        </w:tc>
        <w:tc>
          <w:tcPr>
            <w:tcW w:w="1184" w:type="dxa"/>
            <w:gridSpan w:val="2"/>
            <w:tcBorders>
              <w:top w:val="single" w:color="000000" w:sz="8" w:space="0"/>
              <w:bottom w:val="nil"/>
            </w:tcBorders>
            <w:noWrap w:val="0"/>
            <w:vAlign w:val="center"/>
          </w:tcPr>
          <w:p>
            <w:pPr>
              <w:widowControl/>
              <w:spacing w:line="240" w:lineRule="exact"/>
              <w:jc w:val="center"/>
              <w:rPr>
                <w:kern w:val="0"/>
                <w:sz w:val="13"/>
                <w:szCs w:val="13"/>
              </w:rPr>
            </w:pPr>
            <w:r>
              <w:rPr>
                <w:kern w:val="0"/>
                <w:sz w:val="13"/>
                <w:szCs w:val="13"/>
              </w:rPr>
              <w:t>0.746</w:t>
            </w:r>
          </w:p>
        </w:tc>
        <w:tc>
          <w:tcPr>
            <w:tcW w:w="1184" w:type="dxa"/>
            <w:gridSpan w:val="2"/>
            <w:tcBorders>
              <w:top w:val="single" w:color="000000" w:sz="8" w:space="0"/>
              <w:bottom w:val="nil"/>
            </w:tcBorders>
            <w:noWrap w:val="0"/>
            <w:vAlign w:val="center"/>
          </w:tcPr>
          <w:p>
            <w:pPr>
              <w:widowControl/>
              <w:spacing w:line="240" w:lineRule="exact"/>
              <w:jc w:val="center"/>
              <w:rPr>
                <w:kern w:val="0"/>
                <w:sz w:val="13"/>
                <w:szCs w:val="13"/>
              </w:rPr>
            </w:pPr>
            <w:r>
              <w:rPr>
                <w:kern w:val="0"/>
                <w:sz w:val="13"/>
                <w:szCs w:val="13"/>
              </w:rPr>
              <w:t>0.745</w:t>
            </w:r>
          </w:p>
        </w:tc>
        <w:tc>
          <w:tcPr>
            <w:tcW w:w="772" w:type="dxa"/>
            <w:tcBorders>
              <w:top w:val="single" w:color="000000" w:sz="8" w:space="0"/>
              <w:bottom w:val="nil"/>
            </w:tcBorders>
            <w:noWrap w:val="0"/>
            <w:vAlign w:val="center"/>
          </w:tcPr>
          <w:p>
            <w:pPr>
              <w:widowControl/>
              <w:spacing w:line="240" w:lineRule="exact"/>
              <w:jc w:val="center"/>
              <w:rPr>
                <w:kern w:val="0"/>
                <w:sz w:val="13"/>
                <w:szCs w:val="13"/>
              </w:rPr>
            </w:pPr>
            <w:r>
              <w:rPr>
                <w:kern w:val="0"/>
                <w:sz w:val="13"/>
                <w:szCs w:val="13"/>
              </w:rPr>
              <w:t>0.767</w:t>
            </w:r>
          </w:p>
        </w:tc>
        <w:tc>
          <w:tcPr>
            <w:tcW w:w="773" w:type="dxa"/>
            <w:tcBorders>
              <w:top w:val="single" w:color="000000" w:sz="8" w:space="0"/>
              <w:bottom w:val="nil"/>
              <w:right w:val="nil"/>
            </w:tcBorders>
            <w:noWrap w:val="0"/>
            <w:vAlign w:val="center"/>
          </w:tcPr>
          <w:p>
            <w:pPr>
              <w:spacing w:line="240" w:lineRule="exact"/>
              <w:jc w:val="center"/>
              <w:rPr>
                <w:sz w:val="13"/>
                <w:szCs w:val="13"/>
              </w:rPr>
            </w:pPr>
            <w:r>
              <w:rPr>
                <w:sz w:val="13"/>
                <w:szCs w:val="13"/>
              </w:rPr>
              <w:t>3.29</w:t>
            </w:r>
          </w:p>
        </w:tc>
      </w:tr>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2" w:hRule="atLeast"/>
          <w:jc w:val="center"/>
        </w:trPr>
        <w:tc>
          <w:tcPr>
            <w:tcW w:w="1197" w:type="dxa"/>
            <w:noWrap w:val="0"/>
            <w:vAlign w:val="center"/>
          </w:tcPr>
          <w:p>
            <w:pPr>
              <w:spacing w:line="240" w:lineRule="exact"/>
              <w:jc w:val="center"/>
              <w:rPr>
                <w:sz w:val="13"/>
                <w:szCs w:val="13"/>
              </w:rPr>
            </w:pPr>
            <w:r>
              <w:rPr>
                <w:sz w:val="13"/>
                <w:szCs w:val="13"/>
              </w:rPr>
              <w:t>甲拌磷</w:t>
            </w:r>
          </w:p>
        </w:tc>
        <w:tc>
          <w:tcPr>
            <w:tcW w:w="1183" w:type="dxa"/>
            <w:tcBorders>
              <w:top w:val="nil"/>
            </w:tcBorders>
            <w:noWrap w:val="0"/>
            <w:vAlign w:val="center"/>
          </w:tcPr>
          <w:p>
            <w:pPr>
              <w:widowControl/>
              <w:spacing w:line="240" w:lineRule="exact"/>
              <w:jc w:val="center"/>
              <w:rPr>
                <w:kern w:val="0"/>
                <w:sz w:val="13"/>
                <w:szCs w:val="13"/>
              </w:rPr>
            </w:pPr>
            <w:r>
              <w:rPr>
                <w:kern w:val="0"/>
                <w:sz w:val="13"/>
                <w:szCs w:val="13"/>
              </w:rPr>
              <w:t>0.567</w:t>
            </w:r>
          </w:p>
        </w:tc>
        <w:tc>
          <w:tcPr>
            <w:tcW w:w="1184" w:type="dxa"/>
            <w:gridSpan w:val="3"/>
            <w:tcBorders>
              <w:top w:val="nil"/>
            </w:tcBorders>
            <w:noWrap w:val="0"/>
            <w:vAlign w:val="center"/>
          </w:tcPr>
          <w:p>
            <w:pPr>
              <w:widowControl/>
              <w:spacing w:line="240" w:lineRule="exact"/>
              <w:jc w:val="center"/>
              <w:rPr>
                <w:kern w:val="0"/>
                <w:sz w:val="13"/>
                <w:szCs w:val="13"/>
              </w:rPr>
            </w:pPr>
            <w:r>
              <w:rPr>
                <w:kern w:val="0"/>
                <w:sz w:val="13"/>
                <w:szCs w:val="13"/>
              </w:rPr>
              <w:t>0.553</w:t>
            </w:r>
          </w:p>
        </w:tc>
        <w:tc>
          <w:tcPr>
            <w:tcW w:w="1183" w:type="dxa"/>
            <w:tcBorders>
              <w:top w:val="nil"/>
            </w:tcBorders>
            <w:noWrap w:val="0"/>
            <w:vAlign w:val="center"/>
          </w:tcPr>
          <w:p>
            <w:pPr>
              <w:widowControl/>
              <w:spacing w:line="240" w:lineRule="exact"/>
              <w:jc w:val="center"/>
              <w:rPr>
                <w:kern w:val="0"/>
                <w:sz w:val="13"/>
                <w:szCs w:val="13"/>
              </w:rPr>
            </w:pPr>
            <w:r>
              <w:rPr>
                <w:kern w:val="0"/>
                <w:sz w:val="13"/>
                <w:szCs w:val="13"/>
              </w:rPr>
              <w:t>0.545</w:t>
            </w:r>
          </w:p>
        </w:tc>
        <w:tc>
          <w:tcPr>
            <w:tcW w:w="1184" w:type="dxa"/>
            <w:gridSpan w:val="2"/>
            <w:tcBorders>
              <w:top w:val="nil"/>
            </w:tcBorders>
            <w:noWrap w:val="0"/>
            <w:vAlign w:val="center"/>
          </w:tcPr>
          <w:p>
            <w:pPr>
              <w:widowControl/>
              <w:spacing w:line="240" w:lineRule="exact"/>
              <w:jc w:val="center"/>
              <w:rPr>
                <w:kern w:val="0"/>
                <w:sz w:val="13"/>
                <w:szCs w:val="13"/>
              </w:rPr>
            </w:pPr>
            <w:r>
              <w:rPr>
                <w:kern w:val="0"/>
                <w:sz w:val="13"/>
                <w:szCs w:val="13"/>
              </w:rPr>
              <w:t>0.532</w:t>
            </w:r>
          </w:p>
        </w:tc>
        <w:tc>
          <w:tcPr>
            <w:tcW w:w="1184" w:type="dxa"/>
            <w:gridSpan w:val="2"/>
            <w:tcBorders>
              <w:top w:val="nil"/>
            </w:tcBorders>
            <w:noWrap w:val="0"/>
            <w:vAlign w:val="center"/>
          </w:tcPr>
          <w:p>
            <w:pPr>
              <w:widowControl/>
              <w:spacing w:line="240" w:lineRule="exact"/>
              <w:jc w:val="center"/>
              <w:rPr>
                <w:kern w:val="0"/>
                <w:sz w:val="13"/>
                <w:szCs w:val="13"/>
              </w:rPr>
            </w:pPr>
            <w:r>
              <w:rPr>
                <w:kern w:val="0"/>
                <w:sz w:val="13"/>
                <w:szCs w:val="13"/>
              </w:rPr>
              <w:t>0.558</w:t>
            </w:r>
          </w:p>
        </w:tc>
        <w:tc>
          <w:tcPr>
            <w:tcW w:w="772" w:type="dxa"/>
            <w:tcBorders>
              <w:top w:val="nil"/>
            </w:tcBorders>
            <w:noWrap w:val="0"/>
            <w:vAlign w:val="center"/>
          </w:tcPr>
          <w:p>
            <w:pPr>
              <w:widowControl/>
              <w:spacing w:line="240" w:lineRule="exact"/>
              <w:jc w:val="center"/>
              <w:rPr>
                <w:kern w:val="0"/>
                <w:sz w:val="13"/>
                <w:szCs w:val="13"/>
              </w:rPr>
            </w:pPr>
            <w:r>
              <w:rPr>
                <w:kern w:val="0"/>
                <w:sz w:val="13"/>
                <w:szCs w:val="13"/>
              </w:rPr>
              <w:t>0.551</w:t>
            </w:r>
          </w:p>
        </w:tc>
        <w:tc>
          <w:tcPr>
            <w:tcW w:w="773" w:type="dxa"/>
            <w:tcBorders>
              <w:top w:val="nil"/>
              <w:right w:val="nil"/>
            </w:tcBorders>
            <w:noWrap w:val="0"/>
            <w:vAlign w:val="center"/>
          </w:tcPr>
          <w:p>
            <w:pPr>
              <w:spacing w:line="240" w:lineRule="exact"/>
              <w:jc w:val="center"/>
              <w:rPr>
                <w:sz w:val="13"/>
                <w:szCs w:val="13"/>
              </w:rPr>
            </w:pPr>
            <w:r>
              <w:rPr>
                <w:sz w:val="13"/>
                <w:szCs w:val="13"/>
              </w:rPr>
              <w:t>2.41</w:t>
            </w:r>
          </w:p>
        </w:tc>
      </w:tr>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9" w:hRule="atLeast"/>
          <w:jc w:val="center"/>
        </w:trPr>
        <w:tc>
          <w:tcPr>
            <w:tcW w:w="1197" w:type="dxa"/>
            <w:noWrap w:val="0"/>
            <w:vAlign w:val="center"/>
          </w:tcPr>
          <w:p>
            <w:pPr>
              <w:spacing w:line="240" w:lineRule="exact"/>
              <w:jc w:val="center"/>
              <w:rPr>
                <w:sz w:val="13"/>
                <w:szCs w:val="13"/>
              </w:rPr>
            </w:pPr>
            <w:r>
              <w:rPr>
                <w:sz w:val="13"/>
                <w:szCs w:val="13"/>
              </w:rPr>
              <w:t>治螟磷</w:t>
            </w:r>
          </w:p>
        </w:tc>
        <w:tc>
          <w:tcPr>
            <w:tcW w:w="1183" w:type="dxa"/>
            <w:noWrap w:val="0"/>
            <w:vAlign w:val="center"/>
          </w:tcPr>
          <w:p>
            <w:pPr>
              <w:widowControl/>
              <w:spacing w:line="240" w:lineRule="exact"/>
              <w:jc w:val="center"/>
              <w:rPr>
                <w:kern w:val="0"/>
                <w:sz w:val="13"/>
                <w:szCs w:val="13"/>
              </w:rPr>
            </w:pPr>
            <w:r>
              <w:rPr>
                <w:kern w:val="0"/>
                <w:sz w:val="13"/>
                <w:szCs w:val="13"/>
              </w:rPr>
              <w:t>0.521</w:t>
            </w:r>
          </w:p>
        </w:tc>
        <w:tc>
          <w:tcPr>
            <w:tcW w:w="1184" w:type="dxa"/>
            <w:gridSpan w:val="3"/>
            <w:noWrap w:val="0"/>
            <w:vAlign w:val="center"/>
          </w:tcPr>
          <w:p>
            <w:pPr>
              <w:widowControl/>
              <w:spacing w:line="240" w:lineRule="exact"/>
              <w:jc w:val="center"/>
              <w:rPr>
                <w:kern w:val="0"/>
                <w:sz w:val="13"/>
                <w:szCs w:val="13"/>
              </w:rPr>
            </w:pPr>
            <w:r>
              <w:rPr>
                <w:kern w:val="0"/>
                <w:sz w:val="13"/>
                <w:szCs w:val="13"/>
              </w:rPr>
              <w:t>0.511</w:t>
            </w:r>
          </w:p>
        </w:tc>
        <w:tc>
          <w:tcPr>
            <w:tcW w:w="1183" w:type="dxa"/>
            <w:noWrap w:val="0"/>
            <w:vAlign w:val="center"/>
          </w:tcPr>
          <w:p>
            <w:pPr>
              <w:widowControl/>
              <w:spacing w:line="240" w:lineRule="exact"/>
              <w:jc w:val="center"/>
              <w:rPr>
                <w:kern w:val="0"/>
                <w:sz w:val="13"/>
                <w:szCs w:val="13"/>
              </w:rPr>
            </w:pPr>
            <w:r>
              <w:rPr>
                <w:kern w:val="0"/>
                <w:sz w:val="13"/>
                <w:szCs w:val="13"/>
              </w:rPr>
              <w:t>0.502</w:t>
            </w:r>
          </w:p>
        </w:tc>
        <w:tc>
          <w:tcPr>
            <w:tcW w:w="1184" w:type="dxa"/>
            <w:gridSpan w:val="2"/>
            <w:noWrap w:val="0"/>
            <w:vAlign w:val="center"/>
          </w:tcPr>
          <w:p>
            <w:pPr>
              <w:widowControl/>
              <w:spacing w:line="240" w:lineRule="exact"/>
              <w:jc w:val="center"/>
              <w:rPr>
                <w:kern w:val="0"/>
                <w:sz w:val="13"/>
                <w:szCs w:val="13"/>
              </w:rPr>
            </w:pPr>
            <w:r>
              <w:rPr>
                <w:kern w:val="0"/>
                <w:sz w:val="13"/>
                <w:szCs w:val="13"/>
              </w:rPr>
              <w:t>0.495</w:t>
            </w:r>
          </w:p>
        </w:tc>
        <w:tc>
          <w:tcPr>
            <w:tcW w:w="1184" w:type="dxa"/>
            <w:gridSpan w:val="2"/>
            <w:noWrap w:val="0"/>
            <w:vAlign w:val="center"/>
          </w:tcPr>
          <w:p>
            <w:pPr>
              <w:widowControl/>
              <w:spacing w:line="240" w:lineRule="exact"/>
              <w:jc w:val="center"/>
              <w:rPr>
                <w:kern w:val="0"/>
                <w:sz w:val="13"/>
                <w:szCs w:val="13"/>
              </w:rPr>
            </w:pPr>
            <w:r>
              <w:rPr>
                <w:kern w:val="0"/>
                <w:sz w:val="13"/>
                <w:szCs w:val="13"/>
              </w:rPr>
              <w:t>0.519</w:t>
            </w:r>
          </w:p>
        </w:tc>
        <w:tc>
          <w:tcPr>
            <w:tcW w:w="772" w:type="dxa"/>
            <w:noWrap w:val="0"/>
            <w:vAlign w:val="center"/>
          </w:tcPr>
          <w:p>
            <w:pPr>
              <w:widowControl/>
              <w:spacing w:line="240" w:lineRule="exact"/>
              <w:jc w:val="center"/>
              <w:rPr>
                <w:kern w:val="0"/>
                <w:sz w:val="13"/>
                <w:szCs w:val="13"/>
              </w:rPr>
            </w:pPr>
            <w:r>
              <w:rPr>
                <w:kern w:val="0"/>
                <w:sz w:val="13"/>
                <w:szCs w:val="13"/>
              </w:rPr>
              <w:t>0.510</w:t>
            </w:r>
          </w:p>
        </w:tc>
        <w:tc>
          <w:tcPr>
            <w:tcW w:w="773" w:type="dxa"/>
            <w:tcBorders>
              <w:right w:val="nil"/>
            </w:tcBorders>
            <w:noWrap w:val="0"/>
            <w:vAlign w:val="center"/>
          </w:tcPr>
          <w:p>
            <w:pPr>
              <w:spacing w:line="240" w:lineRule="exact"/>
              <w:jc w:val="center"/>
              <w:rPr>
                <w:sz w:val="13"/>
                <w:szCs w:val="13"/>
              </w:rPr>
            </w:pPr>
            <w:r>
              <w:rPr>
                <w:sz w:val="13"/>
                <w:szCs w:val="13"/>
              </w:rPr>
              <w:t>2.18</w:t>
            </w:r>
          </w:p>
        </w:tc>
      </w:tr>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2" w:hRule="atLeast"/>
          <w:jc w:val="center"/>
        </w:trPr>
        <w:tc>
          <w:tcPr>
            <w:tcW w:w="1197" w:type="dxa"/>
            <w:noWrap w:val="0"/>
            <w:vAlign w:val="center"/>
          </w:tcPr>
          <w:p>
            <w:pPr>
              <w:spacing w:line="240" w:lineRule="exact"/>
              <w:jc w:val="center"/>
              <w:rPr>
                <w:sz w:val="13"/>
                <w:szCs w:val="13"/>
              </w:rPr>
            </w:pPr>
            <w:r>
              <w:rPr>
                <w:sz w:val="13"/>
                <w:szCs w:val="13"/>
              </w:rPr>
              <w:t>氧乐果</w:t>
            </w:r>
          </w:p>
        </w:tc>
        <w:tc>
          <w:tcPr>
            <w:tcW w:w="1183" w:type="dxa"/>
            <w:noWrap w:val="0"/>
            <w:vAlign w:val="center"/>
          </w:tcPr>
          <w:p>
            <w:pPr>
              <w:widowControl/>
              <w:spacing w:line="240" w:lineRule="exact"/>
              <w:jc w:val="center"/>
              <w:rPr>
                <w:kern w:val="0"/>
                <w:sz w:val="13"/>
                <w:szCs w:val="13"/>
              </w:rPr>
            </w:pPr>
            <w:r>
              <w:rPr>
                <w:kern w:val="0"/>
                <w:sz w:val="13"/>
                <w:szCs w:val="13"/>
              </w:rPr>
              <w:t>1.622</w:t>
            </w:r>
          </w:p>
        </w:tc>
        <w:tc>
          <w:tcPr>
            <w:tcW w:w="1184" w:type="dxa"/>
            <w:gridSpan w:val="3"/>
            <w:noWrap w:val="0"/>
            <w:vAlign w:val="center"/>
          </w:tcPr>
          <w:p>
            <w:pPr>
              <w:widowControl/>
              <w:spacing w:line="240" w:lineRule="exact"/>
              <w:jc w:val="center"/>
              <w:rPr>
                <w:kern w:val="0"/>
                <w:sz w:val="13"/>
                <w:szCs w:val="13"/>
              </w:rPr>
            </w:pPr>
            <w:r>
              <w:rPr>
                <w:kern w:val="0"/>
                <w:sz w:val="13"/>
                <w:szCs w:val="13"/>
              </w:rPr>
              <w:t>1.545</w:t>
            </w:r>
          </w:p>
        </w:tc>
        <w:tc>
          <w:tcPr>
            <w:tcW w:w="1183" w:type="dxa"/>
            <w:noWrap w:val="0"/>
            <w:vAlign w:val="center"/>
          </w:tcPr>
          <w:p>
            <w:pPr>
              <w:widowControl/>
              <w:spacing w:line="240" w:lineRule="exact"/>
              <w:jc w:val="center"/>
              <w:rPr>
                <w:kern w:val="0"/>
                <w:sz w:val="13"/>
                <w:szCs w:val="13"/>
              </w:rPr>
            </w:pPr>
            <w:r>
              <w:rPr>
                <w:kern w:val="0"/>
                <w:sz w:val="13"/>
                <w:szCs w:val="13"/>
              </w:rPr>
              <w:t>1.652</w:t>
            </w:r>
          </w:p>
        </w:tc>
        <w:tc>
          <w:tcPr>
            <w:tcW w:w="1184" w:type="dxa"/>
            <w:gridSpan w:val="2"/>
            <w:noWrap w:val="0"/>
            <w:vAlign w:val="center"/>
          </w:tcPr>
          <w:p>
            <w:pPr>
              <w:widowControl/>
              <w:spacing w:line="240" w:lineRule="exact"/>
              <w:jc w:val="center"/>
              <w:rPr>
                <w:kern w:val="0"/>
                <w:sz w:val="13"/>
                <w:szCs w:val="13"/>
              </w:rPr>
            </w:pPr>
            <w:r>
              <w:rPr>
                <w:kern w:val="0"/>
                <w:sz w:val="13"/>
                <w:szCs w:val="13"/>
              </w:rPr>
              <w:t>1.615</w:t>
            </w:r>
          </w:p>
        </w:tc>
        <w:tc>
          <w:tcPr>
            <w:tcW w:w="1184" w:type="dxa"/>
            <w:gridSpan w:val="2"/>
            <w:noWrap w:val="0"/>
            <w:vAlign w:val="center"/>
          </w:tcPr>
          <w:p>
            <w:pPr>
              <w:widowControl/>
              <w:spacing w:line="240" w:lineRule="exact"/>
              <w:jc w:val="center"/>
              <w:rPr>
                <w:kern w:val="0"/>
                <w:sz w:val="13"/>
                <w:szCs w:val="13"/>
              </w:rPr>
            </w:pPr>
            <w:r>
              <w:rPr>
                <w:kern w:val="0"/>
                <w:sz w:val="13"/>
                <w:szCs w:val="13"/>
              </w:rPr>
              <w:t>1.556</w:t>
            </w:r>
          </w:p>
        </w:tc>
        <w:tc>
          <w:tcPr>
            <w:tcW w:w="772" w:type="dxa"/>
            <w:noWrap w:val="0"/>
            <w:vAlign w:val="center"/>
          </w:tcPr>
          <w:p>
            <w:pPr>
              <w:widowControl/>
              <w:spacing w:line="240" w:lineRule="exact"/>
              <w:jc w:val="center"/>
              <w:rPr>
                <w:kern w:val="0"/>
                <w:sz w:val="13"/>
                <w:szCs w:val="13"/>
              </w:rPr>
            </w:pPr>
            <w:r>
              <w:rPr>
                <w:kern w:val="0"/>
                <w:sz w:val="13"/>
                <w:szCs w:val="13"/>
              </w:rPr>
              <w:t>1.598</w:t>
            </w:r>
          </w:p>
        </w:tc>
        <w:tc>
          <w:tcPr>
            <w:tcW w:w="773" w:type="dxa"/>
            <w:tcBorders>
              <w:right w:val="nil"/>
            </w:tcBorders>
            <w:noWrap w:val="0"/>
            <w:vAlign w:val="center"/>
          </w:tcPr>
          <w:p>
            <w:pPr>
              <w:spacing w:line="240" w:lineRule="exact"/>
              <w:jc w:val="center"/>
              <w:rPr>
                <w:sz w:val="13"/>
                <w:szCs w:val="13"/>
              </w:rPr>
            </w:pPr>
            <w:r>
              <w:rPr>
                <w:sz w:val="13"/>
                <w:szCs w:val="13"/>
              </w:rPr>
              <w:t>2.86</w:t>
            </w:r>
          </w:p>
        </w:tc>
      </w:tr>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2" w:hRule="atLeast"/>
          <w:jc w:val="center"/>
        </w:trPr>
        <w:tc>
          <w:tcPr>
            <w:tcW w:w="1197" w:type="dxa"/>
            <w:noWrap w:val="0"/>
            <w:vAlign w:val="center"/>
          </w:tcPr>
          <w:p>
            <w:pPr>
              <w:spacing w:line="240" w:lineRule="exact"/>
              <w:jc w:val="center"/>
              <w:rPr>
                <w:sz w:val="13"/>
                <w:szCs w:val="13"/>
              </w:rPr>
            </w:pPr>
            <w:r>
              <w:rPr>
                <w:sz w:val="13"/>
                <w:szCs w:val="13"/>
              </w:rPr>
              <w:t>特丁硫磷</w:t>
            </w:r>
          </w:p>
        </w:tc>
        <w:tc>
          <w:tcPr>
            <w:tcW w:w="1183" w:type="dxa"/>
            <w:noWrap w:val="0"/>
            <w:vAlign w:val="center"/>
          </w:tcPr>
          <w:p>
            <w:pPr>
              <w:widowControl/>
              <w:spacing w:line="240" w:lineRule="exact"/>
              <w:jc w:val="center"/>
              <w:rPr>
                <w:kern w:val="0"/>
                <w:sz w:val="13"/>
                <w:szCs w:val="13"/>
              </w:rPr>
            </w:pPr>
            <w:r>
              <w:rPr>
                <w:kern w:val="0"/>
                <w:sz w:val="13"/>
                <w:szCs w:val="13"/>
              </w:rPr>
              <w:t>0.531</w:t>
            </w:r>
          </w:p>
        </w:tc>
        <w:tc>
          <w:tcPr>
            <w:tcW w:w="1184" w:type="dxa"/>
            <w:gridSpan w:val="3"/>
            <w:noWrap w:val="0"/>
            <w:vAlign w:val="center"/>
          </w:tcPr>
          <w:p>
            <w:pPr>
              <w:widowControl/>
              <w:spacing w:line="240" w:lineRule="exact"/>
              <w:jc w:val="center"/>
              <w:rPr>
                <w:kern w:val="0"/>
                <w:sz w:val="13"/>
                <w:szCs w:val="13"/>
              </w:rPr>
            </w:pPr>
            <w:r>
              <w:rPr>
                <w:kern w:val="0"/>
                <w:sz w:val="13"/>
                <w:szCs w:val="13"/>
              </w:rPr>
              <w:t>0.536</w:t>
            </w:r>
          </w:p>
        </w:tc>
        <w:tc>
          <w:tcPr>
            <w:tcW w:w="1183" w:type="dxa"/>
            <w:noWrap w:val="0"/>
            <w:vAlign w:val="center"/>
          </w:tcPr>
          <w:p>
            <w:pPr>
              <w:widowControl/>
              <w:spacing w:line="240" w:lineRule="exact"/>
              <w:jc w:val="center"/>
              <w:rPr>
                <w:kern w:val="0"/>
                <w:sz w:val="13"/>
                <w:szCs w:val="13"/>
              </w:rPr>
            </w:pPr>
            <w:r>
              <w:rPr>
                <w:kern w:val="0"/>
                <w:sz w:val="13"/>
                <w:szCs w:val="13"/>
              </w:rPr>
              <w:t>0.523</w:t>
            </w:r>
          </w:p>
        </w:tc>
        <w:tc>
          <w:tcPr>
            <w:tcW w:w="1184" w:type="dxa"/>
            <w:gridSpan w:val="2"/>
            <w:noWrap w:val="0"/>
            <w:vAlign w:val="center"/>
          </w:tcPr>
          <w:p>
            <w:pPr>
              <w:widowControl/>
              <w:spacing w:line="240" w:lineRule="exact"/>
              <w:jc w:val="center"/>
              <w:rPr>
                <w:kern w:val="0"/>
                <w:sz w:val="13"/>
                <w:szCs w:val="13"/>
              </w:rPr>
            </w:pPr>
            <w:r>
              <w:rPr>
                <w:kern w:val="0"/>
                <w:sz w:val="13"/>
                <w:szCs w:val="13"/>
              </w:rPr>
              <w:t>0.525</w:t>
            </w:r>
          </w:p>
        </w:tc>
        <w:tc>
          <w:tcPr>
            <w:tcW w:w="1184" w:type="dxa"/>
            <w:gridSpan w:val="2"/>
            <w:noWrap w:val="0"/>
            <w:vAlign w:val="center"/>
          </w:tcPr>
          <w:p>
            <w:pPr>
              <w:widowControl/>
              <w:spacing w:line="240" w:lineRule="exact"/>
              <w:jc w:val="center"/>
              <w:rPr>
                <w:kern w:val="0"/>
                <w:sz w:val="13"/>
                <w:szCs w:val="13"/>
              </w:rPr>
            </w:pPr>
            <w:r>
              <w:rPr>
                <w:kern w:val="0"/>
                <w:sz w:val="13"/>
                <w:szCs w:val="13"/>
              </w:rPr>
              <w:t>0.546</w:t>
            </w:r>
          </w:p>
        </w:tc>
        <w:tc>
          <w:tcPr>
            <w:tcW w:w="772" w:type="dxa"/>
            <w:noWrap w:val="0"/>
            <w:vAlign w:val="center"/>
          </w:tcPr>
          <w:p>
            <w:pPr>
              <w:widowControl/>
              <w:spacing w:line="240" w:lineRule="exact"/>
              <w:jc w:val="center"/>
              <w:rPr>
                <w:kern w:val="0"/>
                <w:sz w:val="13"/>
                <w:szCs w:val="13"/>
              </w:rPr>
            </w:pPr>
            <w:r>
              <w:rPr>
                <w:kern w:val="0"/>
                <w:sz w:val="13"/>
                <w:szCs w:val="13"/>
              </w:rPr>
              <w:t>0.532</w:t>
            </w:r>
          </w:p>
        </w:tc>
        <w:tc>
          <w:tcPr>
            <w:tcW w:w="773" w:type="dxa"/>
            <w:tcBorders>
              <w:right w:val="nil"/>
            </w:tcBorders>
            <w:noWrap w:val="0"/>
            <w:vAlign w:val="center"/>
          </w:tcPr>
          <w:p>
            <w:pPr>
              <w:spacing w:line="240" w:lineRule="exact"/>
              <w:jc w:val="center"/>
              <w:rPr>
                <w:sz w:val="13"/>
                <w:szCs w:val="13"/>
              </w:rPr>
            </w:pPr>
            <w:r>
              <w:rPr>
                <w:sz w:val="13"/>
                <w:szCs w:val="13"/>
              </w:rPr>
              <w:t>1.74</w:t>
            </w:r>
          </w:p>
        </w:tc>
      </w:tr>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2" w:hRule="atLeast"/>
          <w:jc w:val="center"/>
        </w:trPr>
        <w:tc>
          <w:tcPr>
            <w:tcW w:w="1197" w:type="dxa"/>
            <w:noWrap w:val="0"/>
            <w:vAlign w:val="center"/>
          </w:tcPr>
          <w:p>
            <w:pPr>
              <w:spacing w:line="240" w:lineRule="exact"/>
              <w:jc w:val="center"/>
              <w:rPr>
                <w:sz w:val="13"/>
                <w:szCs w:val="13"/>
              </w:rPr>
            </w:pPr>
            <w:r>
              <w:rPr>
                <w:sz w:val="13"/>
                <w:szCs w:val="13"/>
              </w:rPr>
              <w:t>久效磷</w:t>
            </w:r>
          </w:p>
        </w:tc>
        <w:tc>
          <w:tcPr>
            <w:tcW w:w="1183" w:type="dxa"/>
            <w:noWrap w:val="0"/>
            <w:vAlign w:val="center"/>
          </w:tcPr>
          <w:p>
            <w:pPr>
              <w:widowControl/>
              <w:spacing w:line="240" w:lineRule="exact"/>
              <w:jc w:val="center"/>
              <w:rPr>
                <w:kern w:val="0"/>
                <w:sz w:val="13"/>
                <w:szCs w:val="13"/>
              </w:rPr>
            </w:pPr>
            <w:r>
              <w:rPr>
                <w:kern w:val="0"/>
                <w:sz w:val="13"/>
                <w:szCs w:val="13"/>
              </w:rPr>
              <w:t>0.178</w:t>
            </w:r>
          </w:p>
        </w:tc>
        <w:tc>
          <w:tcPr>
            <w:tcW w:w="1184" w:type="dxa"/>
            <w:gridSpan w:val="3"/>
            <w:noWrap w:val="0"/>
            <w:vAlign w:val="center"/>
          </w:tcPr>
          <w:p>
            <w:pPr>
              <w:widowControl/>
              <w:spacing w:line="240" w:lineRule="exact"/>
              <w:jc w:val="center"/>
              <w:rPr>
                <w:kern w:val="0"/>
                <w:sz w:val="13"/>
                <w:szCs w:val="13"/>
              </w:rPr>
            </w:pPr>
            <w:r>
              <w:rPr>
                <w:kern w:val="0"/>
                <w:sz w:val="13"/>
                <w:szCs w:val="13"/>
              </w:rPr>
              <w:t>0.175</w:t>
            </w:r>
          </w:p>
        </w:tc>
        <w:tc>
          <w:tcPr>
            <w:tcW w:w="1183" w:type="dxa"/>
            <w:noWrap w:val="0"/>
            <w:vAlign w:val="center"/>
          </w:tcPr>
          <w:p>
            <w:pPr>
              <w:widowControl/>
              <w:spacing w:line="240" w:lineRule="exact"/>
              <w:jc w:val="center"/>
              <w:rPr>
                <w:kern w:val="0"/>
                <w:sz w:val="13"/>
                <w:szCs w:val="13"/>
              </w:rPr>
            </w:pPr>
            <w:r>
              <w:rPr>
                <w:kern w:val="0"/>
                <w:sz w:val="13"/>
                <w:szCs w:val="13"/>
              </w:rPr>
              <w:t>0.177</w:t>
            </w:r>
          </w:p>
        </w:tc>
        <w:tc>
          <w:tcPr>
            <w:tcW w:w="1184" w:type="dxa"/>
            <w:gridSpan w:val="2"/>
            <w:noWrap w:val="0"/>
            <w:vAlign w:val="center"/>
          </w:tcPr>
          <w:p>
            <w:pPr>
              <w:widowControl/>
              <w:spacing w:line="240" w:lineRule="exact"/>
              <w:jc w:val="center"/>
              <w:rPr>
                <w:kern w:val="0"/>
                <w:sz w:val="13"/>
                <w:szCs w:val="13"/>
              </w:rPr>
            </w:pPr>
            <w:r>
              <w:rPr>
                <w:kern w:val="0"/>
                <w:sz w:val="13"/>
                <w:szCs w:val="13"/>
              </w:rPr>
              <w:t>0.172</w:t>
            </w:r>
          </w:p>
        </w:tc>
        <w:tc>
          <w:tcPr>
            <w:tcW w:w="1184" w:type="dxa"/>
            <w:gridSpan w:val="2"/>
            <w:noWrap w:val="0"/>
            <w:vAlign w:val="center"/>
          </w:tcPr>
          <w:p>
            <w:pPr>
              <w:widowControl/>
              <w:spacing w:line="240" w:lineRule="exact"/>
              <w:jc w:val="center"/>
              <w:rPr>
                <w:kern w:val="0"/>
                <w:sz w:val="13"/>
                <w:szCs w:val="13"/>
              </w:rPr>
            </w:pPr>
            <w:r>
              <w:rPr>
                <w:kern w:val="0"/>
                <w:sz w:val="13"/>
                <w:szCs w:val="13"/>
              </w:rPr>
              <w:t>0.167</w:t>
            </w:r>
          </w:p>
        </w:tc>
        <w:tc>
          <w:tcPr>
            <w:tcW w:w="772" w:type="dxa"/>
            <w:noWrap w:val="0"/>
            <w:vAlign w:val="center"/>
          </w:tcPr>
          <w:p>
            <w:pPr>
              <w:widowControl/>
              <w:spacing w:line="240" w:lineRule="exact"/>
              <w:jc w:val="center"/>
              <w:rPr>
                <w:kern w:val="0"/>
                <w:sz w:val="13"/>
                <w:szCs w:val="13"/>
              </w:rPr>
            </w:pPr>
            <w:r>
              <w:rPr>
                <w:kern w:val="0"/>
                <w:sz w:val="13"/>
                <w:szCs w:val="13"/>
              </w:rPr>
              <w:t>0.174</w:t>
            </w:r>
          </w:p>
        </w:tc>
        <w:tc>
          <w:tcPr>
            <w:tcW w:w="773" w:type="dxa"/>
            <w:tcBorders>
              <w:right w:val="nil"/>
            </w:tcBorders>
            <w:noWrap w:val="0"/>
            <w:vAlign w:val="center"/>
          </w:tcPr>
          <w:p>
            <w:pPr>
              <w:spacing w:line="240" w:lineRule="exact"/>
              <w:jc w:val="center"/>
              <w:rPr>
                <w:sz w:val="13"/>
                <w:szCs w:val="13"/>
              </w:rPr>
            </w:pPr>
            <w:r>
              <w:rPr>
                <w:sz w:val="13"/>
                <w:szCs w:val="13"/>
              </w:rPr>
              <w:t>2.54</w:t>
            </w:r>
          </w:p>
        </w:tc>
      </w:tr>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2" w:hRule="atLeast"/>
          <w:jc w:val="center"/>
        </w:trPr>
        <w:tc>
          <w:tcPr>
            <w:tcW w:w="1197" w:type="dxa"/>
            <w:noWrap w:val="0"/>
            <w:vAlign w:val="center"/>
          </w:tcPr>
          <w:p>
            <w:pPr>
              <w:spacing w:line="240" w:lineRule="exact"/>
              <w:jc w:val="center"/>
              <w:rPr>
                <w:sz w:val="13"/>
                <w:szCs w:val="13"/>
              </w:rPr>
            </w:pPr>
            <w:r>
              <w:rPr>
                <w:sz w:val="13"/>
                <w:szCs w:val="13"/>
              </w:rPr>
              <w:t>甲基对硫磷</w:t>
            </w:r>
          </w:p>
        </w:tc>
        <w:tc>
          <w:tcPr>
            <w:tcW w:w="1183" w:type="dxa"/>
            <w:noWrap w:val="0"/>
            <w:vAlign w:val="center"/>
          </w:tcPr>
          <w:p>
            <w:pPr>
              <w:widowControl/>
              <w:spacing w:line="240" w:lineRule="exact"/>
              <w:jc w:val="center"/>
              <w:rPr>
                <w:kern w:val="0"/>
                <w:sz w:val="13"/>
                <w:szCs w:val="13"/>
              </w:rPr>
            </w:pPr>
            <w:r>
              <w:rPr>
                <w:kern w:val="0"/>
                <w:sz w:val="13"/>
                <w:szCs w:val="13"/>
              </w:rPr>
              <w:t>1.325</w:t>
            </w:r>
          </w:p>
        </w:tc>
        <w:tc>
          <w:tcPr>
            <w:tcW w:w="1184" w:type="dxa"/>
            <w:gridSpan w:val="3"/>
            <w:noWrap w:val="0"/>
            <w:vAlign w:val="center"/>
          </w:tcPr>
          <w:p>
            <w:pPr>
              <w:widowControl/>
              <w:spacing w:line="240" w:lineRule="exact"/>
              <w:jc w:val="center"/>
              <w:rPr>
                <w:kern w:val="0"/>
                <w:sz w:val="13"/>
                <w:szCs w:val="13"/>
              </w:rPr>
            </w:pPr>
            <w:r>
              <w:rPr>
                <w:kern w:val="0"/>
                <w:sz w:val="13"/>
                <w:szCs w:val="13"/>
              </w:rPr>
              <w:t>1.253</w:t>
            </w:r>
          </w:p>
        </w:tc>
        <w:tc>
          <w:tcPr>
            <w:tcW w:w="1183" w:type="dxa"/>
            <w:noWrap w:val="0"/>
            <w:vAlign w:val="center"/>
          </w:tcPr>
          <w:p>
            <w:pPr>
              <w:widowControl/>
              <w:spacing w:line="240" w:lineRule="exact"/>
              <w:jc w:val="center"/>
              <w:rPr>
                <w:kern w:val="0"/>
                <w:sz w:val="13"/>
                <w:szCs w:val="13"/>
              </w:rPr>
            </w:pPr>
            <w:r>
              <w:rPr>
                <w:kern w:val="0"/>
                <w:sz w:val="13"/>
                <w:szCs w:val="13"/>
              </w:rPr>
              <w:t>1.298</w:t>
            </w:r>
          </w:p>
        </w:tc>
        <w:tc>
          <w:tcPr>
            <w:tcW w:w="1184" w:type="dxa"/>
            <w:gridSpan w:val="2"/>
            <w:noWrap w:val="0"/>
            <w:vAlign w:val="center"/>
          </w:tcPr>
          <w:p>
            <w:pPr>
              <w:widowControl/>
              <w:spacing w:line="240" w:lineRule="exact"/>
              <w:jc w:val="center"/>
              <w:rPr>
                <w:kern w:val="0"/>
                <w:sz w:val="13"/>
                <w:szCs w:val="13"/>
              </w:rPr>
            </w:pPr>
            <w:r>
              <w:rPr>
                <w:kern w:val="0"/>
                <w:sz w:val="13"/>
                <w:szCs w:val="13"/>
              </w:rPr>
              <w:t>1.280</w:t>
            </w:r>
          </w:p>
        </w:tc>
        <w:tc>
          <w:tcPr>
            <w:tcW w:w="1184" w:type="dxa"/>
            <w:gridSpan w:val="2"/>
            <w:noWrap w:val="0"/>
            <w:vAlign w:val="center"/>
          </w:tcPr>
          <w:p>
            <w:pPr>
              <w:widowControl/>
              <w:spacing w:line="240" w:lineRule="exact"/>
              <w:jc w:val="center"/>
              <w:rPr>
                <w:kern w:val="0"/>
                <w:sz w:val="13"/>
                <w:szCs w:val="13"/>
              </w:rPr>
            </w:pPr>
            <w:r>
              <w:rPr>
                <w:kern w:val="0"/>
                <w:sz w:val="13"/>
                <w:szCs w:val="13"/>
              </w:rPr>
              <w:t>1.265</w:t>
            </w:r>
          </w:p>
        </w:tc>
        <w:tc>
          <w:tcPr>
            <w:tcW w:w="772" w:type="dxa"/>
            <w:noWrap w:val="0"/>
            <w:vAlign w:val="center"/>
          </w:tcPr>
          <w:p>
            <w:pPr>
              <w:widowControl/>
              <w:spacing w:line="240" w:lineRule="exact"/>
              <w:jc w:val="center"/>
              <w:rPr>
                <w:kern w:val="0"/>
                <w:sz w:val="13"/>
                <w:szCs w:val="13"/>
              </w:rPr>
            </w:pPr>
            <w:r>
              <w:rPr>
                <w:kern w:val="0"/>
                <w:sz w:val="13"/>
                <w:szCs w:val="13"/>
              </w:rPr>
              <w:t>1.284</w:t>
            </w:r>
          </w:p>
        </w:tc>
        <w:tc>
          <w:tcPr>
            <w:tcW w:w="773" w:type="dxa"/>
            <w:tcBorders>
              <w:right w:val="nil"/>
            </w:tcBorders>
            <w:noWrap w:val="0"/>
            <w:vAlign w:val="center"/>
          </w:tcPr>
          <w:p>
            <w:pPr>
              <w:spacing w:line="240" w:lineRule="exact"/>
              <w:jc w:val="center"/>
              <w:rPr>
                <w:sz w:val="13"/>
                <w:szCs w:val="13"/>
              </w:rPr>
            </w:pPr>
            <w:r>
              <w:rPr>
                <w:sz w:val="13"/>
                <w:szCs w:val="13"/>
              </w:rPr>
              <w:t>2.21</w:t>
            </w:r>
          </w:p>
        </w:tc>
      </w:tr>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2" w:hRule="atLeast"/>
          <w:jc w:val="center"/>
        </w:trPr>
        <w:tc>
          <w:tcPr>
            <w:tcW w:w="1197" w:type="dxa"/>
            <w:noWrap w:val="0"/>
            <w:vAlign w:val="center"/>
          </w:tcPr>
          <w:p>
            <w:pPr>
              <w:spacing w:line="240" w:lineRule="exact"/>
              <w:jc w:val="center"/>
              <w:rPr>
                <w:sz w:val="13"/>
                <w:szCs w:val="13"/>
              </w:rPr>
            </w:pPr>
            <w:r>
              <w:rPr>
                <w:sz w:val="13"/>
                <w:szCs w:val="13"/>
              </w:rPr>
              <w:t>对硫磷</w:t>
            </w:r>
          </w:p>
        </w:tc>
        <w:tc>
          <w:tcPr>
            <w:tcW w:w="1183" w:type="dxa"/>
            <w:noWrap w:val="0"/>
            <w:vAlign w:val="center"/>
          </w:tcPr>
          <w:p>
            <w:pPr>
              <w:widowControl/>
              <w:spacing w:line="240" w:lineRule="exact"/>
              <w:jc w:val="center"/>
              <w:rPr>
                <w:kern w:val="0"/>
                <w:sz w:val="13"/>
                <w:szCs w:val="13"/>
              </w:rPr>
            </w:pPr>
            <w:r>
              <w:rPr>
                <w:kern w:val="0"/>
                <w:sz w:val="13"/>
                <w:szCs w:val="13"/>
              </w:rPr>
              <w:t>0.498</w:t>
            </w:r>
          </w:p>
        </w:tc>
        <w:tc>
          <w:tcPr>
            <w:tcW w:w="1184" w:type="dxa"/>
            <w:gridSpan w:val="3"/>
            <w:noWrap w:val="0"/>
            <w:vAlign w:val="center"/>
          </w:tcPr>
          <w:p>
            <w:pPr>
              <w:widowControl/>
              <w:spacing w:line="240" w:lineRule="exact"/>
              <w:jc w:val="center"/>
              <w:rPr>
                <w:kern w:val="0"/>
                <w:sz w:val="13"/>
                <w:szCs w:val="13"/>
              </w:rPr>
            </w:pPr>
            <w:r>
              <w:rPr>
                <w:kern w:val="0"/>
                <w:sz w:val="13"/>
                <w:szCs w:val="13"/>
              </w:rPr>
              <w:t>0.470</w:t>
            </w:r>
          </w:p>
        </w:tc>
        <w:tc>
          <w:tcPr>
            <w:tcW w:w="1183" w:type="dxa"/>
            <w:noWrap w:val="0"/>
            <w:vAlign w:val="center"/>
          </w:tcPr>
          <w:p>
            <w:pPr>
              <w:widowControl/>
              <w:spacing w:line="240" w:lineRule="exact"/>
              <w:jc w:val="center"/>
              <w:rPr>
                <w:kern w:val="0"/>
                <w:sz w:val="13"/>
                <w:szCs w:val="13"/>
              </w:rPr>
            </w:pPr>
            <w:r>
              <w:rPr>
                <w:kern w:val="0"/>
                <w:sz w:val="13"/>
                <w:szCs w:val="13"/>
              </w:rPr>
              <w:t>0.495</w:t>
            </w:r>
          </w:p>
        </w:tc>
        <w:tc>
          <w:tcPr>
            <w:tcW w:w="1184" w:type="dxa"/>
            <w:gridSpan w:val="2"/>
            <w:noWrap w:val="0"/>
            <w:vAlign w:val="center"/>
          </w:tcPr>
          <w:p>
            <w:pPr>
              <w:widowControl/>
              <w:spacing w:line="240" w:lineRule="exact"/>
              <w:jc w:val="center"/>
              <w:rPr>
                <w:kern w:val="0"/>
                <w:sz w:val="13"/>
                <w:szCs w:val="13"/>
              </w:rPr>
            </w:pPr>
            <w:r>
              <w:rPr>
                <w:kern w:val="0"/>
                <w:sz w:val="13"/>
                <w:szCs w:val="13"/>
              </w:rPr>
              <w:t>0.475</w:t>
            </w:r>
          </w:p>
        </w:tc>
        <w:tc>
          <w:tcPr>
            <w:tcW w:w="1184" w:type="dxa"/>
            <w:gridSpan w:val="2"/>
            <w:noWrap w:val="0"/>
            <w:vAlign w:val="center"/>
          </w:tcPr>
          <w:p>
            <w:pPr>
              <w:widowControl/>
              <w:spacing w:line="240" w:lineRule="exact"/>
              <w:jc w:val="center"/>
              <w:rPr>
                <w:kern w:val="0"/>
                <w:sz w:val="13"/>
                <w:szCs w:val="13"/>
              </w:rPr>
            </w:pPr>
            <w:r>
              <w:rPr>
                <w:kern w:val="0"/>
                <w:sz w:val="13"/>
                <w:szCs w:val="13"/>
              </w:rPr>
              <w:t>0.469</w:t>
            </w:r>
          </w:p>
        </w:tc>
        <w:tc>
          <w:tcPr>
            <w:tcW w:w="772" w:type="dxa"/>
            <w:noWrap w:val="0"/>
            <w:vAlign w:val="center"/>
          </w:tcPr>
          <w:p>
            <w:pPr>
              <w:widowControl/>
              <w:spacing w:line="240" w:lineRule="exact"/>
              <w:jc w:val="center"/>
              <w:rPr>
                <w:kern w:val="0"/>
                <w:sz w:val="13"/>
                <w:szCs w:val="13"/>
              </w:rPr>
            </w:pPr>
            <w:r>
              <w:rPr>
                <w:kern w:val="0"/>
                <w:sz w:val="13"/>
                <w:szCs w:val="13"/>
              </w:rPr>
              <w:t>0.481</w:t>
            </w:r>
          </w:p>
        </w:tc>
        <w:tc>
          <w:tcPr>
            <w:tcW w:w="773" w:type="dxa"/>
            <w:tcBorders>
              <w:right w:val="nil"/>
            </w:tcBorders>
            <w:noWrap w:val="0"/>
            <w:vAlign w:val="center"/>
          </w:tcPr>
          <w:p>
            <w:pPr>
              <w:spacing w:line="240" w:lineRule="exact"/>
              <w:jc w:val="center"/>
              <w:rPr>
                <w:sz w:val="13"/>
                <w:szCs w:val="13"/>
              </w:rPr>
            </w:pPr>
            <w:r>
              <w:rPr>
                <w:sz w:val="13"/>
                <w:szCs w:val="13"/>
              </w:rPr>
              <w:t>2.91</w:t>
            </w:r>
          </w:p>
        </w:tc>
      </w:tr>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jc w:val="center"/>
        </w:trPr>
        <w:tc>
          <w:tcPr>
            <w:tcW w:w="1197" w:type="dxa"/>
            <w:tcBorders>
              <w:bottom w:val="nil"/>
            </w:tcBorders>
            <w:noWrap w:val="0"/>
            <w:vAlign w:val="center"/>
          </w:tcPr>
          <w:p>
            <w:pPr>
              <w:spacing w:line="240" w:lineRule="exact"/>
              <w:jc w:val="center"/>
              <w:rPr>
                <w:sz w:val="13"/>
                <w:szCs w:val="13"/>
              </w:rPr>
            </w:pPr>
            <w:r>
              <w:rPr>
                <w:sz w:val="13"/>
                <w:szCs w:val="13"/>
              </w:rPr>
              <w:t>甲基异柳磷</w:t>
            </w:r>
          </w:p>
        </w:tc>
        <w:tc>
          <w:tcPr>
            <w:tcW w:w="1183" w:type="dxa"/>
            <w:tcBorders>
              <w:bottom w:val="nil"/>
            </w:tcBorders>
            <w:noWrap w:val="0"/>
            <w:vAlign w:val="center"/>
          </w:tcPr>
          <w:p>
            <w:pPr>
              <w:widowControl/>
              <w:spacing w:line="240" w:lineRule="exact"/>
              <w:jc w:val="center"/>
              <w:rPr>
                <w:kern w:val="0"/>
                <w:sz w:val="13"/>
                <w:szCs w:val="13"/>
              </w:rPr>
            </w:pPr>
            <w:r>
              <w:rPr>
                <w:kern w:val="0"/>
                <w:sz w:val="13"/>
                <w:szCs w:val="13"/>
              </w:rPr>
              <w:t>0.626</w:t>
            </w:r>
          </w:p>
        </w:tc>
        <w:tc>
          <w:tcPr>
            <w:tcW w:w="1184" w:type="dxa"/>
            <w:gridSpan w:val="3"/>
            <w:tcBorders>
              <w:bottom w:val="nil"/>
            </w:tcBorders>
            <w:noWrap w:val="0"/>
            <w:vAlign w:val="center"/>
          </w:tcPr>
          <w:p>
            <w:pPr>
              <w:widowControl/>
              <w:spacing w:line="240" w:lineRule="exact"/>
              <w:jc w:val="center"/>
              <w:rPr>
                <w:kern w:val="0"/>
                <w:sz w:val="13"/>
                <w:szCs w:val="13"/>
              </w:rPr>
            </w:pPr>
            <w:r>
              <w:rPr>
                <w:kern w:val="0"/>
                <w:sz w:val="13"/>
                <w:szCs w:val="13"/>
              </w:rPr>
              <w:t>0.623</w:t>
            </w:r>
          </w:p>
        </w:tc>
        <w:tc>
          <w:tcPr>
            <w:tcW w:w="1183" w:type="dxa"/>
            <w:tcBorders>
              <w:bottom w:val="nil"/>
            </w:tcBorders>
            <w:noWrap w:val="0"/>
            <w:vAlign w:val="center"/>
          </w:tcPr>
          <w:p>
            <w:pPr>
              <w:widowControl/>
              <w:spacing w:line="240" w:lineRule="exact"/>
              <w:jc w:val="center"/>
              <w:rPr>
                <w:kern w:val="0"/>
                <w:sz w:val="13"/>
                <w:szCs w:val="13"/>
              </w:rPr>
            </w:pPr>
            <w:r>
              <w:rPr>
                <w:kern w:val="0"/>
                <w:sz w:val="13"/>
                <w:szCs w:val="13"/>
              </w:rPr>
              <w:t>0.635</w:t>
            </w:r>
          </w:p>
        </w:tc>
        <w:tc>
          <w:tcPr>
            <w:tcW w:w="1184" w:type="dxa"/>
            <w:gridSpan w:val="2"/>
            <w:tcBorders>
              <w:bottom w:val="nil"/>
            </w:tcBorders>
            <w:noWrap w:val="0"/>
            <w:vAlign w:val="center"/>
          </w:tcPr>
          <w:p>
            <w:pPr>
              <w:widowControl/>
              <w:spacing w:line="240" w:lineRule="exact"/>
              <w:jc w:val="center"/>
              <w:rPr>
                <w:kern w:val="0"/>
                <w:sz w:val="13"/>
                <w:szCs w:val="13"/>
              </w:rPr>
            </w:pPr>
            <w:r>
              <w:rPr>
                <w:kern w:val="0"/>
                <w:sz w:val="13"/>
                <w:szCs w:val="13"/>
              </w:rPr>
              <w:t>0.648</w:t>
            </w:r>
          </w:p>
        </w:tc>
        <w:tc>
          <w:tcPr>
            <w:tcW w:w="1184" w:type="dxa"/>
            <w:gridSpan w:val="2"/>
            <w:tcBorders>
              <w:bottom w:val="nil"/>
            </w:tcBorders>
            <w:noWrap w:val="0"/>
            <w:vAlign w:val="center"/>
          </w:tcPr>
          <w:p>
            <w:pPr>
              <w:widowControl/>
              <w:spacing w:line="240" w:lineRule="exact"/>
              <w:jc w:val="center"/>
              <w:rPr>
                <w:kern w:val="0"/>
                <w:sz w:val="13"/>
                <w:szCs w:val="13"/>
              </w:rPr>
            </w:pPr>
            <w:r>
              <w:rPr>
                <w:kern w:val="0"/>
                <w:sz w:val="13"/>
                <w:szCs w:val="13"/>
              </w:rPr>
              <w:t>0.670</w:t>
            </w:r>
          </w:p>
        </w:tc>
        <w:tc>
          <w:tcPr>
            <w:tcW w:w="772" w:type="dxa"/>
            <w:tcBorders>
              <w:bottom w:val="nil"/>
            </w:tcBorders>
            <w:noWrap w:val="0"/>
            <w:vAlign w:val="center"/>
          </w:tcPr>
          <w:p>
            <w:pPr>
              <w:widowControl/>
              <w:spacing w:line="240" w:lineRule="exact"/>
              <w:jc w:val="center"/>
              <w:rPr>
                <w:kern w:val="0"/>
                <w:sz w:val="13"/>
                <w:szCs w:val="13"/>
              </w:rPr>
            </w:pPr>
            <w:r>
              <w:rPr>
                <w:kern w:val="0"/>
                <w:sz w:val="13"/>
                <w:szCs w:val="13"/>
              </w:rPr>
              <w:t>0.640</w:t>
            </w:r>
          </w:p>
        </w:tc>
        <w:tc>
          <w:tcPr>
            <w:tcW w:w="773" w:type="dxa"/>
            <w:tcBorders>
              <w:bottom w:val="nil"/>
              <w:right w:val="nil"/>
            </w:tcBorders>
            <w:noWrap w:val="0"/>
            <w:vAlign w:val="center"/>
          </w:tcPr>
          <w:p>
            <w:pPr>
              <w:spacing w:line="240" w:lineRule="exact"/>
              <w:jc w:val="center"/>
              <w:rPr>
                <w:sz w:val="13"/>
                <w:szCs w:val="13"/>
              </w:rPr>
            </w:pPr>
            <w:r>
              <w:rPr>
                <w:sz w:val="13"/>
                <w:szCs w:val="13"/>
              </w:rPr>
              <w:t>3.00</w:t>
            </w:r>
          </w:p>
        </w:tc>
      </w:tr>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3" w:hRule="atLeast"/>
          <w:jc w:val="center"/>
        </w:trPr>
        <w:tc>
          <w:tcPr>
            <w:tcW w:w="1197" w:type="dxa"/>
            <w:tcBorders>
              <w:top w:val="nil"/>
              <w:bottom w:val="single" w:color="auto" w:sz="12" w:space="0"/>
            </w:tcBorders>
            <w:noWrap w:val="0"/>
            <w:vAlign w:val="center"/>
          </w:tcPr>
          <w:p>
            <w:pPr>
              <w:spacing w:line="240" w:lineRule="exact"/>
              <w:jc w:val="center"/>
              <w:rPr>
                <w:sz w:val="13"/>
                <w:szCs w:val="13"/>
              </w:rPr>
            </w:pPr>
            <w:r>
              <w:rPr>
                <w:sz w:val="13"/>
                <w:szCs w:val="13"/>
              </w:rPr>
              <w:t>水胺硫磷</w:t>
            </w:r>
          </w:p>
        </w:tc>
        <w:tc>
          <w:tcPr>
            <w:tcW w:w="1183" w:type="dxa"/>
            <w:tcBorders>
              <w:top w:val="nil"/>
              <w:bottom w:val="single" w:color="auto" w:sz="12" w:space="0"/>
            </w:tcBorders>
            <w:noWrap w:val="0"/>
            <w:vAlign w:val="center"/>
          </w:tcPr>
          <w:p>
            <w:pPr>
              <w:widowControl/>
              <w:spacing w:line="240" w:lineRule="exact"/>
              <w:jc w:val="center"/>
              <w:rPr>
                <w:kern w:val="0"/>
                <w:sz w:val="13"/>
                <w:szCs w:val="13"/>
              </w:rPr>
            </w:pPr>
            <w:r>
              <w:rPr>
                <w:kern w:val="0"/>
                <w:sz w:val="13"/>
                <w:szCs w:val="13"/>
              </w:rPr>
              <w:t>0.378</w:t>
            </w:r>
          </w:p>
        </w:tc>
        <w:tc>
          <w:tcPr>
            <w:tcW w:w="1184" w:type="dxa"/>
            <w:gridSpan w:val="3"/>
            <w:tcBorders>
              <w:top w:val="nil"/>
              <w:bottom w:val="single" w:color="auto" w:sz="12" w:space="0"/>
            </w:tcBorders>
            <w:noWrap w:val="0"/>
            <w:vAlign w:val="center"/>
          </w:tcPr>
          <w:p>
            <w:pPr>
              <w:widowControl/>
              <w:spacing w:line="240" w:lineRule="exact"/>
              <w:jc w:val="center"/>
              <w:rPr>
                <w:kern w:val="0"/>
                <w:sz w:val="13"/>
                <w:szCs w:val="13"/>
              </w:rPr>
            </w:pPr>
            <w:r>
              <w:rPr>
                <w:kern w:val="0"/>
                <w:sz w:val="13"/>
                <w:szCs w:val="13"/>
              </w:rPr>
              <w:t>0.357</w:t>
            </w:r>
          </w:p>
        </w:tc>
        <w:tc>
          <w:tcPr>
            <w:tcW w:w="1183" w:type="dxa"/>
            <w:tcBorders>
              <w:top w:val="nil"/>
              <w:bottom w:val="single" w:color="auto" w:sz="12" w:space="0"/>
            </w:tcBorders>
            <w:noWrap w:val="0"/>
            <w:vAlign w:val="center"/>
          </w:tcPr>
          <w:p>
            <w:pPr>
              <w:widowControl/>
              <w:spacing w:line="240" w:lineRule="exact"/>
              <w:jc w:val="center"/>
              <w:rPr>
                <w:kern w:val="0"/>
                <w:sz w:val="13"/>
                <w:szCs w:val="13"/>
              </w:rPr>
            </w:pPr>
            <w:r>
              <w:rPr>
                <w:kern w:val="0"/>
                <w:sz w:val="13"/>
                <w:szCs w:val="13"/>
              </w:rPr>
              <w:t>0.361</w:t>
            </w:r>
          </w:p>
        </w:tc>
        <w:tc>
          <w:tcPr>
            <w:tcW w:w="1184" w:type="dxa"/>
            <w:gridSpan w:val="2"/>
            <w:tcBorders>
              <w:top w:val="nil"/>
              <w:bottom w:val="single" w:color="auto" w:sz="12" w:space="0"/>
            </w:tcBorders>
            <w:noWrap w:val="0"/>
            <w:vAlign w:val="center"/>
          </w:tcPr>
          <w:p>
            <w:pPr>
              <w:widowControl/>
              <w:spacing w:line="240" w:lineRule="exact"/>
              <w:jc w:val="center"/>
              <w:rPr>
                <w:kern w:val="0"/>
                <w:sz w:val="13"/>
                <w:szCs w:val="13"/>
              </w:rPr>
            </w:pPr>
            <w:r>
              <w:rPr>
                <w:kern w:val="0"/>
                <w:sz w:val="13"/>
                <w:szCs w:val="13"/>
              </w:rPr>
              <w:t>0.367</w:t>
            </w:r>
          </w:p>
        </w:tc>
        <w:tc>
          <w:tcPr>
            <w:tcW w:w="1184" w:type="dxa"/>
            <w:gridSpan w:val="2"/>
            <w:tcBorders>
              <w:top w:val="nil"/>
              <w:bottom w:val="single" w:color="auto" w:sz="12" w:space="0"/>
            </w:tcBorders>
            <w:noWrap w:val="0"/>
            <w:vAlign w:val="center"/>
          </w:tcPr>
          <w:p>
            <w:pPr>
              <w:widowControl/>
              <w:spacing w:line="240" w:lineRule="exact"/>
              <w:jc w:val="center"/>
              <w:rPr>
                <w:kern w:val="0"/>
                <w:sz w:val="13"/>
                <w:szCs w:val="13"/>
              </w:rPr>
            </w:pPr>
            <w:r>
              <w:rPr>
                <w:kern w:val="0"/>
                <w:sz w:val="13"/>
                <w:szCs w:val="13"/>
              </w:rPr>
              <w:t>0.365</w:t>
            </w:r>
          </w:p>
        </w:tc>
        <w:tc>
          <w:tcPr>
            <w:tcW w:w="772" w:type="dxa"/>
            <w:tcBorders>
              <w:top w:val="nil"/>
              <w:bottom w:val="single" w:color="auto" w:sz="12" w:space="0"/>
            </w:tcBorders>
            <w:noWrap w:val="0"/>
            <w:vAlign w:val="center"/>
          </w:tcPr>
          <w:p>
            <w:pPr>
              <w:widowControl/>
              <w:spacing w:line="240" w:lineRule="exact"/>
              <w:jc w:val="center"/>
              <w:rPr>
                <w:kern w:val="0"/>
                <w:sz w:val="13"/>
                <w:szCs w:val="13"/>
              </w:rPr>
            </w:pPr>
            <w:r>
              <w:rPr>
                <w:kern w:val="0"/>
                <w:sz w:val="13"/>
                <w:szCs w:val="13"/>
              </w:rPr>
              <w:t>0.366</w:t>
            </w:r>
          </w:p>
        </w:tc>
        <w:tc>
          <w:tcPr>
            <w:tcW w:w="773" w:type="dxa"/>
            <w:tcBorders>
              <w:top w:val="nil"/>
              <w:bottom w:val="single" w:color="auto" w:sz="12" w:space="0"/>
              <w:right w:val="nil"/>
            </w:tcBorders>
            <w:noWrap w:val="0"/>
            <w:vAlign w:val="center"/>
          </w:tcPr>
          <w:p>
            <w:pPr>
              <w:spacing w:line="240" w:lineRule="exact"/>
              <w:jc w:val="center"/>
              <w:rPr>
                <w:sz w:val="13"/>
                <w:szCs w:val="13"/>
              </w:rPr>
            </w:pPr>
            <w:r>
              <w:rPr>
                <w:sz w:val="13"/>
                <w:szCs w:val="13"/>
              </w:rPr>
              <w:t>2.17</w:t>
            </w:r>
          </w:p>
        </w:tc>
      </w:tr>
    </w:tbl>
    <w:p>
      <w:pPr>
        <w:ind w:firstLine="420" w:firstLineChars="200"/>
      </w:pPr>
    </w:p>
    <w:p>
      <w:pPr>
        <w:spacing w:line="520" w:lineRule="exact"/>
        <w:ind w:firstLine="470" w:firstLineChars="196"/>
        <w:rPr>
          <w:rFonts w:hint="eastAsia"/>
          <w:sz w:val="24"/>
          <w:lang w:val="en-US" w:eastAsia="zh-CN"/>
        </w:rPr>
      </w:pPr>
      <w:r>
        <w:rPr>
          <w:rFonts w:hint="eastAsia"/>
          <w:sz w:val="24"/>
          <w:lang w:val="en-US" w:eastAsia="zh-CN"/>
        </w:rPr>
        <w:t>由表3可知，在同一实验室，5名操作人员条件下，在短时间内对相同乳油样本中的农药成份含量进行了重复测定。其变异系数均在3.294%以下。</w:t>
      </w:r>
    </w:p>
    <w:p>
      <w:pPr>
        <w:pStyle w:val="4"/>
        <w:rPr>
          <w:rFonts w:hint="eastAsia"/>
          <w:sz w:val="24"/>
          <w:lang w:val="en-US" w:eastAsia="zh-CN"/>
        </w:rPr>
      </w:pPr>
      <w:r>
        <w:rPr>
          <w:rFonts w:ascii="宋体" w:hAnsi="宋体"/>
          <w:sz w:val="24"/>
          <w:szCs w:val="24"/>
        </w:rPr>
        <w:t>4.</w:t>
      </w:r>
      <w:r>
        <w:rPr>
          <w:rFonts w:hint="eastAsia" w:ascii="宋体" w:hAnsi="宋体"/>
          <w:sz w:val="24"/>
          <w:szCs w:val="24"/>
          <w:lang w:val="en-US" w:eastAsia="zh-CN"/>
        </w:rPr>
        <w:t>7</w:t>
      </w:r>
      <w:r>
        <w:rPr>
          <w:rFonts w:ascii="宋体" w:hAnsi="宋体"/>
          <w:sz w:val="24"/>
          <w:szCs w:val="24"/>
        </w:rPr>
        <w:t>.</w:t>
      </w:r>
      <w:r>
        <w:rPr>
          <w:rFonts w:hint="eastAsia" w:ascii="宋体" w:hAnsi="宋体"/>
          <w:sz w:val="24"/>
          <w:szCs w:val="24"/>
          <w:lang w:val="en-US" w:eastAsia="zh-CN"/>
        </w:rPr>
        <w:t>2</w:t>
      </w:r>
      <w:r>
        <w:rPr>
          <w:rFonts w:ascii="宋体" w:hAnsi="宋体"/>
          <w:sz w:val="24"/>
          <w:szCs w:val="24"/>
        </w:rPr>
        <w:t xml:space="preserve"> 试验室内精密度</w:t>
      </w:r>
      <w:r>
        <w:rPr>
          <w:rFonts w:hint="eastAsia" w:ascii="宋体" w:hAnsi="宋体"/>
          <w:sz w:val="24"/>
          <w:szCs w:val="24"/>
          <w:lang w:eastAsia="zh-CN"/>
        </w:rPr>
        <w:t>（</w:t>
      </w:r>
      <w:r>
        <w:rPr>
          <w:rFonts w:hint="eastAsia" w:ascii="宋体" w:hAnsi="宋体"/>
          <w:sz w:val="24"/>
          <w:szCs w:val="24"/>
          <w:lang w:val="en-US" w:eastAsia="zh-CN"/>
        </w:rPr>
        <w:t>方法再现性</w:t>
      </w:r>
      <w:r>
        <w:rPr>
          <w:rFonts w:hint="eastAsia" w:ascii="宋体" w:hAnsi="宋体"/>
          <w:sz w:val="24"/>
          <w:szCs w:val="24"/>
          <w:lang w:eastAsia="zh-CN"/>
        </w:rPr>
        <w:t>）</w:t>
      </w:r>
    </w:p>
    <w:p>
      <w:pPr>
        <w:spacing w:line="520" w:lineRule="exact"/>
        <w:ind w:firstLine="470" w:firstLineChars="196"/>
        <w:rPr>
          <w:rFonts w:hint="eastAsia"/>
          <w:sz w:val="24"/>
          <w:lang w:val="en-US" w:eastAsia="zh-CN"/>
        </w:rPr>
      </w:pPr>
      <w:r>
        <w:rPr>
          <w:rFonts w:hint="eastAsia"/>
          <w:sz w:val="24"/>
          <w:lang w:val="en-US" w:eastAsia="zh-CN"/>
        </w:rPr>
        <w:t>不同单位间重复性实验，重复性实验对高效氯氰菊酯乳油中添加回收农药成分检测，重复6次，检测结果见表4-5。</w:t>
      </w:r>
    </w:p>
    <w:p>
      <w:pPr>
        <w:spacing w:line="520" w:lineRule="exact"/>
        <w:ind w:firstLine="470" w:firstLineChars="196"/>
        <w:rPr>
          <w:b/>
          <w:bCs/>
        </w:rPr>
      </w:pPr>
      <w:r>
        <w:rPr>
          <w:rFonts w:hint="eastAsia"/>
          <w:sz w:val="24"/>
          <w:lang w:val="en-US" w:eastAsia="zh-CN"/>
        </w:rPr>
        <w:t>由表4两个单位重复性实验结果可以看出。贵州省农产品质检中心变异系数在2.61%以下，农科院植保所变异系数在3.44%以下，单位间的测量误差在0.18%-3.97%之间。</w:t>
      </w:r>
    </w:p>
    <w:p>
      <w:pPr>
        <w:ind w:firstLine="422" w:firstLineChars="200"/>
        <w:jc w:val="center"/>
        <w:rPr>
          <w:rFonts w:hint="eastAsia"/>
          <w:b/>
          <w:bCs/>
        </w:rPr>
      </w:pPr>
      <w:r>
        <w:rPr>
          <w:b/>
          <w:bCs/>
        </w:rPr>
        <w:t>表</w:t>
      </w:r>
      <w:r>
        <w:rPr>
          <w:rFonts w:hint="eastAsia"/>
          <w:b/>
          <w:bCs/>
        </w:rPr>
        <w:t>4单位间重复性实验</w:t>
      </w:r>
      <w:r>
        <w:rPr>
          <w:b/>
          <w:bCs/>
        </w:rPr>
        <w:t>结果</w:t>
      </w:r>
      <w:r>
        <w:rPr>
          <w:rFonts w:hint="eastAsia"/>
          <w:b/>
          <w:bCs/>
        </w:rPr>
        <w:t>（</w:t>
      </w:r>
      <w:r>
        <w:rPr>
          <w:rFonts w:hint="eastAsia" w:ascii="宋体" w:hAnsi="宋体" w:cs="宋体"/>
          <w:kern w:val="0"/>
          <w:szCs w:val="21"/>
        </w:rPr>
        <w:t>高效氯氰菊酯乳油</w:t>
      </w:r>
      <w:r>
        <w:rPr>
          <w:rFonts w:hint="eastAsia"/>
          <w:b/>
          <w:bCs/>
        </w:rPr>
        <w:t>）</w:t>
      </w:r>
    </w:p>
    <w:tbl>
      <w:tblPr>
        <w:tblStyle w:val="10"/>
        <w:tblW w:w="8340" w:type="dxa"/>
        <w:jc w:val="center"/>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84"/>
        <w:gridCol w:w="482"/>
        <w:gridCol w:w="1144"/>
        <w:gridCol w:w="725"/>
        <w:gridCol w:w="711"/>
        <w:gridCol w:w="711"/>
        <w:gridCol w:w="711"/>
        <w:gridCol w:w="712"/>
        <w:gridCol w:w="710"/>
        <w:gridCol w:w="712"/>
        <w:gridCol w:w="710"/>
        <w:gridCol w:w="528"/>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jc w:val="center"/>
        </w:trPr>
        <w:tc>
          <w:tcPr>
            <w:tcW w:w="484" w:type="dxa"/>
            <w:tcBorders>
              <w:top w:val="single" w:color="auto" w:sz="12" w:space="0"/>
              <w:bottom w:val="single" w:color="auto" w:sz="8" w:space="0"/>
            </w:tcBorders>
            <w:noWrap w:val="0"/>
            <w:vAlign w:val="center"/>
          </w:tcPr>
          <w:p>
            <w:pPr>
              <w:widowControl/>
              <w:jc w:val="center"/>
              <w:rPr>
                <w:rFonts w:hint="eastAsia" w:hAnsi="宋体" w:cs="宋体"/>
                <w:kern w:val="0"/>
                <w:sz w:val="15"/>
                <w:szCs w:val="15"/>
              </w:rPr>
            </w:pPr>
            <w:r>
              <w:rPr>
                <w:rFonts w:hint="eastAsia" w:hAnsi="宋体" w:cs="宋体"/>
                <w:kern w:val="0"/>
                <w:sz w:val="15"/>
                <w:szCs w:val="15"/>
              </w:rPr>
              <w:t>样本</w:t>
            </w:r>
          </w:p>
        </w:tc>
        <w:tc>
          <w:tcPr>
            <w:tcW w:w="482" w:type="dxa"/>
            <w:tcBorders>
              <w:top w:val="single" w:color="auto" w:sz="12" w:space="0"/>
              <w:bottom w:val="single" w:color="auto" w:sz="8" w:space="0"/>
            </w:tcBorders>
            <w:noWrap w:val="0"/>
            <w:vAlign w:val="center"/>
          </w:tcPr>
          <w:p>
            <w:pPr>
              <w:widowControl/>
              <w:jc w:val="center"/>
              <w:rPr>
                <w:rFonts w:hAnsi="宋体" w:cs="宋体"/>
                <w:kern w:val="0"/>
                <w:sz w:val="15"/>
                <w:szCs w:val="15"/>
              </w:rPr>
            </w:pPr>
            <w:r>
              <w:rPr>
                <w:rFonts w:hint="eastAsia" w:hAnsi="宋体" w:cs="宋体"/>
                <w:kern w:val="0"/>
                <w:sz w:val="15"/>
                <w:szCs w:val="15"/>
              </w:rPr>
              <w:t>单位</w:t>
            </w:r>
          </w:p>
        </w:tc>
        <w:tc>
          <w:tcPr>
            <w:tcW w:w="1144" w:type="dxa"/>
            <w:tcBorders>
              <w:top w:val="single" w:color="auto" w:sz="12" w:space="0"/>
              <w:bottom w:val="single" w:color="auto" w:sz="8" w:space="0"/>
            </w:tcBorders>
            <w:noWrap w:val="0"/>
            <w:vAlign w:val="center"/>
          </w:tcPr>
          <w:p>
            <w:pPr>
              <w:widowControl/>
              <w:jc w:val="center"/>
              <w:rPr>
                <w:rFonts w:hint="eastAsia" w:cs="宋体"/>
                <w:kern w:val="0"/>
                <w:sz w:val="15"/>
                <w:szCs w:val="15"/>
              </w:rPr>
            </w:pPr>
            <w:r>
              <w:rPr>
                <w:rFonts w:hint="eastAsia" w:hAnsi="宋体" w:cs="宋体"/>
                <w:kern w:val="0"/>
                <w:sz w:val="15"/>
                <w:szCs w:val="15"/>
              </w:rPr>
              <w:t>农药</w:t>
            </w:r>
          </w:p>
          <w:p>
            <w:pPr>
              <w:widowControl/>
              <w:jc w:val="center"/>
              <w:rPr>
                <w:rFonts w:cs="宋体"/>
                <w:kern w:val="0"/>
                <w:sz w:val="15"/>
                <w:szCs w:val="15"/>
              </w:rPr>
            </w:pPr>
            <w:r>
              <w:rPr>
                <w:rFonts w:hint="eastAsia" w:hAnsi="宋体" w:cs="宋体"/>
                <w:kern w:val="0"/>
                <w:sz w:val="15"/>
                <w:szCs w:val="15"/>
              </w:rPr>
              <w:t>名称</w:t>
            </w:r>
          </w:p>
        </w:tc>
        <w:tc>
          <w:tcPr>
            <w:tcW w:w="725" w:type="dxa"/>
            <w:tcBorders>
              <w:top w:val="single" w:color="auto" w:sz="12" w:space="0"/>
              <w:bottom w:val="single" w:color="auto" w:sz="8" w:space="0"/>
            </w:tcBorders>
            <w:noWrap w:val="0"/>
            <w:vAlign w:val="center"/>
          </w:tcPr>
          <w:p>
            <w:pPr>
              <w:widowControl/>
              <w:jc w:val="center"/>
              <w:rPr>
                <w:rFonts w:hint="eastAsia" w:cs="宋体"/>
                <w:kern w:val="0"/>
                <w:sz w:val="15"/>
                <w:szCs w:val="15"/>
              </w:rPr>
            </w:pPr>
            <w:r>
              <w:rPr>
                <w:rFonts w:hint="eastAsia" w:hAnsi="宋体" w:cs="宋体"/>
                <w:kern w:val="0"/>
                <w:sz w:val="15"/>
                <w:szCs w:val="15"/>
              </w:rPr>
              <w:t>实际</w:t>
            </w:r>
          </w:p>
          <w:p>
            <w:pPr>
              <w:widowControl/>
              <w:jc w:val="center"/>
              <w:rPr>
                <w:rFonts w:cs="宋体"/>
                <w:kern w:val="0"/>
                <w:sz w:val="15"/>
                <w:szCs w:val="15"/>
              </w:rPr>
            </w:pPr>
            <w:r>
              <w:rPr>
                <w:rFonts w:hint="eastAsia" w:hAnsi="宋体" w:cs="宋体"/>
                <w:kern w:val="0"/>
                <w:sz w:val="15"/>
                <w:szCs w:val="15"/>
              </w:rPr>
              <w:t>添加</w:t>
            </w:r>
          </w:p>
        </w:tc>
        <w:tc>
          <w:tcPr>
            <w:tcW w:w="711" w:type="dxa"/>
            <w:tcBorders>
              <w:top w:val="single" w:color="auto" w:sz="12" w:space="0"/>
              <w:bottom w:val="single" w:color="auto" w:sz="8" w:space="0"/>
            </w:tcBorders>
            <w:noWrap w:val="0"/>
            <w:vAlign w:val="center"/>
          </w:tcPr>
          <w:p>
            <w:pPr>
              <w:widowControl/>
              <w:jc w:val="center"/>
              <w:rPr>
                <w:rFonts w:cs="宋体"/>
                <w:kern w:val="0"/>
                <w:sz w:val="15"/>
                <w:szCs w:val="15"/>
              </w:rPr>
            </w:pPr>
            <w:r>
              <w:rPr>
                <w:rFonts w:hint="eastAsia" w:cs="宋体"/>
                <w:kern w:val="0"/>
                <w:sz w:val="15"/>
                <w:szCs w:val="15"/>
              </w:rPr>
              <w:t>1</w:t>
            </w:r>
          </w:p>
        </w:tc>
        <w:tc>
          <w:tcPr>
            <w:tcW w:w="711" w:type="dxa"/>
            <w:tcBorders>
              <w:top w:val="single" w:color="auto" w:sz="12" w:space="0"/>
              <w:bottom w:val="single" w:color="auto" w:sz="8" w:space="0"/>
            </w:tcBorders>
            <w:noWrap w:val="0"/>
            <w:vAlign w:val="center"/>
          </w:tcPr>
          <w:p>
            <w:pPr>
              <w:widowControl/>
              <w:jc w:val="center"/>
              <w:rPr>
                <w:rFonts w:cs="宋体"/>
                <w:kern w:val="0"/>
                <w:sz w:val="15"/>
                <w:szCs w:val="15"/>
              </w:rPr>
            </w:pPr>
            <w:r>
              <w:rPr>
                <w:rFonts w:hint="eastAsia" w:cs="宋体"/>
                <w:kern w:val="0"/>
                <w:sz w:val="15"/>
                <w:szCs w:val="15"/>
              </w:rPr>
              <w:t>2</w:t>
            </w:r>
          </w:p>
        </w:tc>
        <w:tc>
          <w:tcPr>
            <w:tcW w:w="711" w:type="dxa"/>
            <w:tcBorders>
              <w:top w:val="single" w:color="auto" w:sz="12" w:space="0"/>
              <w:bottom w:val="single" w:color="auto" w:sz="8" w:space="0"/>
            </w:tcBorders>
            <w:noWrap w:val="0"/>
            <w:vAlign w:val="center"/>
          </w:tcPr>
          <w:p>
            <w:pPr>
              <w:widowControl/>
              <w:jc w:val="center"/>
              <w:rPr>
                <w:rFonts w:cs="宋体"/>
                <w:kern w:val="0"/>
                <w:sz w:val="15"/>
                <w:szCs w:val="15"/>
              </w:rPr>
            </w:pPr>
            <w:r>
              <w:rPr>
                <w:rFonts w:hint="eastAsia" w:cs="宋体"/>
                <w:kern w:val="0"/>
                <w:sz w:val="15"/>
                <w:szCs w:val="15"/>
              </w:rPr>
              <w:t>3</w:t>
            </w:r>
          </w:p>
        </w:tc>
        <w:tc>
          <w:tcPr>
            <w:tcW w:w="712" w:type="dxa"/>
            <w:tcBorders>
              <w:top w:val="single" w:color="auto" w:sz="12" w:space="0"/>
              <w:bottom w:val="single" w:color="auto" w:sz="8" w:space="0"/>
            </w:tcBorders>
            <w:noWrap w:val="0"/>
            <w:vAlign w:val="center"/>
          </w:tcPr>
          <w:p>
            <w:pPr>
              <w:widowControl/>
              <w:jc w:val="center"/>
              <w:rPr>
                <w:rFonts w:cs="宋体"/>
                <w:kern w:val="0"/>
                <w:sz w:val="15"/>
                <w:szCs w:val="15"/>
              </w:rPr>
            </w:pPr>
            <w:r>
              <w:rPr>
                <w:rFonts w:hint="eastAsia" w:cs="宋体"/>
                <w:kern w:val="0"/>
                <w:sz w:val="15"/>
                <w:szCs w:val="15"/>
              </w:rPr>
              <w:t>4</w:t>
            </w:r>
          </w:p>
        </w:tc>
        <w:tc>
          <w:tcPr>
            <w:tcW w:w="710" w:type="dxa"/>
            <w:tcBorders>
              <w:top w:val="single" w:color="auto" w:sz="12" w:space="0"/>
              <w:bottom w:val="single" w:color="auto" w:sz="8" w:space="0"/>
            </w:tcBorders>
            <w:noWrap w:val="0"/>
            <w:vAlign w:val="center"/>
          </w:tcPr>
          <w:p>
            <w:pPr>
              <w:widowControl/>
              <w:jc w:val="center"/>
              <w:rPr>
                <w:rFonts w:cs="宋体"/>
                <w:kern w:val="0"/>
                <w:sz w:val="15"/>
                <w:szCs w:val="15"/>
              </w:rPr>
            </w:pPr>
            <w:r>
              <w:rPr>
                <w:rFonts w:hint="eastAsia" w:cs="宋体"/>
                <w:kern w:val="0"/>
                <w:sz w:val="15"/>
                <w:szCs w:val="15"/>
              </w:rPr>
              <w:t>5</w:t>
            </w:r>
          </w:p>
        </w:tc>
        <w:tc>
          <w:tcPr>
            <w:tcW w:w="712" w:type="dxa"/>
            <w:tcBorders>
              <w:top w:val="single" w:color="auto" w:sz="12" w:space="0"/>
              <w:bottom w:val="single" w:color="auto" w:sz="8" w:space="0"/>
            </w:tcBorders>
            <w:noWrap w:val="0"/>
            <w:vAlign w:val="center"/>
          </w:tcPr>
          <w:p>
            <w:pPr>
              <w:widowControl/>
              <w:jc w:val="center"/>
              <w:rPr>
                <w:rFonts w:cs="宋体"/>
                <w:kern w:val="0"/>
                <w:sz w:val="15"/>
                <w:szCs w:val="15"/>
              </w:rPr>
            </w:pPr>
            <w:r>
              <w:rPr>
                <w:rFonts w:hint="eastAsia" w:cs="宋体"/>
                <w:kern w:val="0"/>
                <w:sz w:val="15"/>
                <w:szCs w:val="15"/>
              </w:rPr>
              <w:t>6</w:t>
            </w:r>
          </w:p>
        </w:tc>
        <w:tc>
          <w:tcPr>
            <w:tcW w:w="710" w:type="dxa"/>
            <w:tcBorders>
              <w:top w:val="single" w:color="auto" w:sz="12" w:space="0"/>
              <w:bottom w:val="single" w:color="auto" w:sz="8" w:space="0"/>
            </w:tcBorders>
            <w:noWrap w:val="0"/>
            <w:vAlign w:val="center"/>
          </w:tcPr>
          <w:p>
            <w:pPr>
              <w:widowControl/>
              <w:jc w:val="center"/>
              <w:rPr>
                <w:rFonts w:cs="宋体"/>
                <w:kern w:val="0"/>
                <w:sz w:val="15"/>
                <w:szCs w:val="15"/>
              </w:rPr>
            </w:pPr>
            <w:r>
              <w:rPr>
                <w:rFonts w:hint="eastAsia" w:hAnsi="宋体" w:cs="宋体"/>
                <w:kern w:val="0"/>
                <w:sz w:val="15"/>
                <w:szCs w:val="15"/>
              </w:rPr>
              <w:t>平均值</w:t>
            </w:r>
          </w:p>
        </w:tc>
        <w:tc>
          <w:tcPr>
            <w:tcW w:w="528" w:type="dxa"/>
            <w:tcBorders>
              <w:top w:val="single" w:color="auto" w:sz="12" w:space="0"/>
              <w:bottom w:val="single" w:color="auto" w:sz="8" w:space="0"/>
            </w:tcBorders>
            <w:noWrap w:val="0"/>
            <w:vAlign w:val="center"/>
          </w:tcPr>
          <w:p>
            <w:pPr>
              <w:widowControl/>
              <w:jc w:val="center"/>
              <w:rPr>
                <w:rFonts w:cs="宋体"/>
                <w:kern w:val="0"/>
                <w:sz w:val="15"/>
                <w:szCs w:val="15"/>
              </w:rPr>
            </w:pPr>
            <w:r>
              <w:rPr>
                <w:rFonts w:hint="eastAsia" w:cs="宋体"/>
                <w:kern w:val="0"/>
                <w:sz w:val="15"/>
                <w:szCs w:val="15"/>
              </w:rPr>
              <w:t>RSD</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98" w:hRule="atLeast"/>
          <w:jc w:val="center"/>
        </w:trPr>
        <w:tc>
          <w:tcPr>
            <w:tcW w:w="484" w:type="dxa"/>
            <w:vMerge w:val="restart"/>
            <w:tcBorders>
              <w:top w:val="single" w:color="auto" w:sz="8" w:space="0"/>
            </w:tcBorders>
            <w:noWrap w:val="0"/>
            <w:vAlign w:val="center"/>
          </w:tcPr>
          <w:p>
            <w:pPr>
              <w:widowControl/>
              <w:jc w:val="center"/>
              <w:rPr>
                <w:rFonts w:hint="eastAsia" w:hAnsi="宋体" w:cs="宋体"/>
                <w:kern w:val="0"/>
                <w:sz w:val="15"/>
                <w:szCs w:val="15"/>
              </w:rPr>
            </w:pPr>
            <w:r>
              <w:rPr>
                <w:rFonts w:hint="eastAsia" w:ascii="宋体" w:hAnsi="宋体" w:cs="宋体"/>
                <w:kern w:val="0"/>
                <w:sz w:val="15"/>
                <w:szCs w:val="15"/>
              </w:rPr>
              <w:t>高效氯氰菊酯乳油</w:t>
            </w:r>
          </w:p>
        </w:tc>
        <w:tc>
          <w:tcPr>
            <w:tcW w:w="482" w:type="dxa"/>
            <w:vMerge w:val="restart"/>
            <w:tcBorders>
              <w:top w:val="single" w:color="auto" w:sz="8" w:space="0"/>
            </w:tcBorders>
            <w:noWrap w:val="0"/>
            <w:vAlign w:val="center"/>
          </w:tcPr>
          <w:p>
            <w:pPr>
              <w:widowControl/>
              <w:jc w:val="center"/>
              <w:rPr>
                <w:rFonts w:cs="宋体"/>
                <w:kern w:val="0"/>
                <w:sz w:val="15"/>
                <w:szCs w:val="15"/>
              </w:rPr>
            </w:pPr>
            <w:r>
              <w:rPr>
                <w:rFonts w:hint="eastAsia" w:hAnsi="宋体" w:cs="宋体"/>
                <w:kern w:val="0"/>
                <w:sz w:val="15"/>
                <w:szCs w:val="15"/>
              </w:rPr>
              <w:t>贵州省农产品质检中心</w:t>
            </w:r>
          </w:p>
        </w:tc>
        <w:tc>
          <w:tcPr>
            <w:tcW w:w="1144" w:type="dxa"/>
            <w:tcBorders>
              <w:top w:val="single" w:color="auto" w:sz="8" w:space="0"/>
            </w:tcBorders>
            <w:noWrap w:val="0"/>
            <w:vAlign w:val="center"/>
          </w:tcPr>
          <w:p>
            <w:pPr>
              <w:widowControl/>
              <w:jc w:val="center"/>
              <w:rPr>
                <w:rFonts w:cs="宋体"/>
                <w:kern w:val="0"/>
                <w:sz w:val="15"/>
                <w:szCs w:val="15"/>
              </w:rPr>
            </w:pPr>
            <w:r>
              <w:rPr>
                <w:rFonts w:hint="eastAsia" w:hAnsi="宋体" w:cs="宋体"/>
                <w:kern w:val="0"/>
                <w:sz w:val="15"/>
                <w:szCs w:val="15"/>
              </w:rPr>
              <w:t>甲胺磷</w:t>
            </w:r>
          </w:p>
        </w:tc>
        <w:tc>
          <w:tcPr>
            <w:tcW w:w="725" w:type="dxa"/>
            <w:tcBorders>
              <w:top w:val="single" w:color="auto" w:sz="8" w:space="0"/>
            </w:tcBorders>
            <w:noWrap w:val="0"/>
            <w:vAlign w:val="center"/>
          </w:tcPr>
          <w:p>
            <w:pPr>
              <w:widowControl/>
              <w:jc w:val="center"/>
              <w:rPr>
                <w:rFonts w:cs="宋体"/>
                <w:kern w:val="0"/>
                <w:sz w:val="15"/>
                <w:szCs w:val="15"/>
              </w:rPr>
            </w:pPr>
            <w:r>
              <w:rPr>
                <w:rFonts w:hint="eastAsia" w:cs="宋体"/>
                <w:kern w:val="0"/>
                <w:sz w:val="15"/>
                <w:szCs w:val="15"/>
              </w:rPr>
              <w:t>1.563</w:t>
            </w:r>
          </w:p>
        </w:tc>
        <w:tc>
          <w:tcPr>
            <w:tcW w:w="711" w:type="dxa"/>
            <w:tcBorders>
              <w:top w:val="single" w:color="auto" w:sz="8" w:space="0"/>
            </w:tcBorders>
            <w:noWrap w:val="0"/>
            <w:vAlign w:val="center"/>
          </w:tcPr>
          <w:p>
            <w:pPr>
              <w:widowControl/>
              <w:jc w:val="center"/>
              <w:rPr>
                <w:rFonts w:cs="宋体"/>
                <w:kern w:val="0"/>
                <w:sz w:val="15"/>
                <w:szCs w:val="15"/>
              </w:rPr>
            </w:pPr>
            <w:r>
              <w:rPr>
                <w:rFonts w:hint="eastAsia" w:cs="宋体"/>
                <w:kern w:val="0"/>
                <w:sz w:val="15"/>
                <w:szCs w:val="15"/>
              </w:rPr>
              <w:t>1.541</w:t>
            </w:r>
          </w:p>
        </w:tc>
        <w:tc>
          <w:tcPr>
            <w:tcW w:w="711" w:type="dxa"/>
            <w:tcBorders>
              <w:top w:val="single" w:color="auto" w:sz="8" w:space="0"/>
            </w:tcBorders>
            <w:noWrap w:val="0"/>
            <w:vAlign w:val="center"/>
          </w:tcPr>
          <w:p>
            <w:pPr>
              <w:widowControl/>
              <w:jc w:val="center"/>
              <w:rPr>
                <w:rFonts w:cs="宋体"/>
                <w:kern w:val="0"/>
                <w:sz w:val="15"/>
                <w:szCs w:val="15"/>
              </w:rPr>
            </w:pPr>
            <w:r>
              <w:rPr>
                <w:rFonts w:hint="eastAsia" w:cs="宋体"/>
                <w:kern w:val="0"/>
                <w:sz w:val="15"/>
                <w:szCs w:val="15"/>
              </w:rPr>
              <w:t>1.555</w:t>
            </w:r>
          </w:p>
        </w:tc>
        <w:tc>
          <w:tcPr>
            <w:tcW w:w="711" w:type="dxa"/>
            <w:tcBorders>
              <w:top w:val="single" w:color="auto" w:sz="8" w:space="0"/>
            </w:tcBorders>
            <w:noWrap w:val="0"/>
            <w:vAlign w:val="center"/>
          </w:tcPr>
          <w:p>
            <w:pPr>
              <w:widowControl/>
              <w:jc w:val="center"/>
              <w:rPr>
                <w:rFonts w:cs="宋体"/>
                <w:kern w:val="0"/>
                <w:sz w:val="15"/>
                <w:szCs w:val="15"/>
              </w:rPr>
            </w:pPr>
            <w:r>
              <w:rPr>
                <w:rFonts w:hint="eastAsia" w:cs="宋体"/>
                <w:kern w:val="0"/>
                <w:sz w:val="15"/>
                <w:szCs w:val="15"/>
              </w:rPr>
              <w:t>1.537</w:t>
            </w:r>
          </w:p>
        </w:tc>
        <w:tc>
          <w:tcPr>
            <w:tcW w:w="712" w:type="dxa"/>
            <w:tcBorders>
              <w:top w:val="single" w:color="auto" w:sz="8" w:space="0"/>
            </w:tcBorders>
            <w:noWrap w:val="0"/>
            <w:vAlign w:val="center"/>
          </w:tcPr>
          <w:p>
            <w:pPr>
              <w:widowControl/>
              <w:jc w:val="center"/>
              <w:rPr>
                <w:rFonts w:cs="宋体"/>
                <w:kern w:val="0"/>
                <w:sz w:val="15"/>
                <w:szCs w:val="15"/>
              </w:rPr>
            </w:pPr>
            <w:r>
              <w:rPr>
                <w:rFonts w:hint="eastAsia" w:cs="宋体"/>
                <w:kern w:val="0"/>
                <w:sz w:val="15"/>
                <w:szCs w:val="15"/>
              </w:rPr>
              <w:t>1.534</w:t>
            </w:r>
          </w:p>
        </w:tc>
        <w:tc>
          <w:tcPr>
            <w:tcW w:w="710" w:type="dxa"/>
            <w:tcBorders>
              <w:top w:val="single" w:color="auto" w:sz="8" w:space="0"/>
            </w:tcBorders>
            <w:noWrap w:val="0"/>
            <w:vAlign w:val="center"/>
          </w:tcPr>
          <w:p>
            <w:pPr>
              <w:widowControl/>
              <w:jc w:val="center"/>
              <w:rPr>
                <w:rFonts w:cs="宋体"/>
                <w:kern w:val="0"/>
                <w:sz w:val="15"/>
                <w:szCs w:val="15"/>
              </w:rPr>
            </w:pPr>
            <w:r>
              <w:rPr>
                <w:rFonts w:hint="eastAsia" w:cs="宋体"/>
                <w:kern w:val="0"/>
                <w:sz w:val="15"/>
                <w:szCs w:val="15"/>
              </w:rPr>
              <w:t>1.534</w:t>
            </w:r>
          </w:p>
        </w:tc>
        <w:tc>
          <w:tcPr>
            <w:tcW w:w="712" w:type="dxa"/>
            <w:tcBorders>
              <w:top w:val="single" w:color="auto" w:sz="8" w:space="0"/>
            </w:tcBorders>
            <w:noWrap w:val="0"/>
            <w:vAlign w:val="center"/>
          </w:tcPr>
          <w:p>
            <w:pPr>
              <w:widowControl/>
              <w:jc w:val="center"/>
              <w:rPr>
                <w:rFonts w:cs="宋体"/>
                <w:kern w:val="0"/>
                <w:sz w:val="15"/>
                <w:szCs w:val="15"/>
              </w:rPr>
            </w:pPr>
            <w:r>
              <w:rPr>
                <w:rFonts w:hint="eastAsia" w:cs="宋体"/>
                <w:kern w:val="0"/>
                <w:sz w:val="15"/>
                <w:szCs w:val="15"/>
              </w:rPr>
              <w:t>1.546</w:t>
            </w:r>
          </w:p>
        </w:tc>
        <w:tc>
          <w:tcPr>
            <w:tcW w:w="710" w:type="dxa"/>
            <w:tcBorders>
              <w:top w:val="single" w:color="auto" w:sz="8" w:space="0"/>
            </w:tcBorders>
            <w:noWrap w:val="0"/>
            <w:vAlign w:val="center"/>
          </w:tcPr>
          <w:p>
            <w:pPr>
              <w:widowControl/>
              <w:jc w:val="center"/>
              <w:rPr>
                <w:rFonts w:cs="宋体"/>
                <w:kern w:val="0"/>
                <w:sz w:val="15"/>
                <w:szCs w:val="15"/>
              </w:rPr>
            </w:pPr>
            <w:r>
              <w:rPr>
                <w:rFonts w:hint="eastAsia" w:cs="宋体"/>
                <w:kern w:val="0"/>
                <w:sz w:val="15"/>
                <w:szCs w:val="15"/>
              </w:rPr>
              <w:t>1.541</w:t>
            </w:r>
          </w:p>
        </w:tc>
        <w:tc>
          <w:tcPr>
            <w:tcW w:w="528" w:type="dxa"/>
            <w:tcBorders>
              <w:top w:val="single" w:color="auto" w:sz="8" w:space="0"/>
            </w:tcBorders>
            <w:noWrap w:val="0"/>
            <w:vAlign w:val="center"/>
          </w:tcPr>
          <w:p>
            <w:pPr>
              <w:widowControl/>
              <w:jc w:val="center"/>
              <w:rPr>
                <w:rFonts w:cs="宋体"/>
                <w:kern w:val="0"/>
                <w:sz w:val="15"/>
                <w:szCs w:val="15"/>
              </w:rPr>
            </w:pPr>
            <w:r>
              <w:rPr>
                <w:rFonts w:hint="eastAsia" w:cs="宋体"/>
                <w:kern w:val="0"/>
                <w:sz w:val="15"/>
                <w:szCs w:val="15"/>
              </w:rPr>
              <w:t>0.53</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jc w:val="center"/>
        </w:trPr>
        <w:tc>
          <w:tcPr>
            <w:tcW w:w="484" w:type="dxa"/>
            <w:vMerge w:val="continue"/>
            <w:noWrap w:val="0"/>
            <w:vAlign w:val="center"/>
          </w:tcPr>
          <w:p>
            <w:pPr>
              <w:widowControl/>
              <w:jc w:val="center"/>
              <w:rPr>
                <w:rFonts w:cs="宋体"/>
                <w:kern w:val="0"/>
                <w:sz w:val="15"/>
                <w:szCs w:val="15"/>
              </w:rPr>
            </w:pPr>
          </w:p>
        </w:tc>
        <w:tc>
          <w:tcPr>
            <w:tcW w:w="482" w:type="dxa"/>
            <w:vMerge w:val="continue"/>
            <w:noWrap w:val="0"/>
            <w:vAlign w:val="center"/>
          </w:tcPr>
          <w:p>
            <w:pPr>
              <w:widowControl/>
              <w:jc w:val="center"/>
              <w:rPr>
                <w:rFonts w:cs="宋体"/>
                <w:kern w:val="0"/>
                <w:sz w:val="15"/>
                <w:szCs w:val="15"/>
              </w:rPr>
            </w:pPr>
          </w:p>
        </w:tc>
        <w:tc>
          <w:tcPr>
            <w:tcW w:w="1144" w:type="dxa"/>
            <w:noWrap w:val="0"/>
            <w:vAlign w:val="center"/>
          </w:tcPr>
          <w:p>
            <w:pPr>
              <w:widowControl/>
              <w:jc w:val="center"/>
              <w:rPr>
                <w:rFonts w:cs="宋体"/>
                <w:kern w:val="0"/>
                <w:sz w:val="15"/>
                <w:szCs w:val="15"/>
              </w:rPr>
            </w:pPr>
            <w:r>
              <w:rPr>
                <w:rFonts w:hint="eastAsia" w:hAnsi="宋体" w:cs="宋体"/>
                <w:kern w:val="0"/>
                <w:sz w:val="15"/>
                <w:szCs w:val="15"/>
              </w:rPr>
              <w:t>甲拌磷</w:t>
            </w:r>
          </w:p>
        </w:tc>
        <w:tc>
          <w:tcPr>
            <w:tcW w:w="725" w:type="dxa"/>
            <w:noWrap w:val="0"/>
            <w:vAlign w:val="center"/>
          </w:tcPr>
          <w:p>
            <w:pPr>
              <w:widowControl/>
              <w:jc w:val="center"/>
              <w:rPr>
                <w:rFonts w:cs="宋体"/>
                <w:kern w:val="0"/>
                <w:sz w:val="15"/>
                <w:szCs w:val="15"/>
              </w:rPr>
            </w:pPr>
            <w:r>
              <w:rPr>
                <w:rFonts w:hint="eastAsia" w:cs="宋体"/>
                <w:kern w:val="0"/>
                <w:sz w:val="15"/>
                <w:szCs w:val="15"/>
              </w:rPr>
              <w:t>0.684</w:t>
            </w:r>
          </w:p>
        </w:tc>
        <w:tc>
          <w:tcPr>
            <w:tcW w:w="711" w:type="dxa"/>
            <w:noWrap w:val="0"/>
            <w:vAlign w:val="center"/>
          </w:tcPr>
          <w:p>
            <w:pPr>
              <w:widowControl/>
              <w:jc w:val="center"/>
              <w:rPr>
                <w:rFonts w:cs="宋体"/>
                <w:kern w:val="0"/>
                <w:sz w:val="15"/>
                <w:szCs w:val="15"/>
              </w:rPr>
            </w:pPr>
            <w:r>
              <w:rPr>
                <w:rFonts w:hint="eastAsia" w:cs="宋体"/>
                <w:kern w:val="0"/>
                <w:sz w:val="15"/>
                <w:szCs w:val="15"/>
              </w:rPr>
              <w:t>0.667</w:t>
            </w:r>
          </w:p>
        </w:tc>
        <w:tc>
          <w:tcPr>
            <w:tcW w:w="711" w:type="dxa"/>
            <w:noWrap w:val="0"/>
            <w:vAlign w:val="center"/>
          </w:tcPr>
          <w:p>
            <w:pPr>
              <w:widowControl/>
              <w:jc w:val="center"/>
              <w:rPr>
                <w:rFonts w:cs="宋体"/>
                <w:kern w:val="0"/>
                <w:sz w:val="15"/>
                <w:szCs w:val="15"/>
              </w:rPr>
            </w:pPr>
            <w:r>
              <w:rPr>
                <w:rFonts w:hint="eastAsia" w:cs="宋体"/>
                <w:kern w:val="0"/>
                <w:sz w:val="15"/>
                <w:szCs w:val="15"/>
              </w:rPr>
              <w:t>0.672</w:t>
            </w:r>
          </w:p>
        </w:tc>
        <w:tc>
          <w:tcPr>
            <w:tcW w:w="711" w:type="dxa"/>
            <w:noWrap w:val="0"/>
            <w:vAlign w:val="center"/>
          </w:tcPr>
          <w:p>
            <w:pPr>
              <w:widowControl/>
              <w:jc w:val="center"/>
              <w:rPr>
                <w:rFonts w:cs="宋体"/>
                <w:kern w:val="0"/>
                <w:sz w:val="15"/>
                <w:szCs w:val="15"/>
              </w:rPr>
            </w:pPr>
            <w:r>
              <w:rPr>
                <w:rFonts w:hint="eastAsia" w:cs="宋体"/>
                <w:kern w:val="0"/>
                <w:sz w:val="15"/>
                <w:szCs w:val="15"/>
              </w:rPr>
              <w:t>0.652</w:t>
            </w:r>
          </w:p>
        </w:tc>
        <w:tc>
          <w:tcPr>
            <w:tcW w:w="712" w:type="dxa"/>
            <w:noWrap w:val="0"/>
            <w:vAlign w:val="center"/>
          </w:tcPr>
          <w:p>
            <w:pPr>
              <w:widowControl/>
              <w:jc w:val="center"/>
              <w:rPr>
                <w:rFonts w:cs="宋体"/>
                <w:kern w:val="0"/>
                <w:sz w:val="15"/>
                <w:szCs w:val="15"/>
              </w:rPr>
            </w:pPr>
            <w:r>
              <w:rPr>
                <w:rFonts w:hint="eastAsia" w:cs="宋体"/>
                <w:kern w:val="0"/>
                <w:sz w:val="15"/>
                <w:szCs w:val="15"/>
              </w:rPr>
              <w:t>0.649</w:t>
            </w:r>
          </w:p>
        </w:tc>
        <w:tc>
          <w:tcPr>
            <w:tcW w:w="710" w:type="dxa"/>
            <w:noWrap w:val="0"/>
            <w:vAlign w:val="center"/>
          </w:tcPr>
          <w:p>
            <w:pPr>
              <w:widowControl/>
              <w:jc w:val="center"/>
              <w:rPr>
                <w:rFonts w:cs="宋体"/>
                <w:kern w:val="0"/>
                <w:sz w:val="15"/>
                <w:szCs w:val="15"/>
              </w:rPr>
            </w:pPr>
            <w:r>
              <w:rPr>
                <w:rFonts w:hint="eastAsia" w:cs="宋体"/>
                <w:kern w:val="0"/>
                <w:sz w:val="15"/>
                <w:szCs w:val="15"/>
              </w:rPr>
              <w:t>0.672</w:t>
            </w:r>
          </w:p>
        </w:tc>
        <w:tc>
          <w:tcPr>
            <w:tcW w:w="712" w:type="dxa"/>
            <w:noWrap w:val="0"/>
            <w:vAlign w:val="center"/>
          </w:tcPr>
          <w:p>
            <w:pPr>
              <w:widowControl/>
              <w:jc w:val="center"/>
              <w:rPr>
                <w:rFonts w:cs="宋体"/>
                <w:kern w:val="0"/>
                <w:sz w:val="15"/>
                <w:szCs w:val="15"/>
              </w:rPr>
            </w:pPr>
            <w:r>
              <w:rPr>
                <w:rFonts w:hint="eastAsia" w:cs="宋体"/>
                <w:kern w:val="0"/>
                <w:sz w:val="15"/>
                <w:szCs w:val="15"/>
              </w:rPr>
              <w:t>0.670</w:t>
            </w:r>
          </w:p>
        </w:tc>
        <w:tc>
          <w:tcPr>
            <w:tcW w:w="710" w:type="dxa"/>
            <w:noWrap w:val="0"/>
            <w:vAlign w:val="center"/>
          </w:tcPr>
          <w:p>
            <w:pPr>
              <w:widowControl/>
              <w:jc w:val="center"/>
              <w:rPr>
                <w:rFonts w:cs="宋体"/>
                <w:kern w:val="0"/>
                <w:sz w:val="15"/>
                <w:szCs w:val="15"/>
              </w:rPr>
            </w:pPr>
            <w:r>
              <w:rPr>
                <w:rFonts w:hint="eastAsia" w:cs="宋体"/>
                <w:kern w:val="0"/>
                <w:sz w:val="15"/>
                <w:szCs w:val="15"/>
              </w:rPr>
              <w:t>0.664</w:t>
            </w:r>
          </w:p>
        </w:tc>
        <w:tc>
          <w:tcPr>
            <w:tcW w:w="528" w:type="dxa"/>
            <w:noWrap w:val="0"/>
            <w:vAlign w:val="center"/>
          </w:tcPr>
          <w:p>
            <w:pPr>
              <w:widowControl/>
              <w:jc w:val="center"/>
              <w:rPr>
                <w:rFonts w:cs="宋体"/>
                <w:kern w:val="0"/>
                <w:sz w:val="15"/>
                <w:szCs w:val="15"/>
              </w:rPr>
            </w:pPr>
            <w:r>
              <w:rPr>
                <w:rFonts w:hint="eastAsia" w:cs="宋体"/>
                <w:kern w:val="0"/>
                <w:sz w:val="15"/>
                <w:szCs w:val="15"/>
              </w:rPr>
              <w:t>1.57</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jc w:val="center"/>
        </w:trPr>
        <w:tc>
          <w:tcPr>
            <w:tcW w:w="484" w:type="dxa"/>
            <w:vMerge w:val="continue"/>
            <w:noWrap w:val="0"/>
            <w:vAlign w:val="center"/>
          </w:tcPr>
          <w:p>
            <w:pPr>
              <w:widowControl/>
              <w:jc w:val="center"/>
              <w:rPr>
                <w:rFonts w:cs="宋体"/>
                <w:kern w:val="0"/>
                <w:sz w:val="15"/>
                <w:szCs w:val="15"/>
              </w:rPr>
            </w:pPr>
          </w:p>
        </w:tc>
        <w:tc>
          <w:tcPr>
            <w:tcW w:w="482" w:type="dxa"/>
            <w:vMerge w:val="continue"/>
            <w:noWrap w:val="0"/>
            <w:vAlign w:val="center"/>
          </w:tcPr>
          <w:p>
            <w:pPr>
              <w:widowControl/>
              <w:jc w:val="center"/>
              <w:rPr>
                <w:rFonts w:cs="宋体"/>
                <w:kern w:val="0"/>
                <w:sz w:val="15"/>
                <w:szCs w:val="15"/>
              </w:rPr>
            </w:pPr>
          </w:p>
        </w:tc>
        <w:tc>
          <w:tcPr>
            <w:tcW w:w="1144" w:type="dxa"/>
            <w:noWrap w:val="0"/>
            <w:vAlign w:val="center"/>
          </w:tcPr>
          <w:p>
            <w:pPr>
              <w:widowControl/>
              <w:jc w:val="center"/>
              <w:rPr>
                <w:rFonts w:cs="宋体"/>
                <w:kern w:val="0"/>
                <w:sz w:val="15"/>
                <w:szCs w:val="15"/>
              </w:rPr>
            </w:pPr>
            <w:r>
              <w:rPr>
                <w:rFonts w:hint="eastAsia" w:hAnsi="宋体" w:cs="宋体"/>
                <w:kern w:val="0"/>
                <w:sz w:val="15"/>
                <w:szCs w:val="15"/>
              </w:rPr>
              <w:t>治螟磷</w:t>
            </w:r>
          </w:p>
        </w:tc>
        <w:tc>
          <w:tcPr>
            <w:tcW w:w="725" w:type="dxa"/>
            <w:noWrap w:val="0"/>
            <w:vAlign w:val="center"/>
          </w:tcPr>
          <w:p>
            <w:pPr>
              <w:widowControl/>
              <w:jc w:val="center"/>
              <w:rPr>
                <w:rFonts w:cs="宋体"/>
                <w:kern w:val="0"/>
                <w:sz w:val="15"/>
                <w:szCs w:val="15"/>
              </w:rPr>
            </w:pPr>
            <w:r>
              <w:rPr>
                <w:rFonts w:hint="eastAsia" w:cs="宋体"/>
                <w:kern w:val="0"/>
                <w:sz w:val="15"/>
                <w:szCs w:val="15"/>
              </w:rPr>
              <w:t>0.922</w:t>
            </w:r>
          </w:p>
        </w:tc>
        <w:tc>
          <w:tcPr>
            <w:tcW w:w="711" w:type="dxa"/>
            <w:noWrap w:val="0"/>
            <w:vAlign w:val="center"/>
          </w:tcPr>
          <w:p>
            <w:pPr>
              <w:widowControl/>
              <w:jc w:val="center"/>
              <w:rPr>
                <w:rFonts w:cs="宋体"/>
                <w:kern w:val="0"/>
                <w:sz w:val="15"/>
                <w:szCs w:val="15"/>
              </w:rPr>
            </w:pPr>
            <w:r>
              <w:rPr>
                <w:rFonts w:hint="eastAsia" w:cs="宋体"/>
                <w:kern w:val="0"/>
                <w:sz w:val="15"/>
                <w:szCs w:val="15"/>
              </w:rPr>
              <w:t>0.902</w:t>
            </w:r>
          </w:p>
        </w:tc>
        <w:tc>
          <w:tcPr>
            <w:tcW w:w="711" w:type="dxa"/>
            <w:noWrap w:val="0"/>
            <w:vAlign w:val="center"/>
          </w:tcPr>
          <w:p>
            <w:pPr>
              <w:widowControl/>
              <w:jc w:val="center"/>
              <w:rPr>
                <w:rFonts w:cs="宋体"/>
                <w:kern w:val="0"/>
                <w:sz w:val="15"/>
                <w:szCs w:val="15"/>
              </w:rPr>
            </w:pPr>
            <w:r>
              <w:rPr>
                <w:rFonts w:hint="eastAsia" w:cs="宋体"/>
                <w:kern w:val="0"/>
                <w:sz w:val="15"/>
                <w:szCs w:val="15"/>
              </w:rPr>
              <w:t>0.882</w:t>
            </w:r>
          </w:p>
        </w:tc>
        <w:tc>
          <w:tcPr>
            <w:tcW w:w="711" w:type="dxa"/>
            <w:noWrap w:val="0"/>
            <w:vAlign w:val="center"/>
          </w:tcPr>
          <w:p>
            <w:pPr>
              <w:widowControl/>
              <w:jc w:val="center"/>
              <w:rPr>
                <w:rFonts w:cs="宋体"/>
                <w:kern w:val="0"/>
                <w:sz w:val="15"/>
                <w:szCs w:val="15"/>
              </w:rPr>
            </w:pPr>
            <w:r>
              <w:rPr>
                <w:rFonts w:hint="eastAsia" w:cs="宋体"/>
                <w:kern w:val="0"/>
                <w:sz w:val="15"/>
                <w:szCs w:val="15"/>
              </w:rPr>
              <w:t>0.872</w:t>
            </w:r>
          </w:p>
        </w:tc>
        <w:tc>
          <w:tcPr>
            <w:tcW w:w="712" w:type="dxa"/>
            <w:noWrap w:val="0"/>
            <w:vAlign w:val="center"/>
          </w:tcPr>
          <w:p>
            <w:pPr>
              <w:widowControl/>
              <w:jc w:val="center"/>
              <w:rPr>
                <w:rFonts w:cs="宋体"/>
                <w:kern w:val="0"/>
                <w:sz w:val="15"/>
                <w:szCs w:val="15"/>
              </w:rPr>
            </w:pPr>
            <w:r>
              <w:rPr>
                <w:rFonts w:hint="eastAsia" w:cs="宋体"/>
                <w:kern w:val="0"/>
                <w:sz w:val="15"/>
                <w:szCs w:val="15"/>
              </w:rPr>
              <w:t>0.897</w:t>
            </w:r>
          </w:p>
        </w:tc>
        <w:tc>
          <w:tcPr>
            <w:tcW w:w="710" w:type="dxa"/>
            <w:noWrap w:val="0"/>
            <w:vAlign w:val="center"/>
          </w:tcPr>
          <w:p>
            <w:pPr>
              <w:widowControl/>
              <w:jc w:val="center"/>
              <w:rPr>
                <w:rFonts w:cs="宋体"/>
                <w:kern w:val="0"/>
                <w:sz w:val="15"/>
                <w:szCs w:val="15"/>
              </w:rPr>
            </w:pPr>
            <w:r>
              <w:rPr>
                <w:rFonts w:hint="eastAsia" w:cs="宋体"/>
                <w:kern w:val="0"/>
                <w:sz w:val="15"/>
                <w:szCs w:val="15"/>
              </w:rPr>
              <w:t>0.876</w:t>
            </w:r>
          </w:p>
        </w:tc>
        <w:tc>
          <w:tcPr>
            <w:tcW w:w="712" w:type="dxa"/>
            <w:noWrap w:val="0"/>
            <w:vAlign w:val="center"/>
          </w:tcPr>
          <w:p>
            <w:pPr>
              <w:widowControl/>
              <w:jc w:val="center"/>
              <w:rPr>
                <w:rFonts w:cs="宋体"/>
                <w:kern w:val="0"/>
                <w:sz w:val="15"/>
                <w:szCs w:val="15"/>
              </w:rPr>
            </w:pPr>
            <w:r>
              <w:rPr>
                <w:rFonts w:hint="eastAsia" w:cs="宋体"/>
                <w:kern w:val="0"/>
                <w:sz w:val="15"/>
                <w:szCs w:val="15"/>
              </w:rPr>
              <w:t>0.892</w:t>
            </w:r>
          </w:p>
        </w:tc>
        <w:tc>
          <w:tcPr>
            <w:tcW w:w="710" w:type="dxa"/>
            <w:noWrap w:val="0"/>
            <w:vAlign w:val="center"/>
          </w:tcPr>
          <w:p>
            <w:pPr>
              <w:widowControl/>
              <w:jc w:val="center"/>
              <w:rPr>
                <w:rFonts w:cs="宋体"/>
                <w:kern w:val="0"/>
                <w:sz w:val="15"/>
                <w:szCs w:val="15"/>
              </w:rPr>
            </w:pPr>
            <w:r>
              <w:rPr>
                <w:rFonts w:hint="eastAsia" w:cs="宋体"/>
                <w:kern w:val="0"/>
                <w:sz w:val="15"/>
                <w:szCs w:val="15"/>
              </w:rPr>
              <w:t>0.887</w:t>
            </w:r>
          </w:p>
        </w:tc>
        <w:tc>
          <w:tcPr>
            <w:tcW w:w="528" w:type="dxa"/>
            <w:noWrap w:val="0"/>
            <w:vAlign w:val="center"/>
          </w:tcPr>
          <w:p>
            <w:pPr>
              <w:widowControl/>
              <w:jc w:val="center"/>
              <w:rPr>
                <w:rFonts w:cs="宋体"/>
                <w:kern w:val="0"/>
                <w:sz w:val="15"/>
                <w:szCs w:val="15"/>
              </w:rPr>
            </w:pPr>
            <w:r>
              <w:rPr>
                <w:rFonts w:hint="eastAsia" w:cs="宋体"/>
                <w:kern w:val="0"/>
                <w:sz w:val="15"/>
                <w:szCs w:val="15"/>
              </w:rPr>
              <w:t>1.35</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jc w:val="center"/>
        </w:trPr>
        <w:tc>
          <w:tcPr>
            <w:tcW w:w="484" w:type="dxa"/>
            <w:vMerge w:val="continue"/>
            <w:noWrap w:val="0"/>
            <w:vAlign w:val="center"/>
          </w:tcPr>
          <w:p>
            <w:pPr>
              <w:widowControl/>
              <w:jc w:val="center"/>
              <w:rPr>
                <w:rFonts w:cs="宋体"/>
                <w:kern w:val="0"/>
                <w:sz w:val="15"/>
                <w:szCs w:val="15"/>
              </w:rPr>
            </w:pPr>
          </w:p>
        </w:tc>
        <w:tc>
          <w:tcPr>
            <w:tcW w:w="482" w:type="dxa"/>
            <w:vMerge w:val="continue"/>
            <w:noWrap w:val="0"/>
            <w:vAlign w:val="center"/>
          </w:tcPr>
          <w:p>
            <w:pPr>
              <w:widowControl/>
              <w:jc w:val="center"/>
              <w:rPr>
                <w:rFonts w:cs="宋体"/>
                <w:kern w:val="0"/>
                <w:sz w:val="15"/>
                <w:szCs w:val="15"/>
              </w:rPr>
            </w:pPr>
          </w:p>
        </w:tc>
        <w:tc>
          <w:tcPr>
            <w:tcW w:w="1144" w:type="dxa"/>
            <w:noWrap w:val="0"/>
            <w:vAlign w:val="center"/>
          </w:tcPr>
          <w:p>
            <w:pPr>
              <w:widowControl/>
              <w:jc w:val="center"/>
              <w:rPr>
                <w:rFonts w:cs="宋体"/>
                <w:kern w:val="0"/>
                <w:sz w:val="15"/>
                <w:szCs w:val="15"/>
              </w:rPr>
            </w:pPr>
            <w:r>
              <w:rPr>
                <w:rFonts w:hint="eastAsia" w:hAnsi="宋体" w:cs="宋体"/>
                <w:kern w:val="0"/>
                <w:sz w:val="15"/>
                <w:szCs w:val="15"/>
              </w:rPr>
              <w:t>氧乐果</w:t>
            </w:r>
          </w:p>
        </w:tc>
        <w:tc>
          <w:tcPr>
            <w:tcW w:w="725" w:type="dxa"/>
            <w:noWrap w:val="0"/>
            <w:vAlign w:val="center"/>
          </w:tcPr>
          <w:p>
            <w:pPr>
              <w:widowControl/>
              <w:jc w:val="center"/>
              <w:rPr>
                <w:rFonts w:cs="宋体"/>
                <w:kern w:val="0"/>
                <w:sz w:val="15"/>
                <w:szCs w:val="15"/>
              </w:rPr>
            </w:pPr>
            <w:r>
              <w:rPr>
                <w:rFonts w:hint="eastAsia" w:cs="宋体"/>
                <w:kern w:val="0"/>
                <w:sz w:val="15"/>
                <w:szCs w:val="15"/>
              </w:rPr>
              <w:t>0.636</w:t>
            </w:r>
          </w:p>
        </w:tc>
        <w:tc>
          <w:tcPr>
            <w:tcW w:w="711" w:type="dxa"/>
            <w:noWrap w:val="0"/>
            <w:vAlign w:val="center"/>
          </w:tcPr>
          <w:p>
            <w:pPr>
              <w:widowControl/>
              <w:jc w:val="center"/>
              <w:rPr>
                <w:rFonts w:cs="宋体"/>
                <w:kern w:val="0"/>
                <w:sz w:val="15"/>
                <w:szCs w:val="15"/>
              </w:rPr>
            </w:pPr>
            <w:r>
              <w:rPr>
                <w:rFonts w:hint="eastAsia" w:cs="宋体"/>
                <w:kern w:val="0"/>
                <w:sz w:val="15"/>
                <w:szCs w:val="15"/>
              </w:rPr>
              <w:t>0.629</w:t>
            </w:r>
          </w:p>
        </w:tc>
        <w:tc>
          <w:tcPr>
            <w:tcW w:w="711" w:type="dxa"/>
            <w:noWrap w:val="0"/>
            <w:vAlign w:val="center"/>
          </w:tcPr>
          <w:p>
            <w:pPr>
              <w:widowControl/>
              <w:jc w:val="center"/>
              <w:rPr>
                <w:rFonts w:cs="宋体"/>
                <w:kern w:val="0"/>
                <w:sz w:val="15"/>
                <w:szCs w:val="15"/>
              </w:rPr>
            </w:pPr>
            <w:r>
              <w:rPr>
                <w:rFonts w:hint="eastAsia" w:cs="宋体"/>
                <w:kern w:val="0"/>
                <w:sz w:val="15"/>
                <w:szCs w:val="15"/>
              </w:rPr>
              <w:t>0.635</w:t>
            </w:r>
          </w:p>
        </w:tc>
        <w:tc>
          <w:tcPr>
            <w:tcW w:w="711" w:type="dxa"/>
            <w:noWrap w:val="0"/>
            <w:vAlign w:val="center"/>
          </w:tcPr>
          <w:p>
            <w:pPr>
              <w:widowControl/>
              <w:jc w:val="center"/>
              <w:rPr>
                <w:rFonts w:cs="宋体"/>
                <w:kern w:val="0"/>
                <w:sz w:val="15"/>
                <w:szCs w:val="15"/>
              </w:rPr>
            </w:pPr>
            <w:r>
              <w:rPr>
                <w:rFonts w:hint="eastAsia" w:cs="宋体"/>
                <w:kern w:val="0"/>
                <w:sz w:val="15"/>
                <w:szCs w:val="15"/>
              </w:rPr>
              <w:t>0.645</w:t>
            </w:r>
          </w:p>
        </w:tc>
        <w:tc>
          <w:tcPr>
            <w:tcW w:w="712" w:type="dxa"/>
            <w:noWrap w:val="0"/>
            <w:vAlign w:val="center"/>
          </w:tcPr>
          <w:p>
            <w:pPr>
              <w:widowControl/>
              <w:jc w:val="center"/>
              <w:rPr>
                <w:rFonts w:cs="宋体"/>
                <w:kern w:val="0"/>
                <w:sz w:val="15"/>
                <w:szCs w:val="15"/>
              </w:rPr>
            </w:pPr>
            <w:r>
              <w:rPr>
                <w:rFonts w:hint="eastAsia" w:cs="宋体"/>
                <w:kern w:val="0"/>
                <w:sz w:val="15"/>
                <w:szCs w:val="15"/>
              </w:rPr>
              <w:t>0.651</w:t>
            </w:r>
          </w:p>
        </w:tc>
        <w:tc>
          <w:tcPr>
            <w:tcW w:w="710" w:type="dxa"/>
            <w:noWrap w:val="0"/>
            <w:vAlign w:val="center"/>
          </w:tcPr>
          <w:p>
            <w:pPr>
              <w:widowControl/>
              <w:jc w:val="center"/>
              <w:rPr>
                <w:rFonts w:cs="宋体"/>
                <w:kern w:val="0"/>
                <w:sz w:val="15"/>
                <w:szCs w:val="15"/>
              </w:rPr>
            </w:pPr>
            <w:r>
              <w:rPr>
                <w:rFonts w:hint="eastAsia" w:cs="宋体"/>
                <w:kern w:val="0"/>
                <w:sz w:val="15"/>
                <w:szCs w:val="15"/>
              </w:rPr>
              <w:t>0.649</w:t>
            </w:r>
          </w:p>
        </w:tc>
        <w:tc>
          <w:tcPr>
            <w:tcW w:w="712" w:type="dxa"/>
            <w:noWrap w:val="0"/>
            <w:vAlign w:val="center"/>
          </w:tcPr>
          <w:p>
            <w:pPr>
              <w:widowControl/>
              <w:jc w:val="center"/>
              <w:rPr>
                <w:rFonts w:cs="宋体"/>
                <w:kern w:val="0"/>
                <w:sz w:val="15"/>
                <w:szCs w:val="15"/>
              </w:rPr>
            </w:pPr>
            <w:r>
              <w:rPr>
                <w:rFonts w:hint="eastAsia" w:cs="宋体"/>
                <w:kern w:val="0"/>
                <w:sz w:val="15"/>
                <w:szCs w:val="15"/>
              </w:rPr>
              <w:t>0.640</w:t>
            </w:r>
          </w:p>
        </w:tc>
        <w:tc>
          <w:tcPr>
            <w:tcW w:w="710" w:type="dxa"/>
            <w:noWrap w:val="0"/>
            <w:vAlign w:val="center"/>
          </w:tcPr>
          <w:p>
            <w:pPr>
              <w:widowControl/>
              <w:jc w:val="center"/>
              <w:rPr>
                <w:rFonts w:cs="宋体"/>
                <w:kern w:val="0"/>
                <w:sz w:val="15"/>
                <w:szCs w:val="15"/>
              </w:rPr>
            </w:pPr>
            <w:r>
              <w:rPr>
                <w:rFonts w:hint="eastAsia" w:cs="宋体"/>
                <w:kern w:val="0"/>
                <w:sz w:val="15"/>
                <w:szCs w:val="15"/>
              </w:rPr>
              <w:t>0.642</w:t>
            </w:r>
          </w:p>
        </w:tc>
        <w:tc>
          <w:tcPr>
            <w:tcW w:w="528" w:type="dxa"/>
            <w:noWrap w:val="0"/>
            <w:vAlign w:val="center"/>
          </w:tcPr>
          <w:p>
            <w:pPr>
              <w:widowControl/>
              <w:jc w:val="center"/>
              <w:rPr>
                <w:rFonts w:cs="宋体"/>
                <w:kern w:val="0"/>
                <w:sz w:val="15"/>
                <w:szCs w:val="15"/>
              </w:rPr>
            </w:pPr>
            <w:r>
              <w:rPr>
                <w:rFonts w:hint="eastAsia" w:cs="宋体"/>
                <w:kern w:val="0"/>
                <w:sz w:val="15"/>
                <w:szCs w:val="15"/>
              </w:rPr>
              <w:t>1.32</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jc w:val="center"/>
        </w:trPr>
        <w:tc>
          <w:tcPr>
            <w:tcW w:w="484" w:type="dxa"/>
            <w:vMerge w:val="continue"/>
            <w:noWrap w:val="0"/>
            <w:vAlign w:val="center"/>
          </w:tcPr>
          <w:p>
            <w:pPr>
              <w:widowControl/>
              <w:jc w:val="center"/>
              <w:rPr>
                <w:rFonts w:cs="宋体"/>
                <w:kern w:val="0"/>
                <w:sz w:val="15"/>
                <w:szCs w:val="15"/>
              </w:rPr>
            </w:pPr>
          </w:p>
        </w:tc>
        <w:tc>
          <w:tcPr>
            <w:tcW w:w="482" w:type="dxa"/>
            <w:vMerge w:val="continue"/>
            <w:noWrap w:val="0"/>
            <w:vAlign w:val="center"/>
          </w:tcPr>
          <w:p>
            <w:pPr>
              <w:widowControl/>
              <w:jc w:val="center"/>
              <w:rPr>
                <w:rFonts w:cs="宋体"/>
                <w:kern w:val="0"/>
                <w:sz w:val="15"/>
                <w:szCs w:val="15"/>
              </w:rPr>
            </w:pPr>
          </w:p>
        </w:tc>
        <w:tc>
          <w:tcPr>
            <w:tcW w:w="1144" w:type="dxa"/>
            <w:noWrap w:val="0"/>
            <w:vAlign w:val="center"/>
          </w:tcPr>
          <w:p>
            <w:pPr>
              <w:widowControl/>
              <w:jc w:val="center"/>
              <w:rPr>
                <w:rFonts w:cs="宋体"/>
                <w:kern w:val="0"/>
                <w:sz w:val="15"/>
                <w:szCs w:val="15"/>
              </w:rPr>
            </w:pPr>
            <w:r>
              <w:rPr>
                <w:rFonts w:hint="eastAsia" w:hAnsi="宋体" w:cs="宋体"/>
                <w:kern w:val="0"/>
                <w:sz w:val="15"/>
                <w:szCs w:val="15"/>
              </w:rPr>
              <w:t>特丁硫磷</w:t>
            </w:r>
          </w:p>
        </w:tc>
        <w:tc>
          <w:tcPr>
            <w:tcW w:w="725" w:type="dxa"/>
            <w:noWrap w:val="0"/>
            <w:vAlign w:val="center"/>
          </w:tcPr>
          <w:p>
            <w:pPr>
              <w:widowControl/>
              <w:jc w:val="center"/>
              <w:rPr>
                <w:rFonts w:cs="宋体"/>
                <w:kern w:val="0"/>
                <w:sz w:val="15"/>
                <w:szCs w:val="15"/>
              </w:rPr>
            </w:pPr>
            <w:r>
              <w:rPr>
                <w:rFonts w:hint="eastAsia" w:cs="宋体"/>
                <w:kern w:val="0"/>
                <w:sz w:val="15"/>
                <w:szCs w:val="15"/>
              </w:rPr>
              <w:t>0.426</w:t>
            </w:r>
          </w:p>
        </w:tc>
        <w:tc>
          <w:tcPr>
            <w:tcW w:w="711" w:type="dxa"/>
            <w:noWrap w:val="0"/>
            <w:vAlign w:val="center"/>
          </w:tcPr>
          <w:p>
            <w:pPr>
              <w:widowControl/>
              <w:jc w:val="center"/>
              <w:rPr>
                <w:rFonts w:cs="宋体"/>
                <w:kern w:val="0"/>
                <w:sz w:val="15"/>
                <w:szCs w:val="15"/>
              </w:rPr>
            </w:pPr>
            <w:r>
              <w:rPr>
                <w:rFonts w:hint="eastAsia" w:cs="宋体"/>
                <w:kern w:val="0"/>
                <w:sz w:val="15"/>
                <w:szCs w:val="15"/>
              </w:rPr>
              <w:t>0.411</w:t>
            </w:r>
          </w:p>
        </w:tc>
        <w:tc>
          <w:tcPr>
            <w:tcW w:w="711" w:type="dxa"/>
            <w:noWrap w:val="0"/>
            <w:vAlign w:val="center"/>
          </w:tcPr>
          <w:p>
            <w:pPr>
              <w:widowControl/>
              <w:jc w:val="center"/>
              <w:rPr>
                <w:rFonts w:cs="宋体"/>
                <w:kern w:val="0"/>
                <w:sz w:val="15"/>
                <w:szCs w:val="15"/>
              </w:rPr>
            </w:pPr>
            <w:r>
              <w:rPr>
                <w:rFonts w:hint="eastAsia" w:cs="宋体"/>
                <w:kern w:val="0"/>
                <w:sz w:val="15"/>
                <w:szCs w:val="15"/>
              </w:rPr>
              <w:t>0.436</w:t>
            </w:r>
          </w:p>
        </w:tc>
        <w:tc>
          <w:tcPr>
            <w:tcW w:w="711" w:type="dxa"/>
            <w:noWrap w:val="0"/>
            <w:vAlign w:val="center"/>
          </w:tcPr>
          <w:p>
            <w:pPr>
              <w:widowControl/>
              <w:jc w:val="center"/>
              <w:rPr>
                <w:rFonts w:cs="宋体"/>
                <w:kern w:val="0"/>
                <w:sz w:val="15"/>
                <w:szCs w:val="15"/>
              </w:rPr>
            </w:pPr>
            <w:r>
              <w:rPr>
                <w:rFonts w:hint="eastAsia" w:cs="宋体"/>
                <w:kern w:val="0"/>
                <w:sz w:val="15"/>
                <w:szCs w:val="15"/>
              </w:rPr>
              <w:t>0.429</w:t>
            </w:r>
          </w:p>
        </w:tc>
        <w:tc>
          <w:tcPr>
            <w:tcW w:w="712" w:type="dxa"/>
            <w:noWrap w:val="0"/>
            <w:vAlign w:val="center"/>
          </w:tcPr>
          <w:p>
            <w:pPr>
              <w:widowControl/>
              <w:jc w:val="center"/>
              <w:rPr>
                <w:rFonts w:cs="宋体"/>
                <w:kern w:val="0"/>
                <w:sz w:val="15"/>
                <w:szCs w:val="15"/>
              </w:rPr>
            </w:pPr>
            <w:r>
              <w:rPr>
                <w:rFonts w:hint="eastAsia" w:cs="宋体"/>
                <w:kern w:val="0"/>
                <w:sz w:val="15"/>
                <w:szCs w:val="15"/>
              </w:rPr>
              <w:t>0.418</w:t>
            </w:r>
          </w:p>
        </w:tc>
        <w:tc>
          <w:tcPr>
            <w:tcW w:w="710" w:type="dxa"/>
            <w:noWrap w:val="0"/>
            <w:vAlign w:val="center"/>
          </w:tcPr>
          <w:p>
            <w:pPr>
              <w:widowControl/>
              <w:jc w:val="center"/>
              <w:rPr>
                <w:rFonts w:cs="宋体"/>
                <w:kern w:val="0"/>
                <w:sz w:val="15"/>
                <w:szCs w:val="15"/>
              </w:rPr>
            </w:pPr>
            <w:r>
              <w:rPr>
                <w:rFonts w:hint="eastAsia" w:cs="宋体"/>
                <w:kern w:val="0"/>
                <w:sz w:val="15"/>
                <w:szCs w:val="15"/>
              </w:rPr>
              <w:t>0.428</w:t>
            </w:r>
          </w:p>
        </w:tc>
        <w:tc>
          <w:tcPr>
            <w:tcW w:w="712" w:type="dxa"/>
            <w:noWrap w:val="0"/>
            <w:vAlign w:val="center"/>
          </w:tcPr>
          <w:p>
            <w:pPr>
              <w:widowControl/>
              <w:jc w:val="center"/>
              <w:rPr>
                <w:rFonts w:cs="宋体"/>
                <w:kern w:val="0"/>
                <w:sz w:val="15"/>
                <w:szCs w:val="15"/>
              </w:rPr>
            </w:pPr>
            <w:r>
              <w:rPr>
                <w:rFonts w:hint="eastAsia" w:cs="宋体"/>
                <w:kern w:val="0"/>
                <w:sz w:val="15"/>
                <w:szCs w:val="15"/>
              </w:rPr>
              <w:t>0.417</w:t>
            </w:r>
          </w:p>
        </w:tc>
        <w:tc>
          <w:tcPr>
            <w:tcW w:w="710" w:type="dxa"/>
            <w:noWrap w:val="0"/>
            <w:vAlign w:val="center"/>
          </w:tcPr>
          <w:p>
            <w:pPr>
              <w:widowControl/>
              <w:jc w:val="center"/>
              <w:rPr>
                <w:rFonts w:cs="宋体"/>
                <w:kern w:val="0"/>
                <w:sz w:val="15"/>
                <w:szCs w:val="15"/>
              </w:rPr>
            </w:pPr>
            <w:r>
              <w:rPr>
                <w:rFonts w:hint="eastAsia" w:cs="宋体"/>
                <w:kern w:val="0"/>
                <w:sz w:val="15"/>
                <w:szCs w:val="15"/>
              </w:rPr>
              <w:t>0.423</w:t>
            </w:r>
          </w:p>
        </w:tc>
        <w:tc>
          <w:tcPr>
            <w:tcW w:w="528" w:type="dxa"/>
            <w:noWrap w:val="0"/>
            <w:vAlign w:val="center"/>
          </w:tcPr>
          <w:p>
            <w:pPr>
              <w:widowControl/>
              <w:jc w:val="center"/>
              <w:rPr>
                <w:rFonts w:cs="宋体"/>
                <w:kern w:val="0"/>
                <w:sz w:val="15"/>
                <w:szCs w:val="15"/>
              </w:rPr>
            </w:pPr>
            <w:r>
              <w:rPr>
                <w:rFonts w:hint="eastAsia" w:cs="宋体"/>
                <w:kern w:val="0"/>
                <w:sz w:val="15"/>
                <w:szCs w:val="15"/>
              </w:rPr>
              <w:t>2.20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jc w:val="center"/>
        </w:trPr>
        <w:tc>
          <w:tcPr>
            <w:tcW w:w="484" w:type="dxa"/>
            <w:vMerge w:val="continue"/>
            <w:noWrap w:val="0"/>
            <w:vAlign w:val="center"/>
          </w:tcPr>
          <w:p>
            <w:pPr>
              <w:widowControl/>
              <w:jc w:val="center"/>
              <w:rPr>
                <w:rFonts w:cs="宋体"/>
                <w:kern w:val="0"/>
                <w:sz w:val="15"/>
                <w:szCs w:val="15"/>
              </w:rPr>
            </w:pPr>
          </w:p>
        </w:tc>
        <w:tc>
          <w:tcPr>
            <w:tcW w:w="482" w:type="dxa"/>
            <w:vMerge w:val="continue"/>
            <w:noWrap w:val="0"/>
            <w:vAlign w:val="center"/>
          </w:tcPr>
          <w:p>
            <w:pPr>
              <w:widowControl/>
              <w:jc w:val="center"/>
              <w:rPr>
                <w:rFonts w:cs="宋体"/>
                <w:kern w:val="0"/>
                <w:sz w:val="15"/>
                <w:szCs w:val="15"/>
              </w:rPr>
            </w:pPr>
          </w:p>
        </w:tc>
        <w:tc>
          <w:tcPr>
            <w:tcW w:w="1144" w:type="dxa"/>
            <w:noWrap w:val="0"/>
            <w:vAlign w:val="center"/>
          </w:tcPr>
          <w:p>
            <w:pPr>
              <w:widowControl/>
              <w:jc w:val="center"/>
              <w:rPr>
                <w:rFonts w:cs="宋体"/>
                <w:kern w:val="0"/>
                <w:sz w:val="15"/>
                <w:szCs w:val="15"/>
              </w:rPr>
            </w:pPr>
            <w:r>
              <w:rPr>
                <w:rFonts w:hint="eastAsia" w:hAnsi="宋体" w:cs="宋体"/>
                <w:kern w:val="0"/>
                <w:sz w:val="15"/>
                <w:szCs w:val="15"/>
              </w:rPr>
              <w:t>久效磷</w:t>
            </w:r>
          </w:p>
        </w:tc>
        <w:tc>
          <w:tcPr>
            <w:tcW w:w="725" w:type="dxa"/>
            <w:noWrap w:val="0"/>
            <w:vAlign w:val="center"/>
          </w:tcPr>
          <w:p>
            <w:pPr>
              <w:widowControl/>
              <w:jc w:val="center"/>
              <w:rPr>
                <w:rFonts w:cs="宋体"/>
                <w:kern w:val="0"/>
                <w:sz w:val="15"/>
                <w:szCs w:val="15"/>
              </w:rPr>
            </w:pPr>
            <w:r>
              <w:rPr>
                <w:rFonts w:hint="eastAsia" w:cs="宋体"/>
                <w:kern w:val="0"/>
                <w:sz w:val="15"/>
                <w:szCs w:val="15"/>
              </w:rPr>
              <w:t>1.026</w:t>
            </w:r>
          </w:p>
        </w:tc>
        <w:tc>
          <w:tcPr>
            <w:tcW w:w="711" w:type="dxa"/>
            <w:noWrap w:val="0"/>
            <w:vAlign w:val="center"/>
          </w:tcPr>
          <w:p>
            <w:pPr>
              <w:widowControl/>
              <w:jc w:val="center"/>
              <w:rPr>
                <w:rFonts w:cs="宋体"/>
                <w:kern w:val="0"/>
                <w:sz w:val="15"/>
                <w:szCs w:val="15"/>
              </w:rPr>
            </w:pPr>
            <w:r>
              <w:rPr>
                <w:rFonts w:hint="eastAsia" w:cs="宋体"/>
                <w:kern w:val="0"/>
                <w:sz w:val="15"/>
                <w:szCs w:val="15"/>
              </w:rPr>
              <w:t>1.011</w:t>
            </w:r>
          </w:p>
        </w:tc>
        <w:tc>
          <w:tcPr>
            <w:tcW w:w="711" w:type="dxa"/>
            <w:noWrap w:val="0"/>
            <w:vAlign w:val="center"/>
          </w:tcPr>
          <w:p>
            <w:pPr>
              <w:widowControl/>
              <w:jc w:val="center"/>
              <w:rPr>
                <w:rFonts w:cs="宋体"/>
                <w:kern w:val="0"/>
                <w:sz w:val="15"/>
                <w:szCs w:val="15"/>
              </w:rPr>
            </w:pPr>
            <w:r>
              <w:rPr>
                <w:rFonts w:hint="eastAsia" w:cs="宋体"/>
                <w:kern w:val="0"/>
                <w:sz w:val="15"/>
                <w:szCs w:val="15"/>
              </w:rPr>
              <w:t>1.018</w:t>
            </w:r>
          </w:p>
        </w:tc>
        <w:tc>
          <w:tcPr>
            <w:tcW w:w="711" w:type="dxa"/>
            <w:noWrap w:val="0"/>
            <w:vAlign w:val="center"/>
          </w:tcPr>
          <w:p>
            <w:pPr>
              <w:widowControl/>
              <w:jc w:val="center"/>
              <w:rPr>
                <w:rFonts w:cs="宋体"/>
                <w:kern w:val="0"/>
                <w:sz w:val="15"/>
                <w:szCs w:val="15"/>
              </w:rPr>
            </w:pPr>
            <w:r>
              <w:rPr>
                <w:rFonts w:hint="eastAsia" w:cs="宋体"/>
                <w:kern w:val="0"/>
                <w:sz w:val="15"/>
                <w:szCs w:val="15"/>
              </w:rPr>
              <w:t>0.981</w:t>
            </w:r>
          </w:p>
        </w:tc>
        <w:tc>
          <w:tcPr>
            <w:tcW w:w="712" w:type="dxa"/>
            <w:noWrap w:val="0"/>
            <w:vAlign w:val="center"/>
          </w:tcPr>
          <w:p>
            <w:pPr>
              <w:widowControl/>
              <w:jc w:val="center"/>
              <w:rPr>
                <w:rFonts w:cs="宋体"/>
                <w:kern w:val="0"/>
                <w:sz w:val="15"/>
                <w:szCs w:val="15"/>
              </w:rPr>
            </w:pPr>
            <w:r>
              <w:rPr>
                <w:rFonts w:hint="eastAsia" w:cs="宋体"/>
                <w:kern w:val="0"/>
                <w:sz w:val="15"/>
                <w:szCs w:val="15"/>
              </w:rPr>
              <w:t>0.998</w:t>
            </w:r>
          </w:p>
        </w:tc>
        <w:tc>
          <w:tcPr>
            <w:tcW w:w="710" w:type="dxa"/>
            <w:noWrap w:val="0"/>
            <w:vAlign w:val="center"/>
          </w:tcPr>
          <w:p>
            <w:pPr>
              <w:widowControl/>
              <w:jc w:val="center"/>
              <w:rPr>
                <w:rFonts w:cs="宋体"/>
                <w:kern w:val="0"/>
                <w:sz w:val="15"/>
                <w:szCs w:val="15"/>
              </w:rPr>
            </w:pPr>
            <w:r>
              <w:rPr>
                <w:rFonts w:hint="eastAsia" w:cs="宋体"/>
                <w:kern w:val="0"/>
                <w:sz w:val="15"/>
                <w:szCs w:val="15"/>
              </w:rPr>
              <w:t>0.987</w:t>
            </w:r>
          </w:p>
        </w:tc>
        <w:tc>
          <w:tcPr>
            <w:tcW w:w="712" w:type="dxa"/>
            <w:noWrap w:val="0"/>
            <w:vAlign w:val="center"/>
          </w:tcPr>
          <w:p>
            <w:pPr>
              <w:widowControl/>
              <w:jc w:val="center"/>
              <w:rPr>
                <w:rFonts w:cs="宋体"/>
                <w:kern w:val="0"/>
                <w:sz w:val="15"/>
                <w:szCs w:val="15"/>
              </w:rPr>
            </w:pPr>
            <w:r>
              <w:rPr>
                <w:rFonts w:hint="eastAsia" w:cs="宋体"/>
                <w:kern w:val="0"/>
                <w:sz w:val="15"/>
                <w:szCs w:val="15"/>
              </w:rPr>
              <w:t>0.971</w:t>
            </w:r>
          </w:p>
        </w:tc>
        <w:tc>
          <w:tcPr>
            <w:tcW w:w="710" w:type="dxa"/>
            <w:noWrap w:val="0"/>
            <w:vAlign w:val="center"/>
          </w:tcPr>
          <w:p>
            <w:pPr>
              <w:widowControl/>
              <w:jc w:val="center"/>
              <w:rPr>
                <w:rFonts w:cs="宋体"/>
                <w:kern w:val="0"/>
                <w:sz w:val="15"/>
                <w:szCs w:val="15"/>
              </w:rPr>
            </w:pPr>
            <w:r>
              <w:rPr>
                <w:rFonts w:hint="eastAsia" w:cs="宋体"/>
                <w:kern w:val="0"/>
                <w:sz w:val="15"/>
                <w:szCs w:val="15"/>
              </w:rPr>
              <w:t>0.994</w:t>
            </w:r>
          </w:p>
        </w:tc>
        <w:tc>
          <w:tcPr>
            <w:tcW w:w="528" w:type="dxa"/>
            <w:noWrap w:val="0"/>
            <w:vAlign w:val="center"/>
          </w:tcPr>
          <w:p>
            <w:pPr>
              <w:widowControl/>
              <w:jc w:val="center"/>
              <w:rPr>
                <w:rFonts w:cs="宋体"/>
                <w:kern w:val="0"/>
                <w:sz w:val="15"/>
                <w:szCs w:val="15"/>
              </w:rPr>
            </w:pPr>
            <w:r>
              <w:rPr>
                <w:rFonts w:hint="eastAsia" w:cs="宋体"/>
                <w:kern w:val="0"/>
                <w:sz w:val="15"/>
                <w:szCs w:val="15"/>
              </w:rPr>
              <w:t>1.81</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jc w:val="center"/>
        </w:trPr>
        <w:tc>
          <w:tcPr>
            <w:tcW w:w="484" w:type="dxa"/>
            <w:vMerge w:val="continue"/>
            <w:noWrap w:val="0"/>
            <w:vAlign w:val="center"/>
          </w:tcPr>
          <w:p>
            <w:pPr>
              <w:widowControl/>
              <w:jc w:val="center"/>
              <w:rPr>
                <w:rFonts w:cs="宋体"/>
                <w:kern w:val="0"/>
                <w:sz w:val="15"/>
                <w:szCs w:val="15"/>
              </w:rPr>
            </w:pPr>
          </w:p>
        </w:tc>
        <w:tc>
          <w:tcPr>
            <w:tcW w:w="482" w:type="dxa"/>
            <w:vMerge w:val="continue"/>
            <w:noWrap w:val="0"/>
            <w:vAlign w:val="center"/>
          </w:tcPr>
          <w:p>
            <w:pPr>
              <w:widowControl/>
              <w:jc w:val="center"/>
              <w:rPr>
                <w:rFonts w:cs="宋体"/>
                <w:kern w:val="0"/>
                <w:sz w:val="15"/>
                <w:szCs w:val="15"/>
              </w:rPr>
            </w:pPr>
          </w:p>
        </w:tc>
        <w:tc>
          <w:tcPr>
            <w:tcW w:w="1144" w:type="dxa"/>
            <w:noWrap w:val="0"/>
            <w:vAlign w:val="center"/>
          </w:tcPr>
          <w:p>
            <w:pPr>
              <w:widowControl/>
              <w:jc w:val="center"/>
              <w:rPr>
                <w:rFonts w:cs="宋体"/>
                <w:kern w:val="0"/>
                <w:sz w:val="15"/>
                <w:szCs w:val="15"/>
              </w:rPr>
            </w:pPr>
            <w:r>
              <w:rPr>
                <w:rFonts w:hint="eastAsia" w:hAnsi="宋体" w:cs="宋体"/>
                <w:kern w:val="0"/>
                <w:sz w:val="15"/>
                <w:szCs w:val="15"/>
              </w:rPr>
              <w:t>甲基对硫磷</w:t>
            </w:r>
          </w:p>
        </w:tc>
        <w:tc>
          <w:tcPr>
            <w:tcW w:w="725" w:type="dxa"/>
            <w:noWrap w:val="0"/>
            <w:vAlign w:val="center"/>
          </w:tcPr>
          <w:p>
            <w:pPr>
              <w:widowControl/>
              <w:jc w:val="center"/>
              <w:rPr>
                <w:rFonts w:cs="宋体"/>
                <w:kern w:val="0"/>
                <w:sz w:val="15"/>
                <w:szCs w:val="15"/>
              </w:rPr>
            </w:pPr>
            <w:r>
              <w:rPr>
                <w:rFonts w:hint="eastAsia" w:cs="宋体"/>
                <w:kern w:val="0"/>
                <w:sz w:val="15"/>
                <w:szCs w:val="15"/>
              </w:rPr>
              <w:t>0.615</w:t>
            </w:r>
          </w:p>
        </w:tc>
        <w:tc>
          <w:tcPr>
            <w:tcW w:w="711" w:type="dxa"/>
            <w:noWrap w:val="0"/>
            <w:vAlign w:val="center"/>
          </w:tcPr>
          <w:p>
            <w:pPr>
              <w:widowControl/>
              <w:jc w:val="center"/>
              <w:rPr>
                <w:rFonts w:cs="宋体"/>
                <w:kern w:val="0"/>
                <w:sz w:val="15"/>
                <w:szCs w:val="15"/>
              </w:rPr>
            </w:pPr>
            <w:r>
              <w:rPr>
                <w:rFonts w:hint="eastAsia" w:cs="宋体"/>
                <w:kern w:val="0"/>
                <w:sz w:val="15"/>
                <w:szCs w:val="15"/>
              </w:rPr>
              <w:t>0.623</w:t>
            </w:r>
          </w:p>
        </w:tc>
        <w:tc>
          <w:tcPr>
            <w:tcW w:w="711" w:type="dxa"/>
            <w:noWrap w:val="0"/>
            <w:vAlign w:val="center"/>
          </w:tcPr>
          <w:p>
            <w:pPr>
              <w:widowControl/>
              <w:jc w:val="center"/>
              <w:rPr>
                <w:rFonts w:cs="宋体"/>
                <w:kern w:val="0"/>
                <w:sz w:val="15"/>
                <w:szCs w:val="15"/>
              </w:rPr>
            </w:pPr>
            <w:r>
              <w:rPr>
                <w:rFonts w:hint="eastAsia" w:cs="宋体"/>
                <w:kern w:val="0"/>
                <w:sz w:val="15"/>
                <w:szCs w:val="15"/>
              </w:rPr>
              <w:t>0.601</w:t>
            </w:r>
          </w:p>
        </w:tc>
        <w:tc>
          <w:tcPr>
            <w:tcW w:w="711" w:type="dxa"/>
            <w:noWrap w:val="0"/>
            <w:vAlign w:val="center"/>
          </w:tcPr>
          <w:p>
            <w:pPr>
              <w:widowControl/>
              <w:jc w:val="center"/>
              <w:rPr>
                <w:rFonts w:cs="宋体"/>
                <w:kern w:val="0"/>
                <w:sz w:val="15"/>
                <w:szCs w:val="15"/>
              </w:rPr>
            </w:pPr>
            <w:r>
              <w:rPr>
                <w:rFonts w:hint="eastAsia" w:cs="宋体"/>
                <w:kern w:val="0"/>
                <w:sz w:val="15"/>
                <w:szCs w:val="15"/>
              </w:rPr>
              <w:t>0.598</w:t>
            </w:r>
          </w:p>
        </w:tc>
        <w:tc>
          <w:tcPr>
            <w:tcW w:w="712" w:type="dxa"/>
            <w:noWrap w:val="0"/>
            <w:vAlign w:val="center"/>
          </w:tcPr>
          <w:p>
            <w:pPr>
              <w:widowControl/>
              <w:jc w:val="center"/>
              <w:rPr>
                <w:rFonts w:cs="宋体"/>
                <w:kern w:val="0"/>
                <w:sz w:val="15"/>
                <w:szCs w:val="15"/>
              </w:rPr>
            </w:pPr>
            <w:r>
              <w:rPr>
                <w:rFonts w:hint="eastAsia" w:cs="宋体"/>
                <w:kern w:val="0"/>
                <w:sz w:val="15"/>
                <w:szCs w:val="15"/>
              </w:rPr>
              <w:t>0.583</w:t>
            </w:r>
          </w:p>
        </w:tc>
        <w:tc>
          <w:tcPr>
            <w:tcW w:w="710" w:type="dxa"/>
            <w:noWrap w:val="0"/>
            <w:vAlign w:val="center"/>
          </w:tcPr>
          <w:p>
            <w:pPr>
              <w:widowControl/>
              <w:jc w:val="center"/>
              <w:rPr>
                <w:rFonts w:cs="宋体"/>
                <w:kern w:val="0"/>
                <w:sz w:val="15"/>
                <w:szCs w:val="15"/>
              </w:rPr>
            </w:pPr>
            <w:r>
              <w:rPr>
                <w:rFonts w:hint="eastAsia" w:cs="宋体"/>
                <w:kern w:val="0"/>
                <w:sz w:val="15"/>
                <w:szCs w:val="15"/>
              </w:rPr>
              <w:t>0.579</w:t>
            </w:r>
          </w:p>
        </w:tc>
        <w:tc>
          <w:tcPr>
            <w:tcW w:w="712" w:type="dxa"/>
            <w:noWrap w:val="0"/>
            <w:vAlign w:val="center"/>
          </w:tcPr>
          <w:p>
            <w:pPr>
              <w:widowControl/>
              <w:jc w:val="center"/>
              <w:rPr>
                <w:rFonts w:cs="宋体"/>
                <w:kern w:val="0"/>
                <w:sz w:val="15"/>
                <w:szCs w:val="15"/>
              </w:rPr>
            </w:pPr>
            <w:r>
              <w:rPr>
                <w:rFonts w:hint="eastAsia" w:cs="宋体"/>
                <w:kern w:val="0"/>
                <w:sz w:val="15"/>
                <w:szCs w:val="15"/>
              </w:rPr>
              <w:t>0.598</w:t>
            </w:r>
          </w:p>
        </w:tc>
        <w:tc>
          <w:tcPr>
            <w:tcW w:w="710" w:type="dxa"/>
            <w:noWrap w:val="0"/>
            <w:vAlign w:val="center"/>
          </w:tcPr>
          <w:p>
            <w:pPr>
              <w:widowControl/>
              <w:jc w:val="center"/>
              <w:rPr>
                <w:rFonts w:cs="宋体"/>
                <w:kern w:val="0"/>
                <w:sz w:val="15"/>
                <w:szCs w:val="15"/>
              </w:rPr>
            </w:pPr>
            <w:r>
              <w:rPr>
                <w:rFonts w:hint="eastAsia" w:cs="宋体"/>
                <w:kern w:val="0"/>
                <w:sz w:val="15"/>
                <w:szCs w:val="15"/>
              </w:rPr>
              <w:t>0.597</w:t>
            </w:r>
          </w:p>
        </w:tc>
        <w:tc>
          <w:tcPr>
            <w:tcW w:w="528" w:type="dxa"/>
            <w:noWrap w:val="0"/>
            <w:vAlign w:val="center"/>
          </w:tcPr>
          <w:p>
            <w:pPr>
              <w:widowControl/>
              <w:jc w:val="center"/>
              <w:rPr>
                <w:rFonts w:cs="宋体"/>
                <w:kern w:val="0"/>
                <w:sz w:val="15"/>
                <w:szCs w:val="15"/>
              </w:rPr>
            </w:pPr>
            <w:r>
              <w:rPr>
                <w:rFonts w:hint="eastAsia" w:cs="宋体"/>
                <w:kern w:val="0"/>
                <w:sz w:val="15"/>
                <w:szCs w:val="15"/>
              </w:rPr>
              <w:t>2.61</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jc w:val="center"/>
        </w:trPr>
        <w:tc>
          <w:tcPr>
            <w:tcW w:w="484" w:type="dxa"/>
            <w:vMerge w:val="continue"/>
            <w:noWrap w:val="0"/>
            <w:vAlign w:val="center"/>
          </w:tcPr>
          <w:p>
            <w:pPr>
              <w:widowControl/>
              <w:jc w:val="center"/>
              <w:rPr>
                <w:rFonts w:cs="宋体"/>
                <w:kern w:val="0"/>
                <w:sz w:val="15"/>
                <w:szCs w:val="15"/>
              </w:rPr>
            </w:pPr>
          </w:p>
        </w:tc>
        <w:tc>
          <w:tcPr>
            <w:tcW w:w="482" w:type="dxa"/>
            <w:vMerge w:val="continue"/>
            <w:noWrap w:val="0"/>
            <w:vAlign w:val="center"/>
          </w:tcPr>
          <w:p>
            <w:pPr>
              <w:widowControl/>
              <w:jc w:val="center"/>
              <w:rPr>
                <w:rFonts w:cs="宋体"/>
                <w:kern w:val="0"/>
                <w:sz w:val="15"/>
                <w:szCs w:val="15"/>
              </w:rPr>
            </w:pPr>
          </w:p>
        </w:tc>
        <w:tc>
          <w:tcPr>
            <w:tcW w:w="1144" w:type="dxa"/>
            <w:noWrap w:val="0"/>
            <w:vAlign w:val="center"/>
          </w:tcPr>
          <w:p>
            <w:pPr>
              <w:widowControl/>
              <w:jc w:val="center"/>
              <w:rPr>
                <w:rFonts w:cs="宋体"/>
                <w:kern w:val="0"/>
                <w:sz w:val="15"/>
                <w:szCs w:val="15"/>
              </w:rPr>
            </w:pPr>
            <w:r>
              <w:rPr>
                <w:rFonts w:hint="eastAsia" w:hAnsi="宋体" w:cs="宋体"/>
                <w:kern w:val="0"/>
                <w:sz w:val="15"/>
                <w:szCs w:val="15"/>
              </w:rPr>
              <w:t>对硫磷</w:t>
            </w:r>
          </w:p>
        </w:tc>
        <w:tc>
          <w:tcPr>
            <w:tcW w:w="725" w:type="dxa"/>
            <w:noWrap w:val="0"/>
            <w:vAlign w:val="center"/>
          </w:tcPr>
          <w:p>
            <w:pPr>
              <w:widowControl/>
              <w:jc w:val="center"/>
              <w:rPr>
                <w:rFonts w:cs="宋体"/>
                <w:kern w:val="0"/>
                <w:sz w:val="15"/>
                <w:szCs w:val="15"/>
              </w:rPr>
            </w:pPr>
            <w:r>
              <w:rPr>
                <w:rFonts w:hint="eastAsia" w:cs="宋体"/>
                <w:kern w:val="0"/>
                <w:sz w:val="15"/>
                <w:szCs w:val="15"/>
              </w:rPr>
              <w:t>0.701</w:t>
            </w:r>
          </w:p>
        </w:tc>
        <w:tc>
          <w:tcPr>
            <w:tcW w:w="711" w:type="dxa"/>
            <w:noWrap w:val="0"/>
            <w:vAlign w:val="center"/>
          </w:tcPr>
          <w:p>
            <w:pPr>
              <w:widowControl/>
              <w:jc w:val="center"/>
              <w:rPr>
                <w:rFonts w:cs="宋体"/>
                <w:kern w:val="0"/>
                <w:sz w:val="15"/>
                <w:szCs w:val="15"/>
              </w:rPr>
            </w:pPr>
            <w:r>
              <w:rPr>
                <w:rFonts w:hint="eastAsia" w:cs="宋体"/>
                <w:kern w:val="0"/>
                <w:sz w:val="15"/>
                <w:szCs w:val="15"/>
              </w:rPr>
              <w:t>0.687</w:t>
            </w:r>
          </w:p>
        </w:tc>
        <w:tc>
          <w:tcPr>
            <w:tcW w:w="711" w:type="dxa"/>
            <w:noWrap w:val="0"/>
            <w:vAlign w:val="center"/>
          </w:tcPr>
          <w:p>
            <w:pPr>
              <w:widowControl/>
              <w:jc w:val="center"/>
              <w:rPr>
                <w:rFonts w:cs="宋体"/>
                <w:kern w:val="0"/>
                <w:sz w:val="15"/>
                <w:szCs w:val="15"/>
              </w:rPr>
            </w:pPr>
            <w:r>
              <w:rPr>
                <w:rFonts w:hint="eastAsia" w:cs="宋体"/>
                <w:kern w:val="0"/>
                <w:sz w:val="15"/>
                <w:szCs w:val="15"/>
              </w:rPr>
              <w:t>0.698</w:t>
            </w:r>
          </w:p>
        </w:tc>
        <w:tc>
          <w:tcPr>
            <w:tcW w:w="711" w:type="dxa"/>
            <w:noWrap w:val="0"/>
            <w:vAlign w:val="center"/>
          </w:tcPr>
          <w:p>
            <w:pPr>
              <w:widowControl/>
              <w:jc w:val="center"/>
              <w:rPr>
                <w:rFonts w:cs="宋体"/>
                <w:kern w:val="0"/>
                <w:sz w:val="15"/>
                <w:szCs w:val="15"/>
              </w:rPr>
            </w:pPr>
            <w:r>
              <w:rPr>
                <w:rFonts w:hint="eastAsia" w:cs="宋体"/>
                <w:kern w:val="0"/>
                <w:sz w:val="15"/>
                <w:szCs w:val="15"/>
              </w:rPr>
              <w:t>0.676</w:t>
            </w:r>
          </w:p>
        </w:tc>
        <w:tc>
          <w:tcPr>
            <w:tcW w:w="712" w:type="dxa"/>
            <w:noWrap w:val="0"/>
            <w:vAlign w:val="center"/>
          </w:tcPr>
          <w:p>
            <w:pPr>
              <w:widowControl/>
              <w:jc w:val="center"/>
              <w:rPr>
                <w:rFonts w:cs="宋体"/>
                <w:kern w:val="0"/>
                <w:sz w:val="15"/>
                <w:szCs w:val="15"/>
              </w:rPr>
            </w:pPr>
            <w:r>
              <w:rPr>
                <w:rFonts w:hint="eastAsia" w:cs="宋体"/>
                <w:kern w:val="0"/>
                <w:sz w:val="15"/>
                <w:szCs w:val="15"/>
              </w:rPr>
              <w:t>0.677</w:t>
            </w:r>
          </w:p>
        </w:tc>
        <w:tc>
          <w:tcPr>
            <w:tcW w:w="710" w:type="dxa"/>
            <w:noWrap w:val="0"/>
            <w:vAlign w:val="center"/>
          </w:tcPr>
          <w:p>
            <w:pPr>
              <w:widowControl/>
              <w:jc w:val="center"/>
              <w:rPr>
                <w:rFonts w:cs="宋体"/>
                <w:kern w:val="0"/>
                <w:sz w:val="15"/>
                <w:szCs w:val="15"/>
              </w:rPr>
            </w:pPr>
            <w:r>
              <w:rPr>
                <w:rFonts w:hint="eastAsia" w:cs="宋体"/>
                <w:kern w:val="0"/>
                <w:sz w:val="15"/>
                <w:szCs w:val="15"/>
              </w:rPr>
              <w:t>0.681</w:t>
            </w:r>
          </w:p>
        </w:tc>
        <w:tc>
          <w:tcPr>
            <w:tcW w:w="712" w:type="dxa"/>
            <w:noWrap w:val="0"/>
            <w:vAlign w:val="center"/>
          </w:tcPr>
          <w:p>
            <w:pPr>
              <w:widowControl/>
              <w:jc w:val="center"/>
              <w:rPr>
                <w:rFonts w:cs="宋体"/>
                <w:kern w:val="0"/>
                <w:sz w:val="15"/>
                <w:szCs w:val="15"/>
              </w:rPr>
            </w:pPr>
            <w:r>
              <w:rPr>
                <w:rFonts w:hint="eastAsia" w:cs="宋体"/>
                <w:kern w:val="0"/>
                <w:sz w:val="15"/>
                <w:szCs w:val="15"/>
              </w:rPr>
              <w:t>0.669</w:t>
            </w:r>
          </w:p>
        </w:tc>
        <w:tc>
          <w:tcPr>
            <w:tcW w:w="710" w:type="dxa"/>
            <w:noWrap w:val="0"/>
            <w:vAlign w:val="center"/>
          </w:tcPr>
          <w:p>
            <w:pPr>
              <w:widowControl/>
              <w:jc w:val="center"/>
              <w:rPr>
                <w:rFonts w:cs="宋体"/>
                <w:kern w:val="0"/>
                <w:sz w:val="15"/>
                <w:szCs w:val="15"/>
              </w:rPr>
            </w:pPr>
            <w:r>
              <w:rPr>
                <w:rFonts w:hint="eastAsia" w:cs="宋体"/>
                <w:kern w:val="0"/>
                <w:sz w:val="15"/>
                <w:szCs w:val="15"/>
              </w:rPr>
              <w:t>0.681</w:t>
            </w:r>
          </w:p>
        </w:tc>
        <w:tc>
          <w:tcPr>
            <w:tcW w:w="528" w:type="dxa"/>
            <w:noWrap w:val="0"/>
            <w:vAlign w:val="center"/>
          </w:tcPr>
          <w:p>
            <w:pPr>
              <w:widowControl/>
              <w:jc w:val="center"/>
              <w:rPr>
                <w:rFonts w:cs="宋体"/>
                <w:kern w:val="0"/>
                <w:sz w:val="15"/>
                <w:szCs w:val="15"/>
              </w:rPr>
            </w:pPr>
            <w:r>
              <w:rPr>
                <w:rFonts w:hint="eastAsia" w:cs="宋体"/>
                <w:kern w:val="0"/>
                <w:sz w:val="15"/>
                <w:szCs w:val="15"/>
              </w:rPr>
              <w:t>1.48</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jc w:val="center"/>
        </w:trPr>
        <w:tc>
          <w:tcPr>
            <w:tcW w:w="484" w:type="dxa"/>
            <w:vMerge w:val="continue"/>
            <w:noWrap w:val="0"/>
            <w:vAlign w:val="center"/>
          </w:tcPr>
          <w:p>
            <w:pPr>
              <w:widowControl/>
              <w:jc w:val="center"/>
              <w:rPr>
                <w:rFonts w:cs="宋体"/>
                <w:kern w:val="0"/>
                <w:sz w:val="15"/>
                <w:szCs w:val="15"/>
              </w:rPr>
            </w:pPr>
          </w:p>
        </w:tc>
        <w:tc>
          <w:tcPr>
            <w:tcW w:w="482" w:type="dxa"/>
            <w:vMerge w:val="continue"/>
            <w:noWrap w:val="0"/>
            <w:vAlign w:val="center"/>
          </w:tcPr>
          <w:p>
            <w:pPr>
              <w:widowControl/>
              <w:jc w:val="center"/>
              <w:rPr>
                <w:rFonts w:cs="宋体"/>
                <w:kern w:val="0"/>
                <w:sz w:val="15"/>
                <w:szCs w:val="15"/>
              </w:rPr>
            </w:pPr>
          </w:p>
        </w:tc>
        <w:tc>
          <w:tcPr>
            <w:tcW w:w="1144" w:type="dxa"/>
            <w:noWrap w:val="0"/>
            <w:vAlign w:val="center"/>
          </w:tcPr>
          <w:p>
            <w:pPr>
              <w:widowControl/>
              <w:jc w:val="center"/>
              <w:rPr>
                <w:rFonts w:cs="宋体"/>
                <w:kern w:val="0"/>
                <w:sz w:val="15"/>
                <w:szCs w:val="15"/>
              </w:rPr>
            </w:pPr>
            <w:r>
              <w:rPr>
                <w:rFonts w:hint="eastAsia" w:hAnsi="宋体" w:cs="宋体"/>
                <w:kern w:val="0"/>
                <w:sz w:val="15"/>
                <w:szCs w:val="15"/>
              </w:rPr>
              <w:t>甲基异柳磷</w:t>
            </w:r>
          </w:p>
        </w:tc>
        <w:tc>
          <w:tcPr>
            <w:tcW w:w="725" w:type="dxa"/>
            <w:noWrap w:val="0"/>
            <w:vAlign w:val="center"/>
          </w:tcPr>
          <w:p>
            <w:pPr>
              <w:widowControl/>
              <w:jc w:val="center"/>
              <w:rPr>
                <w:rFonts w:cs="宋体"/>
                <w:kern w:val="0"/>
                <w:sz w:val="15"/>
                <w:szCs w:val="15"/>
              </w:rPr>
            </w:pPr>
            <w:r>
              <w:rPr>
                <w:rFonts w:hint="eastAsia" w:cs="宋体"/>
                <w:kern w:val="0"/>
                <w:sz w:val="15"/>
                <w:szCs w:val="15"/>
              </w:rPr>
              <w:t>0.172</w:t>
            </w:r>
          </w:p>
        </w:tc>
        <w:tc>
          <w:tcPr>
            <w:tcW w:w="711" w:type="dxa"/>
            <w:noWrap w:val="0"/>
            <w:vAlign w:val="center"/>
          </w:tcPr>
          <w:p>
            <w:pPr>
              <w:widowControl/>
              <w:jc w:val="center"/>
              <w:rPr>
                <w:rFonts w:cs="宋体"/>
                <w:kern w:val="0"/>
                <w:sz w:val="15"/>
                <w:szCs w:val="15"/>
              </w:rPr>
            </w:pPr>
            <w:r>
              <w:rPr>
                <w:rFonts w:hint="eastAsia" w:cs="宋体"/>
                <w:kern w:val="0"/>
                <w:sz w:val="15"/>
                <w:szCs w:val="15"/>
              </w:rPr>
              <w:t>0.170</w:t>
            </w:r>
          </w:p>
        </w:tc>
        <w:tc>
          <w:tcPr>
            <w:tcW w:w="711" w:type="dxa"/>
            <w:noWrap w:val="0"/>
            <w:vAlign w:val="center"/>
          </w:tcPr>
          <w:p>
            <w:pPr>
              <w:widowControl/>
              <w:jc w:val="center"/>
              <w:rPr>
                <w:rFonts w:cs="宋体"/>
                <w:kern w:val="0"/>
                <w:sz w:val="15"/>
                <w:szCs w:val="15"/>
              </w:rPr>
            </w:pPr>
            <w:r>
              <w:rPr>
                <w:rFonts w:hint="eastAsia" w:cs="宋体"/>
                <w:kern w:val="0"/>
                <w:sz w:val="15"/>
                <w:szCs w:val="15"/>
              </w:rPr>
              <w:t>0.165</w:t>
            </w:r>
          </w:p>
        </w:tc>
        <w:tc>
          <w:tcPr>
            <w:tcW w:w="711" w:type="dxa"/>
            <w:noWrap w:val="0"/>
            <w:vAlign w:val="center"/>
          </w:tcPr>
          <w:p>
            <w:pPr>
              <w:widowControl/>
              <w:jc w:val="center"/>
              <w:rPr>
                <w:rFonts w:cs="宋体"/>
                <w:kern w:val="0"/>
                <w:sz w:val="15"/>
                <w:szCs w:val="15"/>
              </w:rPr>
            </w:pPr>
            <w:r>
              <w:rPr>
                <w:rFonts w:hint="eastAsia" w:cs="宋体"/>
                <w:kern w:val="0"/>
                <w:sz w:val="15"/>
                <w:szCs w:val="15"/>
              </w:rPr>
              <w:t>0.167</w:t>
            </w:r>
          </w:p>
        </w:tc>
        <w:tc>
          <w:tcPr>
            <w:tcW w:w="712" w:type="dxa"/>
            <w:noWrap w:val="0"/>
            <w:vAlign w:val="center"/>
          </w:tcPr>
          <w:p>
            <w:pPr>
              <w:widowControl/>
              <w:jc w:val="center"/>
              <w:rPr>
                <w:rFonts w:cs="宋体"/>
                <w:kern w:val="0"/>
                <w:sz w:val="15"/>
                <w:szCs w:val="15"/>
              </w:rPr>
            </w:pPr>
            <w:r>
              <w:rPr>
                <w:rFonts w:hint="eastAsia" w:cs="宋体"/>
                <w:kern w:val="0"/>
                <w:sz w:val="15"/>
                <w:szCs w:val="15"/>
              </w:rPr>
              <w:t>0.161</w:t>
            </w:r>
          </w:p>
        </w:tc>
        <w:tc>
          <w:tcPr>
            <w:tcW w:w="710" w:type="dxa"/>
            <w:noWrap w:val="0"/>
            <w:vAlign w:val="center"/>
          </w:tcPr>
          <w:p>
            <w:pPr>
              <w:widowControl/>
              <w:jc w:val="center"/>
              <w:rPr>
                <w:rFonts w:cs="宋体"/>
                <w:kern w:val="0"/>
                <w:sz w:val="15"/>
                <w:szCs w:val="15"/>
              </w:rPr>
            </w:pPr>
            <w:r>
              <w:rPr>
                <w:rFonts w:hint="eastAsia" w:cs="宋体"/>
                <w:kern w:val="0"/>
                <w:sz w:val="15"/>
                <w:szCs w:val="15"/>
              </w:rPr>
              <w:t>0.159</w:t>
            </w:r>
          </w:p>
        </w:tc>
        <w:tc>
          <w:tcPr>
            <w:tcW w:w="712" w:type="dxa"/>
            <w:noWrap w:val="0"/>
            <w:vAlign w:val="center"/>
          </w:tcPr>
          <w:p>
            <w:pPr>
              <w:widowControl/>
              <w:jc w:val="center"/>
              <w:rPr>
                <w:rFonts w:cs="宋体"/>
                <w:kern w:val="0"/>
                <w:sz w:val="15"/>
                <w:szCs w:val="15"/>
              </w:rPr>
            </w:pPr>
            <w:r>
              <w:rPr>
                <w:rFonts w:hint="eastAsia" w:cs="宋体"/>
                <w:kern w:val="0"/>
                <w:sz w:val="15"/>
                <w:szCs w:val="15"/>
              </w:rPr>
              <w:t>0.162</w:t>
            </w:r>
          </w:p>
        </w:tc>
        <w:tc>
          <w:tcPr>
            <w:tcW w:w="710" w:type="dxa"/>
            <w:noWrap w:val="0"/>
            <w:vAlign w:val="center"/>
          </w:tcPr>
          <w:p>
            <w:pPr>
              <w:widowControl/>
              <w:jc w:val="center"/>
              <w:rPr>
                <w:rFonts w:cs="宋体"/>
                <w:kern w:val="0"/>
                <w:sz w:val="15"/>
                <w:szCs w:val="15"/>
              </w:rPr>
            </w:pPr>
            <w:r>
              <w:rPr>
                <w:rFonts w:hint="eastAsia" w:cs="宋体"/>
                <w:kern w:val="0"/>
                <w:sz w:val="15"/>
                <w:szCs w:val="15"/>
              </w:rPr>
              <w:t>0.164</w:t>
            </w:r>
          </w:p>
        </w:tc>
        <w:tc>
          <w:tcPr>
            <w:tcW w:w="528" w:type="dxa"/>
            <w:noWrap w:val="0"/>
            <w:vAlign w:val="center"/>
          </w:tcPr>
          <w:p>
            <w:pPr>
              <w:widowControl/>
              <w:jc w:val="center"/>
              <w:rPr>
                <w:rFonts w:cs="宋体"/>
                <w:kern w:val="0"/>
                <w:sz w:val="15"/>
                <w:szCs w:val="15"/>
              </w:rPr>
            </w:pPr>
            <w:r>
              <w:rPr>
                <w:rFonts w:hint="eastAsia" w:cs="宋体"/>
                <w:kern w:val="0"/>
                <w:sz w:val="15"/>
                <w:szCs w:val="15"/>
              </w:rPr>
              <w:t>2.50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jc w:val="center"/>
        </w:trPr>
        <w:tc>
          <w:tcPr>
            <w:tcW w:w="484" w:type="dxa"/>
            <w:vMerge w:val="continue"/>
            <w:noWrap w:val="0"/>
            <w:vAlign w:val="center"/>
          </w:tcPr>
          <w:p>
            <w:pPr>
              <w:widowControl/>
              <w:jc w:val="center"/>
              <w:rPr>
                <w:rFonts w:cs="宋体"/>
                <w:kern w:val="0"/>
                <w:sz w:val="15"/>
                <w:szCs w:val="15"/>
              </w:rPr>
            </w:pPr>
          </w:p>
        </w:tc>
        <w:tc>
          <w:tcPr>
            <w:tcW w:w="482" w:type="dxa"/>
            <w:vMerge w:val="continue"/>
            <w:noWrap w:val="0"/>
            <w:vAlign w:val="center"/>
          </w:tcPr>
          <w:p>
            <w:pPr>
              <w:widowControl/>
              <w:jc w:val="center"/>
              <w:rPr>
                <w:rFonts w:cs="宋体"/>
                <w:kern w:val="0"/>
                <w:sz w:val="15"/>
                <w:szCs w:val="15"/>
              </w:rPr>
            </w:pPr>
          </w:p>
        </w:tc>
        <w:tc>
          <w:tcPr>
            <w:tcW w:w="1144" w:type="dxa"/>
            <w:noWrap w:val="0"/>
            <w:vAlign w:val="center"/>
          </w:tcPr>
          <w:p>
            <w:pPr>
              <w:widowControl/>
              <w:jc w:val="center"/>
              <w:rPr>
                <w:rFonts w:cs="宋体"/>
                <w:kern w:val="0"/>
                <w:sz w:val="15"/>
                <w:szCs w:val="15"/>
              </w:rPr>
            </w:pPr>
            <w:r>
              <w:rPr>
                <w:rFonts w:hint="eastAsia" w:hAnsi="宋体" w:cs="宋体"/>
                <w:kern w:val="0"/>
                <w:sz w:val="15"/>
                <w:szCs w:val="15"/>
              </w:rPr>
              <w:t>水胺硫磷</w:t>
            </w:r>
          </w:p>
        </w:tc>
        <w:tc>
          <w:tcPr>
            <w:tcW w:w="725" w:type="dxa"/>
            <w:noWrap w:val="0"/>
            <w:vAlign w:val="center"/>
          </w:tcPr>
          <w:p>
            <w:pPr>
              <w:widowControl/>
              <w:jc w:val="center"/>
              <w:rPr>
                <w:rFonts w:cs="宋体"/>
                <w:kern w:val="0"/>
                <w:sz w:val="15"/>
                <w:szCs w:val="15"/>
              </w:rPr>
            </w:pPr>
            <w:r>
              <w:rPr>
                <w:rFonts w:hint="eastAsia" w:cs="宋体"/>
                <w:kern w:val="0"/>
                <w:sz w:val="15"/>
                <w:szCs w:val="15"/>
              </w:rPr>
              <w:t>0.566</w:t>
            </w:r>
          </w:p>
        </w:tc>
        <w:tc>
          <w:tcPr>
            <w:tcW w:w="711" w:type="dxa"/>
            <w:noWrap w:val="0"/>
            <w:vAlign w:val="center"/>
          </w:tcPr>
          <w:p>
            <w:pPr>
              <w:widowControl/>
              <w:jc w:val="center"/>
              <w:rPr>
                <w:rFonts w:cs="宋体"/>
                <w:kern w:val="0"/>
                <w:sz w:val="15"/>
                <w:szCs w:val="15"/>
              </w:rPr>
            </w:pPr>
            <w:r>
              <w:rPr>
                <w:rFonts w:hint="eastAsia" w:cs="宋体"/>
                <w:kern w:val="0"/>
                <w:sz w:val="15"/>
                <w:szCs w:val="15"/>
              </w:rPr>
              <w:t>0.556</w:t>
            </w:r>
          </w:p>
        </w:tc>
        <w:tc>
          <w:tcPr>
            <w:tcW w:w="711" w:type="dxa"/>
            <w:noWrap w:val="0"/>
            <w:vAlign w:val="center"/>
          </w:tcPr>
          <w:p>
            <w:pPr>
              <w:widowControl/>
              <w:jc w:val="center"/>
              <w:rPr>
                <w:rFonts w:cs="宋体"/>
                <w:kern w:val="0"/>
                <w:sz w:val="15"/>
                <w:szCs w:val="15"/>
              </w:rPr>
            </w:pPr>
            <w:r>
              <w:rPr>
                <w:rFonts w:hint="eastAsia" w:cs="宋体"/>
                <w:kern w:val="0"/>
                <w:sz w:val="15"/>
                <w:szCs w:val="15"/>
              </w:rPr>
              <w:t>0.548</w:t>
            </w:r>
          </w:p>
        </w:tc>
        <w:tc>
          <w:tcPr>
            <w:tcW w:w="711" w:type="dxa"/>
            <w:noWrap w:val="0"/>
            <w:vAlign w:val="center"/>
          </w:tcPr>
          <w:p>
            <w:pPr>
              <w:widowControl/>
              <w:jc w:val="center"/>
              <w:rPr>
                <w:rFonts w:cs="宋体"/>
                <w:kern w:val="0"/>
                <w:sz w:val="15"/>
                <w:szCs w:val="15"/>
              </w:rPr>
            </w:pPr>
            <w:r>
              <w:rPr>
                <w:rFonts w:hint="eastAsia" w:cs="宋体"/>
                <w:kern w:val="0"/>
                <w:sz w:val="15"/>
                <w:szCs w:val="15"/>
              </w:rPr>
              <w:t>0.561</w:t>
            </w:r>
          </w:p>
        </w:tc>
        <w:tc>
          <w:tcPr>
            <w:tcW w:w="712" w:type="dxa"/>
            <w:noWrap w:val="0"/>
            <w:vAlign w:val="center"/>
          </w:tcPr>
          <w:p>
            <w:pPr>
              <w:widowControl/>
              <w:jc w:val="center"/>
              <w:rPr>
                <w:rFonts w:cs="宋体"/>
                <w:kern w:val="0"/>
                <w:sz w:val="15"/>
                <w:szCs w:val="15"/>
              </w:rPr>
            </w:pPr>
            <w:r>
              <w:rPr>
                <w:rFonts w:hint="eastAsia" w:cs="宋体"/>
                <w:kern w:val="0"/>
                <w:sz w:val="15"/>
                <w:szCs w:val="15"/>
              </w:rPr>
              <w:t>0.541</w:t>
            </w:r>
          </w:p>
        </w:tc>
        <w:tc>
          <w:tcPr>
            <w:tcW w:w="710" w:type="dxa"/>
            <w:noWrap w:val="0"/>
            <w:vAlign w:val="center"/>
          </w:tcPr>
          <w:p>
            <w:pPr>
              <w:widowControl/>
              <w:jc w:val="center"/>
              <w:rPr>
                <w:rFonts w:cs="宋体"/>
                <w:kern w:val="0"/>
                <w:sz w:val="15"/>
                <w:szCs w:val="15"/>
              </w:rPr>
            </w:pPr>
            <w:r>
              <w:rPr>
                <w:rFonts w:hint="eastAsia" w:cs="宋体"/>
                <w:kern w:val="0"/>
                <w:sz w:val="15"/>
                <w:szCs w:val="15"/>
              </w:rPr>
              <w:t>0.539</w:t>
            </w:r>
          </w:p>
        </w:tc>
        <w:tc>
          <w:tcPr>
            <w:tcW w:w="712" w:type="dxa"/>
            <w:noWrap w:val="0"/>
            <w:vAlign w:val="center"/>
          </w:tcPr>
          <w:p>
            <w:pPr>
              <w:widowControl/>
              <w:jc w:val="center"/>
              <w:rPr>
                <w:rFonts w:cs="宋体"/>
                <w:kern w:val="0"/>
                <w:sz w:val="15"/>
                <w:szCs w:val="15"/>
              </w:rPr>
            </w:pPr>
            <w:r>
              <w:rPr>
                <w:rFonts w:hint="eastAsia" w:cs="宋体"/>
                <w:kern w:val="0"/>
                <w:sz w:val="15"/>
                <w:szCs w:val="15"/>
              </w:rPr>
              <w:t>0.547</w:t>
            </w:r>
          </w:p>
        </w:tc>
        <w:tc>
          <w:tcPr>
            <w:tcW w:w="710" w:type="dxa"/>
            <w:noWrap w:val="0"/>
            <w:vAlign w:val="center"/>
          </w:tcPr>
          <w:p>
            <w:pPr>
              <w:widowControl/>
              <w:jc w:val="center"/>
              <w:rPr>
                <w:rFonts w:cs="宋体"/>
                <w:kern w:val="0"/>
                <w:sz w:val="15"/>
                <w:szCs w:val="15"/>
              </w:rPr>
            </w:pPr>
            <w:r>
              <w:rPr>
                <w:rFonts w:hint="eastAsia" w:cs="宋体"/>
                <w:kern w:val="0"/>
                <w:sz w:val="15"/>
                <w:szCs w:val="15"/>
              </w:rPr>
              <w:t>0.549</w:t>
            </w:r>
          </w:p>
        </w:tc>
        <w:tc>
          <w:tcPr>
            <w:tcW w:w="528" w:type="dxa"/>
            <w:noWrap w:val="0"/>
            <w:vAlign w:val="center"/>
          </w:tcPr>
          <w:p>
            <w:pPr>
              <w:widowControl/>
              <w:jc w:val="center"/>
              <w:rPr>
                <w:rFonts w:cs="宋体"/>
                <w:kern w:val="0"/>
                <w:sz w:val="15"/>
                <w:szCs w:val="15"/>
              </w:rPr>
            </w:pPr>
            <w:r>
              <w:rPr>
                <w:rFonts w:hint="eastAsia" w:cs="宋体"/>
                <w:kern w:val="0"/>
                <w:sz w:val="15"/>
                <w:szCs w:val="15"/>
              </w:rPr>
              <w:t>1.55</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jc w:val="center"/>
        </w:trPr>
        <w:tc>
          <w:tcPr>
            <w:tcW w:w="484" w:type="dxa"/>
            <w:vMerge w:val="continue"/>
            <w:noWrap w:val="0"/>
            <w:vAlign w:val="center"/>
          </w:tcPr>
          <w:p>
            <w:pPr>
              <w:widowControl/>
              <w:jc w:val="center"/>
              <w:rPr>
                <w:rFonts w:hint="eastAsia" w:hAnsi="宋体" w:cs="宋体"/>
                <w:kern w:val="0"/>
                <w:sz w:val="15"/>
                <w:szCs w:val="15"/>
              </w:rPr>
            </w:pPr>
          </w:p>
        </w:tc>
        <w:tc>
          <w:tcPr>
            <w:tcW w:w="482" w:type="dxa"/>
            <w:vMerge w:val="restart"/>
            <w:noWrap w:val="0"/>
            <w:vAlign w:val="center"/>
          </w:tcPr>
          <w:p>
            <w:pPr>
              <w:widowControl/>
              <w:jc w:val="center"/>
              <w:rPr>
                <w:rFonts w:cs="宋体"/>
                <w:kern w:val="0"/>
                <w:sz w:val="15"/>
                <w:szCs w:val="15"/>
              </w:rPr>
            </w:pPr>
            <w:r>
              <w:rPr>
                <w:rFonts w:hint="eastAsia" w:hAnsi="宋体" w:cs="宋体"/>
                <w:kern w:val="0"/>
                <w:sz w:val="15"/>
                <w:szCs w:val="15"/>
              </w:rPr>
              <w:t>农科院植保所</w:t>
            </w:r>
          </w:p>
        </w:tc>
        <w:tc>
          <w:tcPr>
            <w:tcW w:w="1144" w:type="dxa"/>
            <w:noWrap w:val="0"/>
            <w:vAlign w:val="center"/>
          </w:tcPr>
          <w:p>
            <w:pPr>
              <w:widowControl/>
              <w:jc w:val="center"/>
              <w:rPr>
                <w:rFonts w:cs="宋体"/>
                <w:kern w:val="0"/>
                <w:sz w:val="15"/>
                <w:szCs w:val="15"/>
              </w:rPr>
            </w:pPr>
            <w:r>
              <w:rPr>
                <w:rFonts w:hint="eastAsia" w:hAnsi="宋体" w:cs="宋体"/>
                <w:kern w:val="0"/>
                <w:sz w:val="15"/>
                <w:szCs w:val="15"/>
              </w:rPr>
              <w:t>甲胺磷</w:t>
            </w:r>
          </w:p>
        </w:tc>
        <w:tc>
          <w:tcPr>
            <w:tcW w:w="725" w:type="dxa"/>
            <w:noWrap w:val="0"/>
            <w:vAlign w:val="center"/>
          </w:tcPr>
          <w:p>
            <w:pPr>
              <w:widowControl/>
              <w:jc w:val="center"/>
              <w:rPr>
                <w:rFonts w:cs="宋体"/>
                <w:kern w:val="0"/>
                <w:sz w:val="15"/>
                <w:szCs w:val="15"/>
              </w:rPr>
            </w:pPr>
            <w:r>
              <w:rPr>
                <w:rFonts w:hint="eastAsia" w:cs="宋体"/>
                <w:kern w:val="0"/>
                <w:sz w:val="15"/>
                <w:szCs w:val="15"/>
              </w:rPr>
              <w:t>1.563</w:t>
            </w:r>
          </w:p>
        </w:tc>
        <w:tc>
          <w:tcPr>
            <w:tcW w:w="711" w:type="dxa"/>
            <w:noWrap w:val="0"/>
            <w:vAlign w:val="center"/>
          </w:tcPr>
          <w:p>
            <w:pPr>
              <w:widowControl/>
              <w:jc w:val="center"/>
              <w:rPr>
                <w:rFonts w:cs="宋体"/>
                <w:kern w:val="0"/>
                <w:sz w:val="15"/>
                <w:szCs w:val="15"/>
              </w:rPr>
            </w:pPr>
            <w:r>
              <w:rPr>
                <w:rFonts w:hint="eastAsia" w:cs="宋体"/>
                <w:kern w:val="0"/>
                <w:sz w:val="15"/>
                <w:szCs w:val="15"/>
              </w:rPr>
              <w:t>1.501</w:t>
            </w:r>
          </w:p>
        </w:tc>
        <w:tc>
          <w:tcPr>
            <w:tcW w:w="711" w:type="dxa"/>
            <w:noWrap w:val="0"/>
            <w:vAlign w:val="center"/>
          </w:tcPr>
          <w:p>
            <w:pPr>
              <w:widowControl/>
              <w:jc w:val="center"/>
              <w:rPr>
                <w:rFonts w:cs="宋体"/>
                <w:kern w:val="0"/>
                <w:sz w:val="15"/>
                <w:szCs w:val="15"/>
              </w:rPr>
            </w:pPr>
            <w:r>
              <w:rPr>
                <w:rFonts w:hint="eastAsia" w:cs="宋体"/>
                <w:kern w:val="0"/>
                <w:sz w:val="15"/>
                <w:szCs w:val="15"/>
              </w:rPr>
              <w:t>1.512</w:t>
            </w:r>
          </w:p>
        </w:tc>
        <w:tc>
          <w:tcPr>
            <w:tcW w:w="711" w:type="dxa"/>
            <w:noWrap w:val="0"/>
            <w:vAlign w:val="center"/>
          </w:tcPr>
          <w:p>
            <w:pPr>
              <w:widowControl/>
              <w:jc w:val="center"/>
              <w:rPr>
                <w:rFonts w:cs="宋体"/>
                <w:kern w:val="0"/>
                <w:sz w:val="15"/>
                <w:szCs w:val="15"/>
              </w:rPr>
            </w:pPr>
            <w:r>
              <w:rPr>
                <w:rFonts w:hint="eastAsia" w:cs="宋体"/>
                <w:kern w:val="0"/>
                <w:sz w:val="15"/>
                <w:szCs w:val="15"/>
              </w:rPr>
              <w:t>1.522</w:t>
            </w:r>
          </w:p>
        </w:tc>
        <w:tc>
          <w:tcPr>
            <w:tcW w:w="712" w:type="dxa"/>
            <w:noWrap w:val="0"/>
            <w:vAlign w:val="center"/>
          </w:tcPr>
          <w:p>
            <w:pPr>
              <w:widowControl/>
              <w:jc w:val="center"/>
              <w:rPr>
                <w:rFonts w:cs="宋体"/>
                <w:kern w:val="0"/>
                <w:sz w:val="15"/>
                <w:szCs w:val="15"/>
              </w:rPr>
            </w:pPr>
            <w:r>
              <w:rPr>
                <w:rFonts w:hint="eastAsia" w:cs="宋体"/>
                <w:kern w:val="0"/>
                <w:sz w:val="15"/>
                <w:szCs w:val="15"/>
              </w:rPr>
              <w:t>1.518</w:t>
            </w:r>
          </w:p>
        </w:tc>
        <w:tc>
          <w:tcPr>
            <w:tcW w:w="710" w:type="dxa"/>
            <w:noWrap w:val="0"/>
            <w:vAlign w:val="center"/>
          </w:tcPr>
          <w:p>
            <w:pPr>
              <w:widowControl/>
              <w:jc w:val="center"/>
              <w:rPr>
                <w:rFonts w:cs="宋体"/>
                <w:kern w:val="0"/>
                <w:sz w:val="15"/>
                <w:szCs w:val="15"/>
              </w:rPr>
            </w:pPr>
            <w:r>
              <w:rPr>
                <w:rFonts w:hint="eastAsia" w:cs="宋体"/>
                <w:kern w:val="0"/>
                <w:sz w:val="15"/>
                <w:szCs w:val="15"/>
              </w:rPr>
              <w:t>1.550</w:t>
            </w:r>
          </w:p>
        </w:tc>
        <w:tc>
          <w:tcPr>
            <w:tcW w:w="712" w:type="dxa"/>
            <w:noWrap w:val="0"/>
            <w:vAlign w:val="center"/>
          </w:tcPr>
          <w:p>
            <w:pPr>
              <w:widowControl/>
              <w:jc w:val="center"/>
              <w:rPr>
                <w:rFonts w:cs="宋体"/>
                <w:kern w:val="0"/>
                <w:sz w:val="15"/>
                <w:szCs w:val="15"/>
              </w:rPr>
            </w:pPr>
            <w:r>
              <w:rPr>
                <w:rFonts w:hint="eastAsia" w:cs="宋体"/>
                <w:kern w:val="0"/>
                <w:sz w:val="15"/>
                <w:szCs w:val="15"/>
              </w:rPr>
              <w:t>1.590</w:t>
            </w:r>
          </w:p>
        </w:tc>
        <w:tc>
          <w:tcPr>
            <w:tcW w:w="710" w:type="dxa"/>
            <w:noWrap w:val="0"/>
            <w:vAlign w:val="center"/>
          </w:tcPr>
          <w:p>
            <w:pPr>
              <w:widowControl/>
              <w:jc w:val="center"/>
              <w:rPr>
                <w:rFonts w:cs="宋体"/>
                <w:kern w:val="0"/>
                <w:sz w:val="15"/>
                <w:szCs w:val="15"/>
              </w:rPr>
            </w:pPr>
            <w:r>
              <w:rPr>
                <w:rFonts w:hint="eastAsia" w:cs="宋体"/>
                <w:kern w:val="0"/>
                <w:sz w:val="15"/>
                <w:szCs w:val="15"/>
              </w:rPr>
              <w:t>1.532</w:t>
            </w:r>
          </w:p>
        </w:tc>
        <w:tc>
          <w:tcPr>
            <w:tcW w:w="528" w:type="dxa"/>
            <w:noWrap w:val="0"/>
            <w:vAlign w:val="center"/>
          </w:tcPr>
          <w:p>
            <w:pPr>
              <w:widowControl/>
              <w:jc w:val="center"/>
              <w:rPr>
                <w:rFonts w:cs="宋体"/>
                <w:kern w:val="0"/>
                <w:sz w:val="15"/>
                <w:szCs w:val="15"/>
              </w:rPr>
            </w:pPr>
            <w:r>
              <w:rPr>
                <w:rFonts w:hint="eastAsia" w:cs="宋体"/>
                <w:kern w:val="0"/>
                <w:sz w:val="15"/>
                <w:szCs w:val="15"/>
              </w:rPr>
              <w:t>2.13</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jc w:val="center"/>
        </w:trPr>
        <w:tc>
          <w:tcPr>
            <w:tcW w:w="484" w:type="dxa"/>
            <w:vMerge w:val="continue"/>
            <w:noWrap w:val="0"/>
            <w:vAlign w:val="center"/>
          </w:tcPr>
          <w:p>
            <w:pPr>
              <w:widowControl/>
              <w:jc w:val="center"/>
              <w:rPr>
                <w:rFonts w:cs="宋体"/>
                <w:kern w:val="0"/>
                <w:sz w:val="15"/>
                <w:szCs w:val="15"/>
              </w:rPr>
            </w:pPr>
          </w:p>
        </w:tc>
        <w:tc>
          <w:tcPr>
            <w:tcW w:w="482" w:type="dxa"/>
            <w:vMerge w:val="continue"/>
            <w:noWrap w:val="0"/>
            <w:vAlign w:val="center"/>
          </w:tcPr>
          <w:p>
            <w:pPr>
              <w:widowControl/>
              <w:jc w:val="center"/>
              <w:rPr>
                <w:rFonts w:cs="宋体"/>
                <w:kern w:val="0"/>
                <w:sz w:val="15"/>
                <w:szCs w:val="15"/>
              </w:rPr>
            </w:pPr>
          </w:p>
        </w:tc>
        <w:tc>
          <w:tcPr>
            <w:tcW w:w="1144" w:type="dxa"/>
            <w:noWrap w:val="0"/>
            <w:vAlign w:val="center"/>
          </w:tcPr>
          <w:p>
            <w:pPr>
              <w:widowControl/>
              <w:jc w:val="center"/>
              <w:rPr>
                <w:rFonts w:cs="宋体"/>
                <w:kern w:val="0"/>
                <w:sz w:val="15"/>
                <w:szCs w:val="15"/>
              </w:rPr>
            </w:pPr>
            <w:r>
              <w:rPr>
                <w:rFonts w:hint="eastAsia" w:hAnsi="宋体" w:cs="宋体"/>
                <w:kern w:val="0"/>
                <w:sz w:val="15"/>
                <w:szCs w:val="15"/>
              </w:rPr>
              <w:t>甲拌磷</w:t>
            </w:r>
          </w:p>
        </w:tc>
        <w:tc>
          <w:tcPr>
            <w:tcW w:w="725" w:type="dxa"/>
            <w:noWrap w:val="0"/>
            <w:vAlign w:val="center"/>
          </w:tcPr>
          <w:p>
            <w:pPr>
              <w:widowControl/>
              <w:jc w:val="center"/>
              <w:rPr>
                <w:rFonts w:cs="宋体"/>
                <w:kern w:val="0"/>
                <w:sz w:val="15"/>
                <w:szCs w:val="15"/>
              </w:rPr>
            </w:pPr>
            <w:r>
              <w:rPr>
                <w:rFonts w:hint="eastAsia" w:cs="宋体"/>
                <w:kern w:val="0"/>
                <w:sz w:val="15"/>
                <w:szCs w:val="15"/>
              </w:rPr>
              <w:t>0.684</w:t>
            </w:r>
          </w:p>
        </w:tc>
        <w:tc>
          <w:tcPr>
            <w:tcW w:w="711" w:type="dxa"/>
            <w:noWrap w:val="0"/>
            <w:vAlign w:val="center"/>
          </w:tcPr>
          <w:p>
            <w:pPr>
              <w:widowControl/>
              <w:jc w:val="center"/>
              <w:rPr>
                <w:rFonts w:cs="宋体"/>
                <w:kern w:val="0"/>
                <w:sz w:val="15"/>
                <w:szCs w:val="15"/>
              </w:rPr>
            </w:pPr>
            <w:r>
              <w:rPr>
                <w:rFonts w:hint="eastAsia" w:cs="宋体"/>
                <w:kern w:val="0"/>
                <w:sz w:val="15"/>
                <w:szCs w:val="15"/>
              </w:rPr>
              <w:t>0.670</w:t>
            </w:r>
          </w:p>
        </w:tc>
        <w:tc>
          <w:tcPr>
            <w:tcW w:w="711" w:type="dxa"/>
            <w:noWrap w:val="0"/>
            <w:vAlign w:val="center"/>
          </w:tcPr>
          <w:p>
            <w:pPr>
              <w:widowControl/>
              <w:jc w:val="center"/>
              <w:rPr>
                <w:rFonts w:cs="宋体"/>
                <w:kern w:val="0"/>
                <w:sz w:val="15"/>
                <w:szCs w:val="15"/>
              </w:rPr>
            </w:pPr>
            <w:r>
              <w:rPr>
                <w:rFonts w:hint="eastAsia" w:cs="宋体"/>
                <w:kern w:val="0"/>
                <w:sz w:val="15"/>
                <w:szCs w:val="15"/>
              </w:rPr>
              <w:t>0.668</w:t>
            </w:r>
          </w:p>
        </w:tc>
        <w:tc>
          <w:tcPr>
            <w:tcW w:w="711" w:type="dxa"/>
            <w:noWrap w:val="0"/>
            <w:vAlign w:val="center"/>
          </w:tcPr>
          <w:p>
            <w:pPr>
              <w:widowControl/>
              <w:jc w:val="center"/>
              <w:rPr>
                <w:rFonts w:cs="宋体"/>
                <w:kern w:val="0"/>
                <w:sz w:val="15"/>
                <w:szCs w:val="15"/>
              </w:rPr>
            </w:pPr>
            <w:r>
              <w:rPr>
                <w:rFonts w:hint="eastAsia" w:cs="宋体"/>
                <w:kern w:val="0"/>
                <w:sz w:val="15"/>
                <w:szCs w:val="15"/>
              </w:rPr>
              <w:t>0.649</w:t>
            </w:r>
          </w:p>
        </w:tc>
        <w:tc>
          <w:tcPr>
            <w:tcW w:w="712" w:type="dxa"/>
            <w:noWrap w:val="0"/>
            <w:vAlign w:val="center"/>
          </w:tcPr>
          <w:p>
            <w:pPr>
              <w:widowControl/>
              <w:jc w:val="center"/>
              <w:rPr>
                <w:rFonts w:cs="宋体"/>
                <w:kern w:val="0"/>
                <w:sz w:val="15"/>
                <w:szCs w:val="15"/>
              </w:rPr>
            </w:pPr>
            <w:r>
              <w:rPr>
                <w:rFonts w:hint="eastAsia" w:cs="宋体"/>
                <w:kern w:val="0"/>
                <w:sz w:val="15"/>
                <w:szCs w:val="15"/>
              </w:rPr>
              <w:t>0.634</w:t>
            </w:r>
          </w:p>
        </w:tc>
        <w:tc>
          <w:tcPr>
            <w:tcW w:w="710" w:type="dxa"/>
            <w:noWrap w:val="0"/>
            <w:vAlign w:val="center"/>
          </w:tcPr>
          <w:p>
            <w:pPr>
              <w:widowControl/>
              <w:jc w:val="center"/>
              <w:rPr>
                <w:rFonts w:cs="宋体"/>
                <w:kern w:val="0"/>
                <w:sz w:val="15"/>
                <w:szCs w:val="15"/>
              </w:rPr>
            </w:pPr>
            <w:r>
              <w:rPr>
                <w:rFonts w:hint="eastAsia" w:cs="宋体"/>
                <w:kern w:val="0"/>
                <w:sz w:val="15"/>
                <w:szCs w:val="15"/>
              </w:rPr>
              <w:t>0.667</w:t>
            </w:r>
          </w:p>
        </w:tc>
        <w:tc>
          <w:tcPr>
            <w:tcW w:w="712" w:type="dxa"/>
            <w:noWrap w:val="0"/>
            <w:vAlign w:val="center"/>
          </w:tcPr>
          <w:p>
            <w:pPr>
              <w:widowControl/>
              <w:jc w:val="center"/>
              <w:rPr>
                <w:rFonts w:cs="宋体"/>
                <w:kern w:val="0"/>
                <w:sz w:val="15"/>
                <w:szCs w:val="15"/>
              </w:rPr>
            </w:pPr>
            <w:r>
              <w:rPr>
                <w:rFonts w:hint="eastAsia" w:cs="宋体"/>
                <w:kern w:val="0"/>
                <w:sz w:val="15"/>
                <w:szCs w:val="15"/>
              </w:rPr>
              <w:t>0.680</w:t>
            </w:r>
          </w:p>
        </w:tc>
        <w:tc>
          <w:tcPr>
            <w:tcW w:w="710" w:type="dxa"/>
            <w:noWrap w:val="0"/>
            <w:vAlign w:val="center"/>
          </w:tcPr>
          <w:p>
            <w:pPr>
              <w:widowControl/>
              <w:jc w:val="center"/>
              <w:rPr>
                <w:rFonts w:cs="宋体"/>
                <w:kern w:val="0"/>
                <w:sz w:val="15"/>
                <w:szCs w:val="15"/>
              </w:rPr>
            </w:pPr>
            <w:r>
              <w:rPr>
                <w:rFonts w:hint="eastAsia" w:cs="宋体"/>
                <w:kern w:val="0"/>
                <w:sz w:val="15"/>
                <w:szCs w:val="15"/>
              </w:rPr>
              <w:t>0.661</w:t>
            </w:r>
          </w:p>
        </w:tc>
        <w:tc>
          <w:tcPr>
            <w:tcW w:w="528" w:type="dxa"/>
            <w:noWrap w:val="0"/>
            <w:vAlign w:val="center"/>
          </w:tcPr>
          <w:p>
            <w:pPr>
              <w:widowControl/>
              <w:jc w:val="center"/>
              <w:rPr>
                <w:rFonts w:cs="宋体"/>
                <w:kern w:val="0"/>
                <w:sz w:val="15"/>
                <w:szCs w:val="15"/>
              </w:rPr>
            </w:pPr>
            <w:r>
              <w:rPr>
                <w:rFonts w:hint="eastAsia" w:cs="宋体"/>
                <w:kern w:val="0"/>
                <w:sz w:val="15"/>
                <w:szCs w:val="15"/>
              </w:rPr>
              <w:t>2.53</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jc w:val="center"/>
        </w:trPr>
        <w:tc>
          <w:tcPr>
            <w:tcW w:w="484" w:type="dxa"/>
            <w:vMerge w:val="continue"/>
            <w:noWrap w:val="0"/>
            <w:vAlign w:val="center"/>
          </w:tcPr>
          <w:p>
            <w:pPr>
              <w:widowControl/>
              <w:jc w:val="center"/>
              <w:rPr>
                <w:rFonts w:cs="宋体"/>
                <w:kern w:val="0"/>
                <w:sz w:val="15"/>
                <w:szCs w:val="15"/>
              </w:rPr>
            </w:pPr>
          </w:p>
        </w:tc>
        <w:tc>
          <w:tcPr>
            <w:tcW w:w="482" w:type="dxa"/>
            <w:vMerge w:val="continue"/>
            <w:noWrap w:val="0"/>
            <w:vAlign w:val="center"/>
          </w:tcPr>
          <w:p>
            <w:pPr>
              <w:widowControl/>
              <w:jc w:val="center"/>
              <w:rPr>
                <w:rFonts w:cs="宋体"/>
                <w:kern w:val="0"/>
                <w:sz w:val="15"/>
                <w:szCs w:val="15"/>
              </w:rPr>
            </w:pPr>
          </w:p>
        </w:tc>
        <w:tc>
          <w:tcPr>
            <w:tcW w:w="1144" w:type="dxa"/>
            <w:noWrap w:val="0"/>
            <w:vAlign w:val="center"/>
          </w:tcPr>
          <w:p>
            <w:pPr>
              <w:widowControl/>
              <w:jc w:val="center"/>
              <w:rPr>
                <w:rFonts w:cs="宋体"/>
                <w:kern w:val="0"/>
                <w:sz w:val="15"/>
                <w:szCs w:val="15"/>
              </w:rPr>
            </w:pPr>
            <w:r>
              <w:rPr>
                <w:rFonts w:hint="eastAsia" w:hAnsi="宋体" w:cs="宋体"/>
                <w:kern w:val="0"/>
                <w:sz w:val="15"/>
                <w:szCs w:val="15"/>
              </w:rPr>
              <w:t>治螟磷</w:t>
            </w:r>
          </w:p>
        </w:tc>
        <w:tc>
          <w:tcPr>
            <w:tcW w:w="725" w:type="dxa"/>
            <w:noWrap w:val="0"/>
            <w:vAlign w:val="center"/>
          </w:tcPr>
          <w:p>
            <w:pPr>
              <w:widowControl/>
              <w:jc w:val="center"/>
              <w:rPr>
                <w:rFonts w:cs="宋体"/>
                <w:kern w:val="0"/>
                <w:sz w:val="15"/>
                <w:szCs w:val="15"/>
              </w:rPr>
            </w:pPr>
            <w:r>
              <w:rPr>
                <w:rFonts w:hint="eastAsia" w:cs="宋体"/>
                <w:kern w:val="0"/>
                <w:sz w:val="15"/>
                <w:szCs w:val="15"/>
              </w:rPr>
              <w:t>0.922</w:t>
            </w:r>
          </w:p>
        </w:tc>
        <w:tc>
          <w:tcPr>
            <w:tcW w:w="711" w:type="dxa"/>
            <w:noWrap w:val="0"/>
            <w:vAlign w:val="center"/>
          </w:tcPr>
          <w:p>
            <w:pPr>
              <w:widowControl/>
              <w:jc w:val="center"/>
              <w:rPr>
                <w:rFonts w:cs="宋体"/>
                <w:kern w:val="0"/>
                <w:sz w:val="15"/>
                <w:szCs w:val="15"/>
              </w:rPr>
            </w:pPr>
            <w:r>
              <w:rPr>
                <w:rFonts w:hint="eastAsia" w:cs="宋体"/>
                <w:kern w:val="0"/>
                <w:sz w:val="15"/>
                <w:szCs w:val="15"/>
              </w:rPr>
              <w:t>0.901</w:t>
            </w:r>
          </w:p>
        </w:tc>
        <w:tc>
          <w:tcPr>
            <w:tcW w:w="711" w:type="dxa"/>
            <w:noWrap w:val="0"/>
            <w:vAlign w:val="center"/>
          </w:tcPr>
          <w:p>
            <w:pPr>
              <w:widowControl/>
              <w:jc w:val="center"/>
              <w:rPr>
                <w:rFonts w:cs="宋体"/>
                <w:kern w:val="0"/>
                <w:sz w:val="15"/>
                <w:szCs w:val="15"/>
              </w:rPr>
            </w:pPr>
            <w:r>
              <w:rPr>
                <w:rFonts w:hint="eastAsia" w:cs="宋体"/>
                <w:kern w:val="0"/>
                <w:sz w:val="15"/>
                <w:szCs w:val="15"/>
              </w:rPr>
              <w:t>0.911</w:t>
            </w:r>
          </w:p>
        </w:tc>
        <w:tc>
          <w:tcPr>
            <w:tcW w:w="711" w:type="dxa"/>
            <w:noWrap w:val="0"/>
            <w:vAlign w:val="center"/>
          </w:tcPr>
          <w:p>
            <w:pPr>
              <w:widowControl/>
              <w:jc w:val="center"/>
              <w:rPr>
                <w:rFonts w:cs="宋体"/>
                <w:kern w:val="0"/>
                <w:sz w:val="15"/>
                <w:szCs w:val="15"/>
              </w:rPr>
            </w:pPr>
            <w:r>
              <w:rPr>
                <w:rFonts w:hint="eastAsia" w:cs="宋体"/>
                <w:kern w:val="0"/>
                <w:sz w:val="15"/>
                <w:szCs w:val="15"/>
              </w:rPr>
              <w:t>0.932</w:t>
            </w:r>
          </w:p>
        </w:tc>
        <w:tc>
          <w:tcPr>
            <w:tcW w:w="712" w:type="dxa"/>
            <w:noWrap w:val="0"/>
            <w:vAlign w:val="center"/>
          </w:tcPr>
          <w:p>
            <w:pPr>
              <w:widowControl/>
              <w:jc w:val="center"/>
              <w:rPr>
                <w:rFonts w:cs="宋体"/>
                <w:kern w:val="0"/>
                <w:sz w:val="15"/>
                <w:szCs w:val="15"/>
              </w:rPr>
            </w:pPr>
            <w:r>
              <w:rPr>
                <w:rFonts w:hint="eastAsia" w:cs="宋体"/>
                <w:kern w:val="0"/>
                <w:sz w:val="15"/>
                <w:szCs w:val="15"/>
              </w:rPr>
              <w:t>0.942</w:t>
            </w:r>
          </w:p>
        </w:tc>
        <w:tc>
          <w:tcPr>
            <w:tcW w:w="710" w:type="dxa"/>
            <w:noWrap w:val="0"/>
            <w:vAlign w:val="center"/>
          </w:tcPr>
          <w:p>
            <w:pPr>
              <w:widowControl/>
              <w:jc w:val="center"/>
              <w:rPr>
                <w:rFonts w:cs="宋体"/>
                <w:kern w:val="0"/>
                <w:sz w:val="15"/>
                <w:szCs w:val="15"/>
              </w:rPr>
            </w:pPr>
            <w:r>
              <w:rPr>
                <w:rFonts w:hint="eastAsia" w:cs="宋体"/>
                <w:kern w:val="0"/>
                <w:sz w:val="15"/>
                <w:szCs w:val="15"/>
              </w:rPr>
              <w:t>0.936</w:t>
            </w:r>
          </w:p>
        </w:tc>
        <w:tc>
          <w:tcPr>
            <w:tcW w:w="712" w:type="dxa"/>
            <w:noWrap w:val="0"/>
            <w:vAlign w:val="center"/>
          </w:tcPr>
          <w:p>
            <w:pPr>
              <w:widowControl/>
              <w:jc w:val="center"/>
              <w:rPr>
                <w:rFonts w:cs="宋体"/>
                <w:kern w:val="0"/>
                <w:sz w:val="15"/>
                <w:szCs w:val="15"/>
              </w:rPr>
            </w:pPr>
            <w:r>
              <w:rPr>
                <w:rFonts w:hint="eastAsia" w:cs="宋体"/>
                <w:kern w:val="0"/>
                <w:sz w:val="15"/>
                <w:szCs w:val="15"/>
              </w:rPr>
              <w:t>0.926</w:t>
            </w:r>
          </w:p>
        </w:tc>
        <w:tc>
          <w:tcPr>
            <w:tcW w:w="710" w:type="dxa"/>
            <w:noWrap w:val="0"/>
            <w:vAlign w:val="center"/>
          </w:tcPr>
          <w:p>
            <w:pPr>
              <w:widowControl/>
              <w:jc w:val="center"/>
              <w:rPr>
                <w:rFonts w:cs="宋体"/>
                <w:kern w:val="0"/>
                <w:sz w:val="15"/>
                <w:szCs w:val="15"/>
              </w:rPr>
            </w:pPr>
            <w:r>
              <w:rPr>
                <w:rFonts w:hint="eastAsia" w:cs="宋体"/>
                <w:kern w:val="0"/>
                <w:sz w:val="15"/>
                <w:szCs w:val="15"/>
              </w:rPr>
              <w:t>0.925</w:t>
            </w:r>
          </w:p>
        </w:tc>
        <w:tc>
          <w:tcPr>
            <w:tcW w:w="528" w:type="dxa"/>
            <w:noWrap w:val="0"/>
            <w:vAlign w:val="center"/>
          </w:tcPr>
          <w:p>
            <w:pPr>
              <w:widowControl/>
              <w:jc w:val="center"/>
              <w:rPr>
                <w:rFonts w:cs="宋体"/>
                <w:kern w:val="0"/>
                <w:sz w:val="15"/>
                <w:szCs w:val="15"/>
              </w:rPr>
            </w:pPr>
            <w:r>
              <w:rPr>
                <w:rFonts w:hint="eastAsia" w:cs="宋体"/>
                <w:kern w:val="0"/>
                <w:sz w:val="15"/>
                <w:szCs w:val="15"/>
              </w:rPr>
              <w:t>1.70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jc w:val="center"/>
        </w:trPr>
        <w:tc>
          <w:tcPr>
            <w:tcW w:w="484" w:type="dxa"/>
            <w:vMerge w:val="continue"/>
            <w:noWrap w:val="0"/>
            <w:vAlign w:val="center"/>
          </w:tcPr>
          <w:p>
            <w:pPr>
              <w:widowControl/>
              <w:jc w:val="center"/>
              <w:rPr>
                <w:rFonts w:cs="宋体"/>
                <w:kern w:val="0"/>
                <w:sz w:val="15"/>
                <w:szCs w:val="15"/>
              </w:rPr>
            </w:pPr>
          </w:p>
        </w:tc>
        <w:tc>
          <w:tcPr>
            <w:tcW w:w="482" w:type="dxa"/>
            <w:vMerge w:val="continue"/>
            <w:noWrap w:val="0"/>
            <w:vAlign w:val="center"/>
          </w:tcPr>
          <w:p>
            <w:pPr>
              <w:widowControl/>
              <w:jc w:val="center"/>
              <w:rPr>
                <w:rFonts w:cs="宋体"/>
                <w:kern w:val="0"/>
                <w:sz w:val="15"/>
                <w:szCs w:val="15"/>
              </w:rPr>
            </w:pPr>
          </w:p>
        </w:tc>
        <w:tc>
          <w:tcPr>
            <w:tcW w:w="1144" w:type="dxa"/>
            <w:noWrap w:val="0"/>
            <w:vAlign w:val="center"/>
          </w:tcPr>
          <w:p>
            <w:pPr>
              <w:widowControl/>
              <w:jc w:val="center"/>
              <w:rPr>
                <w:rFonts w:cs="宋体"/>
                <w:kern w:val="0"/>
                <w:sz w:val="15"/>
                <w:szCs w:val="15"/>
              </w:rPr>
            </w:pPr>
            <w:r>
              <w:rPr>
                <w:rFonts w:hint="eastAsia" w:hAnsi="宋体" w:cs="宋体"/>
                <w:kern w:val="0"/>
                <w:sz w:val="15"/>
                <w:szCs w:val="15"/>
              </w:rPr>
              <w:t>氧乐果</w:t>
            </w:r>
          </w:p>
        </w:tc>
        <w:tc>
          <w:tcPr>
            <w:tcW w:w="725" w:type="dxa"/>
            <w:noWrap w:val="0"/>
            <w:vAlign w:val="center"/>
          </w:tcPr>
          <w:p>
            <w:pPr>
              <w:widowControl/>
              <w:jc w:val="center"/>
              <w:rPr>
                <w:rFonts w:cs="宋体"/>
                <w:kern w:val="0"/>
                <w:sz w:val="15"/>
                <w:szCs w:val="15"/>
              </w:rPr>
            </w:pPr>
            <w:r>
              <w:rPr>
                <w:rFonts w:hint="eastAsia" w:cs="宋体"/>
                <w:kern w:val="0"/>
                <w:sz w:val="15"/>
                <w:szCs w:val="15"/>
              </w:rPr>
              <w:t>0.636</w:t>
            </w:r>
          </w:p>
        </w:tc>
        <w:tc>
          <w:tcPr>
            <w:tcW w:w="711" w:type="dxa"/>
            <w:noWrap w:val="0"/>
            <w:vAlign w:val="center"/>
          </w:tcPr>
          <w:p>
            <w:pPr>
              <w:widowControl/>
              <w:jc w:val="center"/>
              <w:rPr>
                <w:rFonts w:cs="宋体"/>
                <w:kern w:val="0"/>
                <w:sz w:val="15"/>
                <w:szCs w:val="15"/>
              </w:rPr>
            </w:pPr>
            <w:r>
              <w:rPr>
                <w:rFonts w:hint="eastAsia" w:cs="宋体"/>
                <w:kern w:val="0"/>
                <w:sz w:val="15"/>
                <w:szCs w:val="15"/>
              </w:rPr>
              <w:t>0.602</w:t>
            </w:r>
          </w:p>
        </w:tc>
        <w:tc>
          <w:tcPr>
            <w:tcW w:w="711" w:type="dxa"/>
            <w:noWrap w:val="0"/>
            <w:vAlign w:val="center"/>
          </w:tcPr>
          <w:p>
            <w:pPr>
              <w:widowControl/>
              <w:jc w:val="center"/>
              <w:rPr>
                <w:rFonts w:cs="宋体"/>
                <w:kern w:val="0"/>
                <w:sz w:val="15"/>
                <w:szCs w:val="15"/>
              </w:rPr>
            </w:pPr>
            <w:r>
              <w:rPr>
                <w:rFonts w:hint="eastAsia" w:cs="宋体"/>
                <w:kern w:val="0"/>
                <w:sz w:val="15"/>
                <w:szCs w:val="15"/>
              </w:rPr>
              <w:t>0.589</w:t>
            </w:r>
          </w:p>
        </w:tc>
        <w:tc>
          <w:tcPr>
            <w:tcW w:w="711" w:type="dxa"/>
            <w:noWrap w:val="0"/>
            <w:vAlign w:val="center"/>
          </w:tcPr>
          <w:p>
            <w:pPr>
              <w:widowControl/>
              <w:jc w:val="center"/>
              <w:rPr>
                <w:rFonts w:cs="宋体"/>
                <w:kern w:val="0"/>
                <w:sz w:val="15"/>
                <w:szCs w:val="15"/>
              </w:rPr>
            </w:pPr>
            <w:r>
              <w:rPr>
                <w:rFonts w:hint="eastAsia" w:cs="宋体"/>
                <w:kern w:val="0"/>
                <w:sz w:val="15"/>
                <w:szCs w:val="15"/>
              </w:rPr>
              <w:t>0.578</w:t>
            </w:r>
          </w:p>
        </w:tc>
        <w:tc>
          <w:tcPr>
            <w:tcW w:w="712" w:type="dxa"/>
            <w:noWrap w:val="0"/>
            <w:vAlign w:val="center"/>
          </w:tcPr>
          <w:p>
            <w:pPr>
              <w:widowControl/>
              <w:jc w:val="center"/>
              <w:rPr>
                <w:rFonts w:cs="宋体"/>
                <w:kern w:val="0"/>
                <w:sz w:val="15"/>
                <w:szCs w:val="15"/>
              </w:rPr>
            </w:pPr>
            <w:r>
              <w:rPr>
                <w:rFonts w:hint="eastAsia" w:cs="宋体"/>
                <w:kern w:val="0"/>
                <w:sz w:val="15"/>
                <w:szCs w:val="15"/>
              </w:rPr>
              <w:t>0.584</w:t>
            </w:r>
          </w:p>
        </w:tc>
        <w:tc>
          <w:tcPr>
            <w:tcW w:w="710" w:type="dxa"/>
            <w:noWrap w:val="0"/>
            <w:vAlign w:val="center"/>
          </w:tcPr>
          <w:p>
            <w:pPr>
              <w:widowControl/>
              <w:jc w:val="center"/>
              <w:rPr>
                <w:rFonts w:cs="宋体"/>
                <w:kern w:val="0"/>
                <w:sz w:val="15"/>
                <w:szCs w:val="15"/>
              </w:rPr>
            </w:pPr>
            <w:r>
              <w:rPr>
                <w:rFonts w:hint="eastAsia" w:cs="宋体"/>
                <w:kern w:val="0"/>
                <w:sz w:val="15"/>
                <w:szCs w:val="15"/>
              </w:rPr>
              <w:t>0.590</w:t>
            </w:r>
          </w:p>
        </w:tc>
        <w:tc>
          <w:tcPr>
            <w:tcW w:w="712" w:type="dxa"/>
            <w:noWrap w:val="0"/>
            <w:vAlign w:val="center"/>
          </w:tcPr>
          <w:p>
            <w:pPr>
              <w:widowControl/>
              <w:jc w:val="center"/>
              <w:rPr>
                <w:rFonts w:cs="宋体"/>
                <w:kern w:val="0"/>
                <w:sz w:val="15"/>
                <w:szCs w:val="15"/>
              </w:rPr>
            </w:pPr>
            <w:r>
              <w:rPr>
                <w:rFonts w:hint="eastAsia" w:cs="宋体"/>
                <w:kern w:val="0"/>
                <w:sz w:val="15"/>
                <w:szCs w:val="15"/>
              </w:rPr>
              <w:t>0.612</w:t>
            </w:r>
          </w:p>
        </w:tc>
        <w:tc>
          <w:tcPr>
            <w:tcW w:w="710" w:type="dxa"/>
            <w:noWrap w:val="0"/>
            <w:vAlign w:val="center"/>
          </w:tcPr>
          <w:p>
            <w:pPr>
              <w:widowControl/>
              <w:jc w:val="center"/>
              <w:rPr>
                <w:rFonts w:cs="宋体"/>
                <w:kern w:val="0"/>
                <w:sz w:val="15"/>
                <w:szCs w:val="15"/>
              </w:rPr>
            </w:pPr>
            <w:r>
              <w:rPr>
                <w:rFonts w:hint="eastAsia" w:cs="宋体"/>
                <w:kern w:val="0"/>
                <w:sz w:val="15"/>
                <w:szCs w:val="15"/>
              </w:rPr>
              <w:t>0.593</w:t>
            </w:r>
          </w:p>
        </w:tc>
        <w:tc>
          <w:tcPr>
            <w:tcW w:w="528" w:type="dxa"/>
            <w:noWrap w:val="0"/>
            <w:vAlign w:val="center"/>
          </w:tcPr>
          <w:p>
            <w:pPr>
              <w:widowControl/>
              <w:jc w:val="center"/>
              <w:rPr>
                <w:rFonts w:cs="宋体"/>
                <w:kern w:val="0"/>
                <w:sz w:val="15"/>
                <w:szCs w:val="15"/>
              </w:rPr>
            </w:pPr>
            <w:r>
              <w:rPr>
                <w:rFonts w:hint="eastAsia" w:cs="宋体"/>
                <w:kern w:val="0"/>
                <w:sz w:val="15"/>
                <w:szCs w:val="15"/>
              </w:rPr>
              <w:t>2.10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jc w:val="center"/>
        </w:trPr>
        <w:tc>
          <w:tcPr>
            <w:tcW w:w="484" w:type="dxa"/>
            <w:vMerge w:val="continue"/>
            <w:noWrap w:val="0"/>
            <w:vAlign w:val="center"/>
          </w:tcPr>
          <w:p>
            <w:pPr>
              <w:widowControl/>
              <w:jc w:val="center"/>
              <w:rPr>
                <w:rFonts w:cs="宋体"/>
                <w:kern w:val="0"/>
                <w:sz w:val="15"/>
                <w:szCs w:val="15"/>
              </w:rPr>
            </w:pPr>
          </w:p>
        </w:tc>
        <w:tc>
          <w:tcPr>
            <w:tcW w:w="482" w:type="dxa"/>
            <w:vMerge w:val="continue"/>
            <w:noWrap w:val="0"/>
            <w:vAlign w:val="center"/>
          </w:tcPr>
          <w:p>
            <w:pPr>
              <w:widowControl/>
              <w:jc w:val="center"/>
              <w:rPr>
                <w:rFonts w:cs="宋体"/>
                <w:kern w:val="0"/>
                <w:sz w:val="15"/>
                <w:szCs w:val="15"/>
              </w:rPr>
            </w:pPr>
          </w:p>
        </w:tc>
        <w:tc>
          <w:tcPr>
            <w:tcW w:w="1144" w:type="dxa"/>
            <w:noWrap w:val="0"/>
            <w:vAlign w:val="center"/>
          </w:tcPr>
          <w:p>
            <w:pPr>
              <w:widowControl/>
              <w:jc w:val="center"/>
              <w:rPr>
                <w:rFonts w:cs="宋体"/>
                <w:kern w:val="0"/>
                <w:sz w:val="15"/>
                <w:szCs w:val="15"/>
              </w:rPr>
            </w:pPr>
            <w:r>
              <w:rPr>
                <w:rFonts w:hint="eastAsia" w:hAnsi="宋体" w:cs="宋体"/>
                <w:kern w:val="0"/>
                <w:sz w:val="15"/>
                <w:szCs w:val="15"/>
              </w:rPr>
              <w:t>特丁硫磷</w:t>
            </w:r>
          </w:p>
        </w:tc>
        <w:tc>
          <w:tcPr>
            <w:tcW w:w="725" w:type="dxa"/>
            <w:noWrap w:val="0"/>
            <w:vAlign w:val="center"/>
          </w:tcPr>
          <w:p>
            <w:pPr>
              <w:widowControl/>
              <w:jc w:val="center"/>
              <w:rPr>
                <w:rFonts w:cs="宋体"/>
                <w:kern w:val="0"/>
                <w:sz w:val="15"/>
                <w:szCs w:val="15"/>
              </w:rPr>
            </w:pPr>
            <w:r>
              <w:rPr>
                <w:rFonts w:hint="eastAsia" w:cs="宋体"/>
                <w:kern w:val="0"/>
                <w:sz w:val="15"/>
                <w:szCs w:val="15"/>
              </w:rPr>
              <w:t>0.426</w:t>
            </w:r>
          </w:p>
        </w:tc>
        <w:tc>
          <w:tcPr>
            <w:tcW w:w="711" w:type="dxa"/>
            <w:noWrap w:val="0"/>
            <w:vAlign w:val="center"/>
          </w:tcPr>
          <w:p>
            <w:pPr>
              <w:widowControl/>
              <w:jc w:val="center"/>
              <w:rPr>
                <w:rFonts w:cs="宋体"/>
                <w:kern w:val="0"/>
                <w:sz w:val="15"/>
                <w:szCs w:val="15"/>
              </w:rPr>
            </w:pPr>
            <w:r>
              <w:rPr>
                <w:rFonts w:hint="eastAsia" w:cs="宋体"/>
                <w:kern w:val="0"/>
                <w:sz w:val="15"/>
                <w:szCs w:val="15"/>
              </w:rPr>
              <w:t>0.400</w:t>
            </w:r>
          </w:p>
        </w:tc>
        <w:tc>
          <w:tcPr>
            <w:tcW w:w="711" w:type="dxa"/>
            <w:noWrap w:val="0"/>
            <w:vAlign w:val="center"/>
          </w:tcPr>
          <w:p>
            <w:pPr>
              <w:widowControl/>
              <w:jc w:val="center"/>
              <w:rPr>
                <w:rFonts w:cs="宋体"/>
                <w:kern w:val="0"/>
                <w:sz w:val="15"/>
                <w:szCs w:val="15"/>
              </w:rPr>
            </w:pPr>
            <w:r>
              <w:rPr>
                <w:rFonts w:hint="eastAsia" w:cs="宋体"/>
                <w:kern w:val="0"/>
                <w:sz w:val="15"/>
                <w:szCs w:val="15"/>
              </w:rPr>
              <w:t>0.398</w:t>
            </w:r>
          </w:p>
        </w:tc>
        <w:tc>
          <w:tcPr>
            <w:tcW w:w="711" w:type="dxa"/>
            <w:noWrap w:val="0"/>
            <w:vAlign w:val="center"/>
          </w:tcPr>
          <w:p>
            <w:pPr>
              <w:widowControl/>
              <w:jc w:val="center"/>
              <w:rPr>
                <w:rFonts w:cs="宋体"/>
                <w:kern w:val="0"/>
                <w:sz w:val="15"/>
                <w:szCs w:val="15"/>
              </w:rPr>
            </w:pPr>
            <w:r>
              <w:rPr>
                <w:rFonts w:hint="eastAsia" w:cs="宋体"/>
                <w:kern w:val="0"/>
                <w:sz w:val="15"/>
                <w:szCs w:val="15"/>
              </w:rPr>
              <w:t>0.391</w:t>
            </w:r>
          </w:p>
        </w:tc>
        <w:tc>
          <w:tcPr>
            <w:tcW w:w="712" w:type="dxa"/>
            <w:noWrap w:val="0"/>
            <w:vAlign w:val="center"/>
          </w:tcPr>
          <w:p>
            <w:pPr>
              <w:widowControl/>
              <w:jc w:val="center"/>
              <w:rPr>
                <w:rFonts w:cs="宋体"/>
                <w:kern w:val="0"/>
                <w:sz w:val="15"/>
                <w:szCs w:val="15"/>
              </w:rPr>
            </w:pPr>
            <w:r>
              <w:rPr>
                <w:rFonts w:hint="eastAsia" w:cs="宋体"/>
                <w:kern w:val="0"/>
                <w:sz w:val="15"/>
                <w:szCs w:val="15"/>
              </w:rPr>
              <w:t>0.416</w:t>
            </w:r>
          </w:p>
        </w:tc>
        <w:tc>
          <w:tcPr>
            <w:tcW w:w="710" w:type="dxa"/>
            <w:noWrap w:val="0"/>
            <w:vAlign w:val="center"/>
          </w:tcPr>
          <w:p>
            <w:pPr>
              <w:widowControl/>
              <w:jc w:val="center"/>
              <w:rPr>
                <w:rFonts w:cs="宋体"/>
                <w:kern w:val="0"/>
                <w:sz w:val="15"/>
                <w:szCs w:val="15"/>
              </w:rPr>
            </w:pPr>
            <w:r>
              <w:rPr>
                <w:rFonts w:hint="eastAsia" w:cs="宋体"/>
                <w:kern w:val="0"/>
                <w:sz w:val="15"/>
                <w:szCs w:val="15"/>
              </w:rPr>
              <w:t>0.422</w:t>
            </w:r>
          </w:p>
        </w:tc>
        <w:tc>
          <w:tcPr>
            <w:tcW w:w="712" w:type="dxa"/>
            <w:noWrap w:val="0"/>
            <w:vAlign w:val="center"/>
          </w:tcPr>
          <w:p>
            <w:pPr>
              <w:widowControl/>
              <w:jc w:val="center"/>
              <w:rPr>
                <w:rFonts w:cs="宋体"/>
                <w:kern w:val="0"/>
                <w:sz w:val="15"/>
                <w:szCs w:val="15"/>
              </w:rPr>
            </w:pPr>
            <w:r>
              <w:rPr>
                <w:rFonts w:hint="eastAsia" w:cs="宋体"/>
                <w:kern w:val="0"/>
                <w:sz w:val="15"/>
                <w:szCs w:val="15"/>
              </w:rPr>
              <w:t>0.411</w:t>
            </w:r>
          </w:p>
        </w:tc>
        <w:tc>
          <w:tcPr>
            <w:tcW w:w="710" w:type="dxa"/>
            <w:noWrap w:val="0"/>
            <w:vAlign w:val="center"/>
          </w:tcPr>
          <w:p>
            <w:pPr>
              <w:widowControl/>
              <w:jc w:val="center"/>
              <w:rPr>
                <w:rFonts w:cs="宋体"/>
                <w:kern w:val="0"/>
                <w:sz w:val="15"/>
                <w:szCs w:val="15"/>
              </w:rPr>
            </w:pPr>
            <w:r>
              <w:rPr>
                <w:rFonts w:hint="eastAsia" w:cs="宋体"/>
                <w:kern w:val="0"/>
                <w:sz w:val="15"/>
                <w:szCs w:val="15"/>
              </w:rPr>
              <w:t>0.406</w:t>
            </w:r>
          </w:p>
        </w:tc>
        <w:tc>
          <w:tcPr>
            <w:tcW w:w="528" w:type="dxa"/>
            <w:noWrap w:val="0"/>
            <w:vAlign w:val="center"/>
          </w:tcPr>
          <w:p>
            <w:pPr>
              <w:widowControl/>
              <w:jc w:val="center"/>
              <w:rPr>
                <w:rFonts w:cs="宋体"/>
                <w:kern w:val="0"/>
                <w:sz w:val="15"/>
                <w:szCs w:val="15"/>
              </w:rPr>
            </w:pPr>
            <w:r>
              <w:rPr>
                <w:rFonts w:hint="eastAsia" w:cs="宋体"/>
                <w:kern w:val="0"/>
                <w:sz w:val="15"/>
                <w:szCs w:val="15"/>
              </w:rPr>
              <w:t>2.92</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jc w:val="center"/>
        </w:trPr>
        <w:tc>
          <w:tcPr>
            <w:tcW w:w="484" w:type="dxa"/>
            <w:vMerge w:val="continue"/>
            <w:noWrap w:val="0"/>
            <w:vAlign w:val="center"/>
          </w:tcPr>
          <w:p>
            <w:pPr>
              <w:widowControl/>
              <w:jc w:val="center"/>
              <w:rPr>
                <w:rFonts w:cs="宋体"/>
                <w:kern w:val="0"/>
                <w:sz w:val="15"/>
                <w:szCs w:val="15"/>
              </w:rPr>
            </w:pPr>
          </w:p>
        </w:tc>
        <w:tc>
          <w:tcPr>
            <w:tcW w:w="482" w:type="dxa"/>
            <w:vMerge w:val="continue"/>
            <w:noWrap w:val="0"/>
            <w:vAlign w:val="center"/>
          </w:tcPr>
          <w:p>
            <w:pPr>
              <w:widowControl/>
              <w:jc w:val="center"/>
              <w:rPr>
                <w:rFonts w:cs="宋体"/>
                <w:kern w:val="0"/>
                <w:sz w:val="15"/>
                <w:szCs w:val="15"/>
              </w:rPr>
            </w:pPr>
          </w:p>
        </w:tc>
        <w:tc>
          <w:tcPr>
            <w:tcW w:w="1144" w:type="dxa"/>
            <w:noWrap w:val="0"/>
            <w:vAlign w:val="center"/>
          </w:tcPr>
          <w:p>
            <w:pPr>
              <w:widowControl/>
              <w:jc w:val="center"/>
              <w:rPr>
                <w:rFonts w:cs="宋体"/>
                <w:kern w:val="0"/>
                <w:sz w:val="15"/>
                <w:szCs w:val="15"/>
              </w:rPr>
            </w:pPr>
            <w:r>
              <w:rPr>
                <w:rFonts w:hint="eastAsia" w:hAnsi="宋体" w:cs="宋体"/>
                <w:kern w:val="0"/>
                <w:sz w:val="15"/>
                <w:szCs w:val="15"/>
              </w:rPr>
              <w:t>久效磷</w:t>
            </w:r>
          </w:p>
        </w:tc>
        <w:tc>
          <w:tcPr>
            <w:tcW w:w="725" w:type="dxa"/>
            <w:noWrap w:val="0"/>
            <w:vAlign w:val="center"/>
          </w:tcPr>
          <w:p>
            <w:pPr>
              <w:widowControl/>
              <w:jc w:val="center"/>
              <w:rPr>
                <w:rFonts w:cs="宋体"/>
                <w:kern w:val="0"/>
                <w:sz w:val="15"/>
                <w:szCs w:val="15"/>
              </w:rPr>
            </w:pPr>
            <w:r>
              <w:rPr>
                <w:rFonts w:hint="eastAsia" w:cs="宋体"/>
                <w:kern w:val="0"/>
                <w:sz w:val="15"/>
                <w:szCs w:val="15"/>
              </w:rPr>
              <w:t>1.026</w:t>
            </w:r>
          </w:p>
        </w:tc>
        <w:tc>
          <w:tcPr>
            <w:tcW w:w="711" w:type="dxa"/>
            <w:noWrap w:val="0"/>
            <w:vAlign w:val="center"/>
          </w:tcPr>
          <w:p>
            <w:pPr>
              <w:widowControl/>
              <w:jc w:val="center"/>
              <w:rPr>
                <w:rFonts w:cs="宋体"/>
                <w:kern w:val="0"/>
                <w:sz w:val="15"/>
                <w:szCs w:val="15"/>
              </w:rPr>
            </w:pPr>
            <w:r>
              <w:rPr>
                <w:rFonts w:hint="eastAsia" w:cs="宋体"/>
                <w:kern w:val="0"/>
                <w:sz w:val="15"/>
                <w:szCs w:val="15"/>
              </w:rPr>
              <w:t>1.005</w:t>
            </w:r>
          </w:p>
        </w:tc>
        <w:tc>
          <w:tcPr>
            <w:tcW w:w="711" w:type="dxa"/>
            <w:noWrap w:val="0"/>
            <w:vAlign w:val="center"/>
          </w:tcPr>
          <w:p>
            <w:pPr>
              <w:widowControl/>
              <w:jc w:val="center"/>
              <w:rPr>
                <w:rFonts w:cs="宋体"/>
                <w:kern w:val="0"/>
                <w:sz w:val="15"/>
                <w:szCs w:val="15"/>
              </w:rPr>
            </w:pPr>
            <w:r>
              <w:rPr>
                <w:rFonts w:hint="eastAsia" w:cs="宋体"/>
                <w:kern w:val="0"/>
                <w:sz w:val="15"/>
                <w:szCs w:val="15"/>
              </w:rPr>
              <w:t>0.932</w:t>
            </w:r>
          </w:p>
        </w:tc>
        <w:tc>
          <w:tcPr>
            <w:tcW w:w="711" w:type="dxa"/>
            <w:noWrap w:val="0"/>
            <w:vAlign w:val="center"/>
          </w:tcPr>
          <w:p>
            <w:pPr>
              <w:widowControl/>
              <w:jc w:val="center"/>
              <w:rPr>
                <w:rFonts w:cs="宋体"/>
                <w:kern w:val="0"/>
                <w:sz w:val="15"/>
                <w:szCs w:val="15"/>
              </w:rPr>
            </w:pPr>
            <w:r>
              <w:rPr>
                <w:rFonts w:hint="eastAsia" w:cs="宋体"/>
                <w:kern w:val="0"/>
                <w:sz w:val="15"/>
                <w:szCs w:val="15"/>
              </w:rPr>
              <w:t>0.988</w:t>
            </w:r>
          </w:p>
        </w:tc>
        <w:tc>
          <w:tcPr>
            <w:tcW w:w="712" w:type="dxa"/>
            <w:noWrap w:val="0"/>
            <w:vAlign w:val="center"/>
          </w:tcPr>
          <w:p>
            <w:pPr>
              <w:widowControl/>
              <w:jc w:val="center"/>
              <w:rPr>
                <w:rFonts w:cs="宋体"/>
                <w:kern w:val="0"/>
                <w:sz w:val="15"/>
                <w:szCs w:val="15"/>
              </w:rPr>
            </w:pPr>
            <w:r>
              <w:rPr>
                <w:rFonts w:hint="eastAsia" w:cs="宋体"/>
                <w:kern w:val="0"/>
                <w:sz w:val="15"/>
                <w:szCs w:val="15"/>
              </w:rPr>
              <w:t>0.965</w:t>
            </w:r>
          </w:p>
        </w:tc>
        <w:tc>
          <w:tcPr>
            <w:tcW w:w="710" w:type="dxa"/>
            <w:noWrap w:val="0"/>
            <w:vAlign w:val="center"/>
          </w:tcPr>
          <w:p>
            <w:pPr>
              <w:widowControl/>
              <w:jc w:val="center"/>
              <w:rPr>
                <w:rFonts w:cs="宋体"/>
                <w:kern w:val="0"/>
                <w:sz w:val="15"/>
                <w:szCs w:val="15"/>
              </w:rPr>
            </w:pPr>
            <w:r>
              <w:rPr>
                <w:rFonts w:hint="eastAsia" w:cs="宋体"/>
                <w:kern w:val="0"/>
                <w:sz w:val="15"/>
                <w:szCs w:val="15"/>
              </w:rPr>
              <w:t>0.998</w:t>
            </w:r>
          </w:p>
        </w:tc>
        <w:tc>
          <w:tcPr>
            <w:tcW w:w="712" w:type="dxa"/>
            <w:noWrap w:val="0"/>
            <w:vAlign w:val="center"/>
          </w:tcPr>
          <w:p>
            <w:pPr>
              <w:widowControl/>
              <w:jc w:val="center"/>
              <w:rPr>
                <w:rFonts w:cs="宋体"/>
                <w:kern w:val="0"/>
                <w:sz w:val="15"/>
                <w:szCs w:val="15"/>
              </w:rPr>
            </w:pPr>
            <w:r>
              <w:rPr>
                <w:rFonts w:hint="eastAsia" w:cs="宋体"/>
                <w:kern w:val="0"/>
                <w:sz w:val="15"/>
                <w:szCs w:val="15"/>
              </w:rPr>
              <w:t>0.978</w:t>
            </w:r>
          </w:p>
        </w:tc>
        <w:tc>
          <w:tcPr>
            <w:tcW w:w="710" w:type="dxa"/>
            <w:noWrap w:val="0"/>
            <w:vAlign w:val="center"/>
          </w:tcPr>
          <w:p>
            <w:pPr>
              <w:widowControl/>
              <w:jc w:val="center"/>
              <w:rPr>
                <w:rFonts w:cs="宋体"/>
                <w:kern w:val="0"/>
                <w:sz w:val="15"/>
                <w:szCs w:val="15"/>
              </w:rPr>
            </w:pPr>
            <w:r>
              <w:rPr>
                <w:rFonts w:hint="eastAsia" w:cs="宋体"/>
                <w:kern w:val="0"/>
                <w:sz w:val="15"/>
                <w:szCs w:val="15"/>
              </w:rPr>
              <w:t>0.978</w:t>
            </w:r>
          </w:p>
        </w:tc>
        <w:tc>
          <w:tcPr>
            <w:tcW w:w="528" w:type="dxa"/>
            <w:noWrap w:val="0"/>
            <w:vAlign w:val="center"/>
          </w:tcPr>
          <w:p>
            <w:pPr>
              <w:widowControl/>
              <w:jc w:val="center"/>
              <w:rPr>
                <w:rFonts w:cs="宋体"/>
                <w:kern w:val="0"/>
                <w:sz w:val="15"/>
                <w:szCs w:val="15"/>
              </w:rPr>
            </w:pPr>
            <w:r>
              <w:rPr>
                <w:rFonts w:hint="eastAsia" w:cs="宋体"/>
                <w:kern w:val="0"/>
                <w:sz w:val="15"/>
                <w:szCs w:val="15"/>
              </w:rPr>
              <w:t>2.71</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jc w:val="center"/>
        </w:trPr>
        <w:tc>
          <w:tcPr>
            <w:tcW w:w="484" w:type="dxa"/>
            <w:vMerge w:val="continue"/>
            <w:noWrap w:val="0"/>
            <w:vAlign w:val="center"/>
          </w:tcPr>
          <w:p>
            <w:pPr>
              <w:widowControl/>
              <w:jc w:val="center"/>
              <w:rPr>
                <w:rFonts w:cs="宋体"/>
                <w:kern w:val="0"/>
                <w:sz w:val="15"/>
                <w:szCs w:val="15"/>
              </w:rPr>
            </w:pPr>
          </w:p>
        </w:tc>
        <w:tc>
          <w:tcPr>
            <w:tcW w:w="482" w:type="dxa"/>
            <w:vMerge w:val="continue"/>
            <w:noWrap w:val="0"/>
            <w:vAlign w:val="center"/>
          </w:tcPr>
          <w:p>
            <w:pPr>
              <w:widowControl/>
              <w:jc w:val="center"/>
              <w:rPr>
                <w:rFonts w:cs="宋体"/>
                <w:kern w:val="0"/>
                <w:sz w:val="15"/>
                <w:szCs w:val="15"/>
              </w:rPr>
            </w:pPr>
          </w:p>
        </w:tc>
        <w:tc>
          <w:tcPr>
            <w:tcW w:w="1144" w:type="dxa"/>
            <w:noWrap w:val="0"/>
            <w:vAlign w:val="center"/>
          </w:tcPr>
          <w:p>
            <w:pPr>
              <w:widowControl/>
              <w:jc w:val="center"/>
              <w:rPr>
                <w:rFonts w:cs="宋体"/>
                <w:kern w:val="0"/>
                <w:sz w:val="15"/>
                <w:szCs w:val="15"/>
              </w:rPr>
            </w:pPr>
            <w:r>
              <w:rPr>
                <w:rFonts w:hint="eastAsia" w:hAnsi="宋体" w:cs="宋体"/>
                <w:kern w:val="0"/>
                <w:sz w:val="15"/>
                <w:szCs w:val="15"/>
              </w:rPr>
              <w:t>甲基对硫磷</w:t>
            </w:r>
          </w:p>
        </w:tc>
        <w:tc>
          <w:tcPr>
            <w:tcW w:w="725" w:type="dxa"/>
            <w:noWrap w:val="0"/>
            <w:vAlign w:val="center"/>
          </w:tcPr>
          <w:p>
            <w:pPr>
              <w:widowControl/>
              <w:jc w:val="center"/>
              <w:rPr>
                <w:rFonts w:cs="宋体"/>
                <w:kern w:val="0"/>
                <w:sz w:val="15"/>
                <w:szCs w:val="15"/>
              </w:rPr>
            </w:pPr>
            <w:r>
              <w:rPr>
                <w:rFonts w:hint="eastAsia" w:cs="宋体"/>
                <w:kern w:val="0"/>
                <w:sz w:val="15"/>
                <w:szCs w:val="15"/>
              </w:rPr>
              <w:t>0.615</w:t>
            </w:r>
          </w:p>
        </w:tc>
        <w:tc>
          <w:tcPr>
            <w:tcW w:w="711" w:type="dxa"/>
            <w:noWrap w:val="0"/>
            <w:vAlign w:val="center"/>
          </w:tcPr>
          <w:p>
            <w:pPr>
              <w:widowControl/>
              <w:jc w:val="center"/>
              <w:rPr>
                <w:rFonts w:cs="宋体"/>
                <w:kern w:val="0"/>
                <w:sz w:val="15"/>
                <w:szCs w:val="15"/>
              </w:rPr>
            </w:pPr>
            <w:r>
              <w:rPr>
                <w:rFonts w:hint="eastAsia" w:cs="宋体"/>
                <w:kern w:val="0"/>
                <w:sz w:val="15"/>
                <w:szCs w:val="15"/>
              </w:rPr>
              <w:t>0.582</w:t>
            </w:r>
          </w:p>
        </w:tc>
        <w:tc>
          <w:tcPr>
            <w:tcW w:w="711" w:type="dxa"/>
            <w:noWrap w:val="0"/>
            <w:vAlign w:val="center"/>
          </w:tcPr>
          <w:p>
            <w:pPr>
              <w:widowControl/>
              <w:jc w:val="center"/>
              <w:rPr>
                <w:rFonts w:cs="宋体"/>
                <w:kern w:val="0"/>
                <w:sz w:val="15"/>
                <w:szCs w:val="15"/>
              </w:rPr>
            </w:pPr>
            <w:r>
              <w:rPr>
                <w:rFonts w:hint="eastAsia" w:cs="宋体"/>
                <w:kern w:val="0"/>
                <w:sz w:val="15"/>
                <w:szCs w:val="15"/>
              </w:rPr>
              <w:t>0.592</w:t>
            </w:r>
          </w:p>
        </w:tc>
        <w:tc>
          <w:tcPr>
            <w:tcW w:w="711" w:type="dxa"/>
            <w:noWrap w:val="0"/>
            <w:vAlign w:val="center"/>
          </w:tcPr>
          <w:p>
            <w:pPr>
              <w:widowControl/>
              <w:jc w:val="center"/>
              <w:rPr>
                <w:rFonts w:cs="宋体"/>
                <w:kern w:val="0"/>
                <w:sz w:val="15"/>
                <w:szCs w:val="15"/>
              </w:rPr>
            </w:pPr>
            <w:r>
              <w:rPr>
                <w:rFonts w:hint="eastAsia" w:cs="宋体"/>
                <w:kern w:val="0"/>
                <w:sz w:val="15"/>
                <w:szCs w:val="15"/>
              </w:rPr>
              <w:t>0.602</w:t>
            </w:r>
          </w:p>
        </w:tc>
        <w:tc>
          <w:tcPr>
            <w:tcW w:w="712" w:type="dxa"/>
            <w:noWrap w:val="0"/>
            <w:vAlign w:val="center"/>
          </w:tcPr>
          <w:p>
            <w:pPr>
              <w:widowControl/>
              <w:jc w:val="center"/>
              <w:rPr>
                <w:rFonts w:cs="宋体"/>
                <w:kern w:val="0"/>
                <w:sz w:val="15"/>
                <w:szCs w:val="15"/>
              </w:rPr>
            </w:pPr>
            <w:r>
              <w:rPr>
                <w:rFonts w:hint="eastAsia" w:cs="宋体"/>
                <w:kern w:val="0"/>
                <w:sz w:val="15"/>
                <w:szCs w:val="15"/>
              </w:rPr>
              <w:t>0.589</w:t>
            </w:r>
          </w:p>
        </w:tc>
        <w:tc>
          <w:tcPr>
            <w:tcW w:w="710" w:type="dxa"/>
            <w:noWrap w:val="0"/>
            <w:vAlign w:val="center"/>
          </w:tcPr>
          <w:p>
            <w:pPr>
              <w:widowControl/>
              <w:jc w:val="center"/>
              <w:rPr>
                <w:rFonts w:cs="宋体"/>
                <w:kern w:val="0"/>
                <w:sz w:val="15"/>
                <w:szCs w:val="15"/>
              </w:rPr>
            </w:pPr>
            <w:r>
              <w:rPr>
                <w:rFonts w:hint="eastAsia" w:cs="宋体"/>
                <w:kern w:val="0"/>
                <w:sz w:val="15"/>
                <w:szCs w:val="15"/>
              </w:rPr>
              <w:t>0.590</w:t>
            </w:r>
          </w:p>
        </w:tc>
        <w:tc>
          <w:tcPr>
            <w:tcW w:w="712" w:type="dxa"/>
            <w:noWrap w:val="0"/>
            <w:vAlign w:val="center"/>
          </w:tcPr>
          <w:p>
            <w:pPr>
              <w:widowControl/>
              <w:jc w:val="center"/>
              <w:rPr>
                <w:rFonts w:cs="宋体"/>
                <w:kern w:val="0"/>
                <w:sz w:val="15"/>
                <w:szCs w:val="15"/>
              </w:rPr>
            </w:pPr>
            <w:r>
              <w:rPr>
                <w:rFonts w:hint="eastAsia" w:cs="宋体"/>
                <w:kern w:val="0"/>
                <w:sz w:val="15"/>
                <w:szCs w:val="15"/>
              </w:rPr>
              <w:t>0.600</w:t>
            </w:r>
          </w:p>
        </w:tc>
        <w:tc>
          <w:tcPr>
            <w:tcW w:w="710" w:type="dxa"/>
            <w:noWrap w:val="0"/>
            <w:vAlign w:val="center"/>
          </w:tcPr>
          <w:p>
            <w:pPr>
              <w:widowControl/>
              <w:jc w:val="center"/>
              <w:rPr>
                <w:rFonts w:cs="宋体"/>
                <w:kern w:val="0"/>
                <w:sz w:val="15"/>
                <w:szCs w:val="15"/>
              </w:rPr>
            </w:pPr>
            <w:r>
              <w:rPr>
                <w:rFonts w:hint="eastAsia" w:cs="宋体"/>
                <w:kern w:val="0"/>
                <w:sz w:val="15"/>
                <w:szCs w:val="15"/>
              </w:rPr>
              <w:t>0.593</w:t>
            </w:r>
          </w:p>
        </w:tc>
        <w:tc>
          <w:tcPr>
            <w:tcW w:w="528" w:type="dxa"/>
            <w:noWrap w:val="0"/>
            <w:vAlign w:val="center"/>
          </w:tcPr>
          <w:p>
            <w:pPr>
              <w:widowControl/>
              <w:jc w:val="center"/>
              <w:rPr>
                <w:rFonts w:cs="宋体"/>
                <w:kern w:val="0"/>
                <w:sz w:val="15"/>
                <w:szCs w:val="15"/>
              </w:rPr>
            </w:pPr>
            <w:r>
              <w:rPr>
                <w:rFonts w:hint="eastAsia" w:cs="宋体"/>
                <w:kern w:val="0"/>
                <w:sz w:val="15"/>
                <w:szCs w:val="15"/>
              </w:rPr>
              <w:t>1.25</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jc w:val="center"/>
        </w:trPr>
        <w:tc>
          <w:tcPr>
            <w:tcW w:w="484" w:type="dxa"/>
            <w:vMerge w:val="continue"/>
            <w:noWrap w:val="0"/>
            <w:vAlign w:val="center"/>
          </w:tcPr>
          <w:p>
            <w:pPr>
              <w:widowControl/>
              <w:jc w:val="center"/>
              <w:rPr>
                <w:rFonts w:cs="宋体"/>
                <w:kern w:val="0"/>
                <w:sz w:val="15"/>
                <w:szCs w:val="15"/>
              </w:rPr>
            </w:pPr>
          </w:p>
        </w:tc>
        <w:tc>
          <w:tcPr>
            <w:tcW w:w="482" w:type="dxa"/>
            <w:vMerge w:val="continue"/>
            <w:noWrap w:val="0"/>
            <w:vAlign w:val="center"/>
          </w:tcPr>
          <w:p>
            <w:pPr>
              <w:widowControl/>
              <w:jc w:val="center"/>
              <w:rPr>
                <w:rFonts w:cs="宋体"/>
                <w:kern w:val="0"/>
                <w:sz w:val="15"/>
                <w:szCs w:val="15"/>
              </w:rPr>
            </w:pPr>
          </w:p>
        </w:tc>
        <w:tc>
          <w:tcPr>
            <w:tcW w:w="1144" w:type="dxa"/>
            <w:noWrap w:val="0"/>
            <w:vAlign w:val="center"/>
          </w:tcPr>
          <w:p>
            <w:pPr>
              <w:widowControl/>
              <w:jc w:val="center"/>
              <w:rPr>
                <w:rFonts w:cs="宋体"/>
                <w:kern w:val="0"/>
                <w:sz w:val="15"/>
                <w:szCs w:val="15"/>
              </w:rPr>
            </w:pPr>
            <w:r>
              <w:rPr>
                <w:rFonts w:hint="eastAsia" w:hAnsi="宋体" w:cs="宋体"/>
                <w:kern w:val="0"/>
                <w:sz w:val="15"/>
                <w:szCs w:val="15"/>
              </w:rPr>
              <w:t>对硫磷</w:t>
            </w:r>
          </w:p>
        </w:tc>
        <w:tc>
          <w:tcPr>
            <w:tcW w:w="725" w:type="dxa"/>
            <w:noWrap w:val="0"/>
            <w:vAlign w:val="center"/>
          </w:tcPr>
          <w:p>
            <w:pPr>
              <w:widowControl/>
              <w:jc w:val="center"/>
              <w:rPr>
                <w:rFonts w:cs="宋体"/>
                <w:kern w:val="0"/>
                <w:sz w:val="15"/>
                <w:szCs w:val="15"/>
              </w:rPr>
            </w:pPr>
            <w:r>
              <w:rPr>
                <w:rFonts w:hint="eastAsia" w:cs="宋体"/>
                <w:kern w:val="0"/>
                <w:sz w:val="15"/>
                <w:szCs w:val="15"/>
              </w:rPr>
              <w:t>0.701</w:t>
            </w:r>
          </w:p>
        </w:tc>
        <w:tc>
          <w:tcPr>
            <w:tcW w:w="711" w:type="dxa"/>
            <w:noWrap w:val="0"/>
            <w:vAlign w:val="center"/>
          </w:tcPr>
          <w:p>
            <w:pPr>
              <w:widowControl/>
              <w:jc w:val="center"/>
              <w:rPr>
                <w:rFonts w:cs="宋体"/>
                <w:kern w:val="0"/>
                <w:sz w:val="15"/>
                <w:szCs w:val="15"/>
              </w:rPr>
            </w:pPr>
            <w:r>
              <w:rPr>
                <w:rFonts w:hint="eastAsia" w:cs="宋体"/>
                <w:kern w:val="0"/>
                <w:sz w:val="15"/>
                <w:szCs w:val="15"/>
              </w:rPr>
              <w:t>0.665</w:t>
            </w:r>
          </w:p>
        </w:tc>
        <w:tc>
          <w:tcPr>
            <w:tcW w:w="711" w:type="dxa"/>
            <w:noWrap w:val="0"/>
            <w:vAlign w:val="center"/>
          </w:tcPr>
          <w:p>
            <w:pPr>
              <w:widowControl/>
              <w:jc w:val="center"/>
              <w:rPr>
                <w:rFonts w:cs="宋体"/>
                <w:kern w:val="0"/>
                <w:sz w:val="15"/>
                <w:szCs w:val="15"/>
              </w:rPr>
            </w:pPr>
            <w:r>
              <w:rPr>
                <w:rFonts w:hint="eastAsia" w:cs="宋体"/>
                <w:kern w:val="0"/>
                <w:sz w:val="15"/>
                <w:szCs w:val="15"/>
              </w:rPr>
              <w:t>0.645</w:t>
            </w:r>
          </w:p>
        </w:tc>
        <w:tc>
          <w:tcPr>
            <w:tcW w:w="711" w:type="dxa"/>
            <w:noWrap w:val="0"/>
            <w:vAlign w:val="center"/>
          </w:tcPr>
          <w:p>
            <w:pPr>
              <w:widowControl/>
              <w:jc w:val="center"/>
              <w:rPr>
                <w:rFonts w:cs="宋体"/>
                <w:kern w:val="0"/>
                <w:sz w:val="15"/>
                <w:szCs w:val="15"/>
              </w:rPr>
            </w:pPr>
            <w:r>
              <w:rPr>
                <w:rFonts w:hint="eastAsia" w:cs="宋体"/>
                <w:kern w:val="0"/>
                <w:sz w:val="15"/>
                <w:szCs w:val="15"/>
              </w:rPr>
              <w:t>0.687</w:t>
            </w:r>
          </w:p>
        </w:tc>
        <w:tc>
          <w:tcPr>
            <w:tcW w:w="712" w:type="dxa"/>
            <w:noWrap w:val="0"/>
            <w:vAlign w:val="center"/>
          </w:tcPr>
          <w:p>
            <w:pPr>
              <w:widowControl/>
              <w:jc w:val="center"/>
              <w:rPr>
                <w:rFonts w:cs="宋体"/>
                <w:kern w:val="0"/>
                <w:sz w:val="15"/>
                <w:szCs w:val="15"/>
              </w:rPr>
            </w:pPr>
            <w:r>
              <w:rPr>
                <w:rFonts w:hint="eastAsia" w:cs="宋体"/>
                <w:kern w:val="0"/>
                <w:sz w:val="15"/>
                <w:szCs w:val="15"/>
              </w:rPr>
              <w:t>0.712</w:t>
            </w:r>
          </w:p>
        </w:tc>
        <w:tc>
          <w:tcPr>
            <w:tcW w:w="710" w:type="dxa"/>
            <w:noWrap w:val="0"/>
            <w:vAlign w:val="center"/>
          </w:tcPr>
          <w:p>
            <w:pPr>
              <w:widowControl/>
              <w:jc w:val="center"/>
              <w:rPr>
                <w:rFonts w:cs="宋体"/>
                <w:kern w:val="0"/>
                <w:sz w:val="15"/>
                <w:szCs w:val="15"/>
              </w:rPr>
            </w:pPr>
            <w:r>
              <w:rPr>
                <w:rFonts w:hint="eastAsia" w:cs="宋体"/>
                <w:kern w:val="0"/>
                <w:sz w:val="15"/>
                <w:szCs w:val="15"/>
              </w:rPr>
              <w:t>0.692</w:t>
            </w:r>
          </w:p>
        </w:tc>
        <w:tc>
          <w:tcPr>
            <w:tcW w:w="712" w:type="dxa"/>
            <w:noWrap w:val="0"/>
            <w:vAlign w:val="center"/>
          </w:tcPr>
          <w:p>
            <w:pPr>
              <w:widowControl/>
              <w:jc w:val="center"/>
              <w:rPr>
                <w:rFonts w:cs="宋体"/>
                <w:kern w:val="0"/>
                <w:sz w:val="15"/>
                <w:szCs w:val="15"/>
              </w:rPr>
            </w:pPr>
            <w:r>
              <w:rPr>
                <w:rFonts w:hint="eastAsia" w:cs="宋体"/>
                <w:kern w:val="0"/>
                <w:sz w:val="15"/>
                <w:szCs w:val="15"/>
              </w:rPr>
              <w:t>0.672</w:t>
            </w:r>
          </w:p>
        </w:tc>
        <w:tc>
          <w:tcPr>
            <w:tcW w:w="710" w:type="dxa"/>
            <w:noWrap w:val="0"/>
            <w:vAlign w:val="center"/>
          </w:tcPr>
          <w:p>
            <w:pPr>
              <w:widowControl/>
              <w:jc w:val="center"/>
              <w:rPr>
                <w:rFonts w:cs="宋体"/>
                <w:kern w:val="0"/>
                <w:sz w:val="15"/>
                <w:szCs w:val="15"/>
              </w:rPr>
            </w:pPr>
            <w:r>
              <w:rPr>
                <w:rFonts w:hint="eastAsia" w:cs="宋体"/>
                <w:kern w:val="0"/>
                <w:sz w:val="15"/>
                <w:szCs w:val="15"/>
              </w:rPr>
              <w:t>0.679</w:t>
            </w:r>
          </w:p>
        </w:tc>
        <w:tc>
          <w:tcPr>
            <w:tcW w:w="528" w:type="dxa"/>
            <w:noWrap w:val="0"/>
            <w:vAlign w:val="center"/>
          </w:tcPr>
          <w:p>
            <w:pPr>
              <w:widowControl/>
              <w:jc w:val="center"/>
              <w:rPr>
                <w:rFonts w:cs="宋体"/>
                <w:kern w:val="0"/>
                <w:sz w:val="15"/>
                <w:szCs w:val="15"/>
              </w:rPr>
            </w:pPr>
            <w:r>
              <w:rPr>
                <w:rFonts w:hint="eastAsia" w:cs="宋体"/>
                <w:kern w:val="0"/>
                <w:sz w:val="15"/>
                <w:szCs w:val="15"/>
              </w:rPr>
              <w:t>3.44</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6" w:hRule="atLeast"/>
          <w:jc w:val="center"/>
        </w:trPr>
        <w:tc>
          <w:tcPr>
            <w:tcW w:w="484" w:type="dxa"/>
            <w:vMerge w:val="continue"/>
            <w:noWrap w:val="0"/>
            <w:vAlign w:val="center"/>
          </w:tcPr>
          <w:p>
            <w:pPr>
              <w:widowControl/>
              <w:jc w:val="center"/>
              <w:rPr>
                <w:rFonts w:cs="宋体"/>
                <w:kern w:val="0"/>
                <w:sz w:val="15"/>
                <w:szCs w:val="15"/>
              </w:rPr>
            </w:pPr>
          </w:p>
        </w:tc>
        <w:tc>
          <w:tcPr>
            <w:tcW w:w="482" w:type="dxa"/>
            <w:vMerge w:val="continue"/>
            <w:noWrap w:val="0"/>
            <w:vAlign w:val="center"/>
          </w:tcPr>
          <w:p>
            <w:pPr>
              <w:widowControl/>
              <w:jc w:val="center"/>
              <w:rPr>
                <w:rFonts w:cs="宋体"/>
                <w:kern w:val="0"/>
                <w:sz w:val="15"/>
                <w:szCs w:val="15"/>
              </w:rPr>
            </w:pPr>
          </w:p>
        </w:tc>
        <w:tc>
          <w:tcPr>
            <w:tcW w:w="1144" w:type="dxa"/>
            <w:noWrap w:val="0"/>
            <w:vAlign w:val="center"/>
          </w:tcPr>
          <w:p>
            <w:pPr>
              <w:widowControl/>
              <w:jc w:val="center"/>
              <w:rPr>
                <w:rFonts w:cs="宋体"/>
                <w:kern w:val="0"/>
                <w:sz w:val="15"/>
                <w:szCs w:val="15"/>
              </w:rPr>
            </w:pPr>
            <w:r>
              <w:rPr>
                <w:rFonts w:hint="eastAsia" w:hAnsi="宋体" w:cs="宋体"/>
                <w:kern w:val="0"/>
                <w:sz w:val="15"/>
                <w:szCs w:val="15"/>
              </w:rPr>
              <w:t>甲基异柳磷</w:t>
            </w:r>
          </w:p>
        </w:tc>
        <w:tc>
          <w:tcPr>
            <w:tcW w:w="725" w:type="dxa"/>
            <w:noWrap w:val="0"/>
            <w:vAlign w:val="center"/>
          </w:tcPr>
          <w:p>
            <w:pPr>
              <w:widowControl/>
              <w:jc w:val="center"/>
              <w:rPr>
                <w:rFonts w:cs="宋体"/>
                <w:kern w:val="0"/>
                <w:sz w:val="15"/>
                <w:szCs w:val="15"/>
              </w:rPr>
            </w:pPr>
            <w:r>
              <w:rPr>
                <w:rFonts w:hint="eastAsia" w:cs="宋体"/>
                <w:kern w:val="0"/>
                <w:sz w:val="15"/>
                <w:szCs w:val="15"/>
              </w:rPr>
              <w:t>0.172</w:t>
            </w:r>
          </w:p>
        </w:tc>
        <w:tc>
          <w:tcPr>
            <w:tcW w:w="711" w:type="dxa"/>
            <w:noWrap w:val="0"/>
            <w:vAlign w:val="center"/>
          </w:tcPr>
          <w:p>
            <w:pPr>
              <w:widowControl/>
              <w:jc w:val="center"/>
              <w:rPr>
                <w:rFonts w:cs="宋体"/>
                <w:kern w:val="0"/>
                <w:sz w:val="15"/>
                <w:szCs w:val="15"/>
              </w:rPr>
            </w:pPr>
            <w:r>
              <w:rPr>
                <w:rFonts w:hint="eastAsia" w:cs="宋体"/>
                <w:kern w:val="0"/>
                <w:sz w:val="15"/>
                <w:szCs w:val="15"/>
              </w:rPr>
              <w:t>0.168</w:t>
            </w:r>
          </w:p>
        </w:tc>
        <w:tc>
          <w:tcPr>
            <w:tcW w:w="711" w:type="dxa"/>
            <w:noWrap w:val="0"/>
            <w:vAlign w:val="center"/>
          </w:tcPr>
          <w:p>
            <w:pPr>
              <w:widowControl/>
              <w:jc w:val="center"/>
              <w:rPr>
                <w:rFonts w:cs="宋体"/>
                <w:kern w:val="0"/>
                <w:sz w:val="15"/>
                <w:szCs w:val="15"/>
              </w:rPr>
            </w:pPr>
            <w:r>
              <w:rPr>
                <w:rFonts w:hint="eastAsia" w:cs="宋体"/>
                <w:kern w:val="0"/>
                <w:sz w:val="15"/>
                <w:szCs w:val="15"/>
              </w:rPr>
              <w:t>0.173</w:t>
            </w:r>
          </w:p>
        </w:tc>
        <w:tc>
          <w:tcPr>
            <w:tcW w:w="711" w:type="dxa"/>
            <w:noWrap w:val="0"/>
            <w:vAlign w:val="center"/>
          </w:tcPr>
          <w:p>
            <w:pPr>
              <w:widowControl/>
              <w:jc w:val="center"/>
              <w:rPr>
                <w:rFonts w:cs="宋体"/>
                <w:kern w:val="0"/>
                <w:sz w:val="15"/>
                <w:szCs w:val="15"/>
              </w:rPr>
            </w:pPr>
            <w:r>
              <w:rPr>
                <w:rFonts w:hint="eastAsia" w:cs="宋体"/>
                <w:kern w:val="0"/>
                <w:sz w:val="15"/>
                <w:szCs w:val="15"/>
              </w:rPr>
              <w:t>0.162</w:t>
            </w:r>
          </w:p>
        </w:tc>
        <w:tc>
          <w:tcPr>
            <w:tcW w:w="712" w:type="dxa"/>
            <w:noWrap w:val="0"/>
            <w:vAlign w:val="center"/>
          </w:tcPr>
          <w:p>
            <w:pPr>
              <w:widowControl/>
              <w:jc w:val="center"/>
              <w:rPr>
                <w:rFonts w:cs="宋体"/>
                <w:kern w:val="0"/>
                <w:sz w:val="15"/>
                <w:szCs w:val="15"/>
              </w:rPr>
            </w:pPr>
            <w:r>
              <w:rPr>
                <w:rFonts w:hint="eastAsia" w:cs="宋体"/>
                <w:kern w:val="0"/>
                <w:sz w:val="15"/>
                <w:szCs w:val="15"/>
              </w:rPr>
              <w:t>0.163</w:t>
            </w:r>
          </w:p>
        </w:tc>
        <w:tc>
          <w:tcPr>
            <w:tcW w:w="710" w:type="dxa"/>
            <w:noWrap w:val="0"/>
            <w:vAlign w:val="center"/>
          </w:tcPr>
          <w:p>
            <w:pPr>
              <w:widowControl/>
              <w:jc w:val="center"/>
              <w:rPr>
                <w:rFonts w:cs="宋体"/>
                <w:kern w:val="0"/>
                <w:sz w:val="15"/>
                <w:szCs w:val="15"/>
              </w:rPr>
            </w:pPr>
            <w:r>
              <w:rPr>
                <w:rFonts w:hint="eastAsia" w:cs="宋体"/>
                <w:kern w:val="0"/>
                <w:sz w:val="15"/>
                <w:szCs w:val="15"/>
              </w:rPr>
              <w:t>0.167</w:t>
            </w:r>
          </w:p>
        </w:tc>
        <w:tc>
          <w:tcPr>
            <w:tcW w:w="712" w:type="dxa"/>
            <w:noWrap w:val="0"/>
            <w:vAlign w:val="center"/>
          </w:tcPr>
          <w:p>
            <w:pPr>
              <w:widowControl/>
              <w:jc w:val="center"/>
              <w:rPr>
                <w:rFonts w:cs="宋体"/>
                <w:kern w:val="0"/>
                <w:sz w:val="15"/>
                <w:szCs w:val="15"/>
              </w:rPr>
            </w:pPr>
            <w:r>
              <w:rPr>
                <w:rFonts w:hint="eastAsia" w:cs="宋体"/>
                <w:kern w:val="0"/>
                <w:sz w:val="15"/>
                <w:szCs w:val="15"/>
              </w:rPr>
              <w:t>0.171</w:t>
            </w:r>
          </w:p>
        </w:tc>
        <w:tc>
          <w:tcPr>
            <w:tcW w:w="710" w:type="dxa"/>
            <w:noWrap w:val="0"/>
            <w:vAlign w:val="center"/>
          </w:tcPr>
          <w:p>
            <w:pPr>
              <w:widowControl/>
              <w:jc w:val="center"/>
              <w:rPr>
                <w:rFonts w:cs="宋体"/>
                <w:kern w:val="0"/>
                <w:sz w:val="15"/>
                <w:szCs w:val="15"/>
              </w:rPr>
            </w:pPr>
            <w:r>
              <w:rPr>
                <w:rFonts w:hint="eastAsia" w:cs="宋体"/>
                <w:kern w:val="0"/>
                <w:sz w:val="15"/>
                <w:szCs w:val="15"/>
              </w:rPr>
              <w:t>0.167</w:t>
            </w:r>
          </w:p>
        </w:tc>
        <w:tc>
          <w:tcPr>
            <w:tcW w:w="528" w:type="dxa"/>
            <w:noWrap w:val="0"/>
            <w:vAlign w:val="center"/>
          </w:tcPr>
          <w:p>
            <w:pPr>
              <w:widowControl/>
              <w:jc w:val="center"/>
              <w:rPr>
                <w:rFonts w:cs="宋体"/>
                <w:kern w:val="0"/>
                <w:sz w:val="15"/>
                <w:szCs w:val="15"/>
              </w:rPr>
            </w:pPr>
            <w:r>
              <w:rPr>
                <w:rFonts w:hint="eastAsia" w:cs="宋体"/>
                <w:kern w:val="0"/>
                <w:sz w:val="15"/>
                <w:szCs w:val="15"/>
              </w:rPr>
              <w:t>2.58</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6" w:hRule="atLeast"/>
          <w:jc w:val="center"/>
        </w:trPr>
        <w:tc>
          <w:tcPr>
            <w:tcW w:w="484" w:type="dxa"/>
            <w:vMerge w:val="continue"/>
            <w:noWrap w:val="0"/>
            <w:vAlign w:val="center"/>
          </w:tcPr>
          <w:p>
            <w:pPr>
              <w:widowControl/>
              <w:jc w:val="center"/>
              <w:rPr>
                <w:rFonts w:cs="宋体"/>
                <w:kern w:val="0"/>
                <w:sz w:val="15"/>
                <w:szCs w:val="15"/>
              </w:rPr>
            </w:pPr>
          </w:p>
        </w:tc>
        <w:tc>
          <w:tcPr>
            <w:tcW w:w="482" w:type="dxa"/>
            <w:vMerge w:val="continue"/>
            <w:noWrap w:val="0"/>
            <w:vAlign w:val="center"/>
          </w:tcPr>
          <w:p>
            <w:pPr>
              <w:widowControl/>
              <w:jc w:val="center"/>
              <w:rPr>
                <w:rFonts w:cs="宋体"/>
                <w:kern w:val="0"/>
                <w:sz w:val="15"/>
                <w:szCs w:val="15"/>
              </w:rPr>
            </w:pPr>
          </w:p>
        </w:tc>
        <w:tc>
          <w:tcPr>
            <w:tcW w:w="1144" w:type="dxa"/>
            <w:noWrap w:val="0"/>
            <w:vAlign w:val="center"/>
          </w:tcPr>
          <w:p>
            <w:pPr>
              <w:widowControl/>
              <w:jc w:val="center"/>
              <w:rPr>
                <w:rFonts w:cs="宋体"/>
                <w:kern w:val="0"/>
                <w:sz w:val="15"/>
                <w:szCs w:val="15"/>
              </w:rPr>
            </w:pPr>
            <w:r>
              <w:rPr>
                <w:rFonts w:hint="eastAsia" w:hAnsi="宋体" w:cs="宋体"/>
                <w:kern w:val="0"/>
                <w:sz w:val="15"/>
                <w:szCs w:val="15"/>
              </w:rPr>
              <w:t>水胺硫磷</w:t>
            </w:r>
          </w:p>
        </w:tc>
        <w:tc>
          <w:tcPr>
            <w:tcW w:w="725" w:type="dxa"/>
            <w:noWrap w:val="0"/>
            <w:vAlign w:val="center"/>
          </w:tcPr>
          <w:p>
            <w:pPr>
              <w:widowControl/>
              <w:jc w:val="center"/>
              <w:rPr>
                <w:rFonts w:cs="宋体"/>
                <w:kern w:val="0"/>
                <w:sz w:val="15"/>
                <w:szCs w:val="15"/>
              </w:rPr>
            </w:pPr>
            <w:r>
              <w:rPr>
                <w:rFonts w:hint="eastAsia" w:cs="宋体"/>
                <w:kern w:val="0"/>
                <w:sz w:val="15"/>
                <w:szCs w:val="15"/>
              </w:rPr>
              <w:t>0.566</w:t>
            </w:r>
          </w:p>
        </w:tc>
        <w:tc>
          <w:tcPr>
            <w:tcW w:w="711" w:type="dxa"/>
            <w:noWrap w:val="0"/>
            <w:vAlign w:val="center"/>
          </w:tcPr>
          <w:p>
            <w:pPr>
              <w:widowControl/>
              <w:jc w:val="center"/>
              <w:rPr>
                <w:rFonts w:cs="宋体"/>
                <w:kern w:val="0"/>
                <w:sz w:val="15"/>
                <w:szCs w:val="15"/>
              </w:rPr>
            </w:pPr>
            <w:r>
              <w:rPr>
                <w:rFonts w:hint="eastAsia" w:cs="宋体"/>
                <w:kern w:val="0"/>
                <w:sz w:val="15"/>
                <w:szCs w:val="15"/>
              </w:rPr>
              <w:t>0.522</w:t>
            </w:r>
          </w:p>
        </w:tc>
        <w:tc>
          <w:tcPr>
            <w:tcW w:w="711" w:type="dxa"/>
            <w:noWrap w:val="0"/>
            <w:vAlign w:val="center"/>
          </w:tcPr>
          <w:p>
            <w:pPr>
              <w:widowControl/>
              <w:jc w:val="center"/>
              <w:rPr>
                <w:rFonts w:cs="宋体"/>
                <w:kern w:val="0"/>
                <w:sz w:val="15"/>
                <w:szCs w:val="15"/>
              </w:rPr>
            </w:pPr>
            <w:r>
              <w:rPr>
                <w:rFonts w:hint="eastAsia" w:cs="宋体"/>
                <w:kern w:val="0"/>
                <w:sz w:val="15"/>
                <w:szCs w:val="15"/>
              </w:rPr>
              <w:t>0.536</w:t>
            </w:r>
          </w:p>
        </w:tc>
        <w:tc>
          <w:tcPr>
            <w:tcW w:w="711" w:type="dxa"/>
            <w:noWrap w:val="0"/>
            <w:vAlign w:val="center"/>
          </w:tcPr>
          <w:p>
            <w:pPr>
              <w:widowControl/>
              <w:jc w:val="center"/>
              <w:rPr>
                <w:rFonts w:cs="宋体"/>
                <w:kern w:val="0"/>
                <w:sz w:val="15"/>
                <w:szCs w:val="15"/>
              </w:rPr>
            </w:pPr>
            <w:r>
              <w:rPr>
                <w:rFonts w:hint="eastAsia" w:cs="宋体"/>
                <w:kern w:val="0"/>
                <w:sz w:val="15"/>
                <w:szCs w:val="15"/>
              </w:rPr>
              <w:t>0.529</w:t>
            </w:r>
          </w:p>
        </w:tc>
        <w:tc>
          <w:tcPr>
            <w:tcW w:w="712" w:type="dxa"/>
            <w:noWrap w:val="0"/>
            <w:vAlign w:val="center"/>
          </w:tcPr>
          <w:p>
            <w:pPr>
              <w:widowControl/>
              <w:jc w:val="center"/>
              <w:rPr>
                <w:rFonts w:cs="宋体"/>
                <w:kern w:val="0"/>
                <w:sz w:val="15"/>
                <w:szCs w:val="15"/>
              </w:rPr>
            </w:pPr>
            <w:r>
              <w:rPr>
                <w:rFonts w:hint="eastAsia" w:cs="宋体"/>
                <w:kern w:val="0"/>
                <w:sz w:val="15"/>
                <w:szCs w:val="15"/>
              </w:rPr>
              <w:t>0.562</w:t>
            </w:r>
          </w:p>
        </w:tc>
        <w:tc>
          <w:tcPr>
            <w:tcW w:w="710" w:type="dxa"/>
            <w:noWrap w:val="0"/>
            <w:vAlign w:val="center"/>
          </w:tcPr>
          <w:p>
            <w:pPr>
              <w:widowControl/>
              <w:jc w:val="center"/>
              <w:rPr>
                <w:rFonts w:cs="宋体"/>
                <w:kern w:val="0"/>
                <w:sz w:val="15"/>
                <w:szCs w:val="15"/>
              </w:rPr>
            </w:pPr>
            <w:r>
              <w:rPr>
                <w:rFonts w:hint="eastAsia" w:cs="宋体"/>
                <w:kern w:val="0"/>
                <w:sz w:val="15"/>
                <w:szCs w:val="15"/>
              </w:rPr>
              <w:t>0.545</w:t>
            </w:r>
          </w:p>
        </w:tc>
        <w:tc>
          <w:tcPr>
            <w:tcW w:w="712" w:type="dxa"/>
            <w:noWrap w:val="0"/>
            <w:vAlign w:val="center"/>
          </w:tcPr>
          <w:p>
            <w:pPr>
              <w:widowControl/>
              <w:jc w:val="center"/>
              <w:rPr>
                <w:rFonts w:cs="宋体"/>
                <w:kern w:val="0"/>
                <w:sz w:val="15"/>
                <w:szCs w:val="15"/>
              </w:rPr>
            </w:pPr>
            <w:r>
              <w:rPr>
                <w:rFonts w:hint="eastAsia" w:cs="宋体"/>
                <w:kern w:val="0"/>
                <w:sz w:val="15"/>
                <w:szCs w:val="15"/>
              </w:rPr>
              <w:t>0.554</w:t>
            </w:r>
          </w:p>
        </w:tc>
        <w:tc>
          <w:tcPr>
            <w:tcW w:w="710" w:type="dxa"/>
            <w:noWrap w:val="0"/>
            <w:vAlign w:val="center"/>
          </w:tcPr>
          <w:p>
            <w:pPr>
              <w:widowControl/>
              <w:jc w:val="center"/>
              <w:rPr>
                <w:rFonts w:cs="宋体"/>
                <w:kern w:val="0"/>
                <w:sz w:val="15"/>
                <w:szCs w:val="15"/>
              </w:rPr>
            </w:pPr>
            <w:r>
              <w:rPr>
                <w:rFonts w:hint="eastAsia" w:cs="宋体"/>
                <w:kern w:val="0"/>
                <w:sz w:val="15"/>
                <w:szCs w:val="15"/>
              </w:rPr>
              <w:t>0.541</w:t>
            </w:r>
          </w:p>
        </w:tc>
        <w:tc>
          <w:tcPr>
            <w:tcW w:w="528" w:type="dxa"/>
            <w:noWrap w:val="0"/>
            <w:vAlign w:val="center"/>
          </w:tcPr>
          <w:p>
            <w:pPr>
              <w:widowControl/>
              <w:jc w:val="center"/>
              <w:rPr>
                <w:rFonts w:cs="宋体"/>
                <w:kern w:val="0"/>
                <w:sz w:val="15"/>
                <w:szCs w:val="15"/>
              </w:rPr>
            </w:pPr>
            <w:r>
              <w:rPr>
                <w:rFonts w:hint="eastAsia" w:cs="宋体"/>
                <w:kern w:val="0"/>
                <w:sz w:val="15"/>
                <w:szCs w:val="15"/>
              </w:rPr>
              <w:t>2.81</w:t>
            </w:r>
          </w:p>
        </w:tc>
      </w:tr>
    </w:tbl>
    <w:p>
      <w:pPr>
        <w:keepNext w:val="0"/>
        <w:keepLines w:val="0"/>
        <w:pageBreakBefore w:val="0"/>
        <w:widowControl w:val="0"/>
        <w:kinsoku/>
        <w:wordWrap/>
        <w:overflowPunct/>
        <w:topLinePunct w:val="0"/>
        <w:autoSpaceDE/>
        <w:autoSpaceDN/>
        <w:bidi w:val="0"/>
        <w:adjustRightInd/>
        <w:snapToGrid/>
        <w:ind w:firstLine="422" w:firstLineChars="200"/>
        <w:jc w:val="center"/>
        <w:textAlignment w:val="auto"/>
        <w:rPr>
          <w:rFonts w:hint="eastAsia"/>
          <w:b/>
          <w:bCs/>
        </w:rPr>
      </w:pPr>
      <w:r>
        <w:rPr>
          <w:b/>
          <w:bCs/>
        </w:rPr>
        <w:t>表</w:t>
      </w:r>
      <w:r>
        <w:rPr>
          <w:rFonts w:hint="eastAsia"/>
          <w:b/>
          <w:bCs/>
        </w:rPr>
        <w:t>5单位间重复性实验</w:t>
      </w:r>
      <w:r>
        <w:rPr>
          <w:b/>
          <w:bCs/>
        </w:rPr>
        <w:t>结果</w:t>
      </w:r>
      <w:r>
        <w:rPr>
          <w:rFonts w:hint="eastAsia"/>
          <w:b/>
          <w:bCs/>
        </w:rPr>
        <w:t>（80%敌敌畏乳油）</w:t>
      </w:r>
    </w:p>
    <w:tbl>
      <w:tblPr>
        <w:tblStyle w:val="10"/>
        <w:tblW w:w="8280" w:type="dxa"/>
        <w:jc w:val="center"/>
        <w:tblInd w:w="-10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83"/>
        <w:gridCol w:w="614"/>
        <w:gridCol w:w="1108"/>
        <w:gridCol w:w="677"/>
        <w:gridCol w:w="674"/>
        <w:gridCol w:w="675"/>
        <w:gridCol w:w="674"/>
        <w:gridCol w:w="674"/>
        <w:gridCol w:w="676"/>
        <w:gridCol w:w="675"/>
        <w:gridCol w:w="676"/>
        <w:gridCol w:w="674"/>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3" w:hRule="atLeast"/>
          <w:jc w:val="center"/>
        </w:trPr>
        <w:tc>
          <w:tcPr>
            <w:tcW w:w="483" w:type="dxa"/>
            <w:vMerge w:val="restart"/>
            <w:tcBorders>
              <w:tl2br w:val="nil"/>
              <w:tr2bl w:val="nil"/>
            </w:tcBorders>
            <w:noWrap w:val="0"/>
            <w:vAlign w:val="center"/>
          </w:tcPr>
          <w:p>
            <w:pPr>
              <w:widowControl/>
              <w:jc w:val="center"/>
              <w:rPr>
                <w:rFonts w:ascii="宋体" w:hAnsi="宋体" w:cs="宋体"/>
                <w:kern w:val="0"/>
                <w:sz w:val="15"/>
                <w:szCs w:val="15"/>
              </w:rPr>
            </w:pPr>
            <w:r>
              <w:rPr>
                <w:rFonts w:hint="eastAsia" w:ascii="宋体" w:hAnsi="宋体" w:cs="宋体"/>
                <w:kern w:val="0"/>
                <w:sz w:val="15"/>
                <w:szCs w:val="15"/>
              </w:rPr>
              <w:t>样本</w:t>
            </w:r>
          </w:p>
        </w:tc>
        <w:tc>
          <w:tcPr>
            <w:tcW w:w="614" w:type="dxa"/>
            <w:vMerge w:val="restart"/>
            <w:tcBorders>
              <w:tl2br w:val="nil"/>
              <w:tr2bl w:val="nil"/>
            </w:tcBorders>
            <w:noWrap w:val="0"/>
            <w:vAlign w:val="center"/>
          </w:tcPr>
          <w:p>
            <w:pPr>
              <w:widowControl/>
              <w:jc w:val="center"/>
              <w:rPr>
                <w:rFonts w:ascii="宋体" w:hAnsi="宋体" w:cs="宋体"/>
                <w:kern w:val="0"/>
                <w:sz w:val="15"/>
                <w:szCs w:val="15"/>
              </w:rPr>
            </w:pPr>
            <w:r>
              <w:rPr>
                <w:rFonts w:hint="eastAsia" w:ascii="宋体" w:hAnsi="宋体" w:cs="宋体"/>
                <w:kern w:val="0"/>
                <w:sz w:val="15"/>
                <w:szCs w:val="15"/>
              </w:rPr>
              <w:t>单位</w:t>
            </w:r>
          </w:p>
        </w:tc>
        <w:tc>
          <w:tcPr>
            <w:tcW w:w="1108" w:type="dxa"/>
            <w:tcBorders>
              <w:tl2br w:val="nil"/>
              <w:tr2bl w:val="nil"/>
            </w:tcBorders>
            <w:noWrap w:val="0"/>
            <w:vAlign w:val="center"/>
          </w:tcPr>
          <w:p>
            <w:pPr>
              <w:widowControl/>
              <w:jc w:val="center"/>
              <w:rPr>
                <w:rFonts w:ascii="宋体" w:hAnsi="宋体" w:cs="宋体"/>
                <w:kern w:val="0"/>
                <w:sz w:val="15"/>
                <w:szCs w:val="15"/>
              </w:rPr>
            </w:pPr>
            <w:r>
              <w:rPr>
                <w:rFonts w:hint="eastAsia" w:ascii="宋体" w:hAnsi="宋体" w:cs="宋体"/>
                <w:kern w:val="0"/>
                <w:sz w:val="15"/>
                <w:szCs w:val="15"/>
              </w:rPr>
              <w:t>农药</w:t>
            </w:r>
          </w:p>
        </w:tc>
        <w:tc>
          <w:tcPr>
            <w:tcW w:w="677" w:type="dxa"/>
            <w:tcBorders>
              <w:tl2br w:val="nil"/>
              <w:tr2bl w:val="nil"/>
            </w:tcBorders>
            <w:noWrap w:val="0"/>
            <w:vAlign w:val="center"/>
          </w:tcPr>
          <w:p>
            <w:pPr>
              <w:widowControl/>
              <w:jc w:val="center"/>
              <w:rPr>
                <w:rFonts w:ascii="宋体" w:hAnsi="宋体" w:cs="宋体"/>
                <w:kern w:val="0"/>
                <w:sz w:val="15"/>
                <w:szCs w:val="15"/>
              </w:rPr>
            </w:pPr>
            <w:r>
              <w:rPr>
                <w:rFonts w:hint="eastAsia" w:ascii="宋体" w:hAnsi="宋体" w:cs="宋体"/>
                <w:kern w:val="0"/>
                <w:sz w:val="15"/>
                <w:szCs w:val="15"/>
              </w:rPr>
              <w:t>实际</w:t>
            </w:r>
          </w:p>
        </w:tc>
        <w:tc>
          <w:tcPr>
            <w:tcW w:w="674" w:type="dxa"/>
            <w:vMerge w:val="restart"/>
            <w:tcBorders>
              <w:tl2br w:val="nil"/>
              <w:tr2bl w:val="nil"/>
            </w:tcBorders>
            <w:noWrap w:val="0"/>
            <w:vAlign w:val="center"/>
          </w:tcPr>
          <w:p>
            <w:pPr>
              <w:widowControl/>
              <w:jc w:val="center"/>
              <w:rPr>
                <w:kern w:val="0"/>
                <w:sz w:val="15"/>
                <w:szCs w:val="15"/>
              </w:rPr>
            </w:pPr>
            <w:r>
              <w:rPr>
                <w:kern w:val="0"/>
                <w:sz w:val="15"/>
                <w:szCs w:val="15"/>
              </w:rPr>
              <w:t>1</w:t>
            </w:r>
          </w:p>
        </w:tc>
        <w:tc>
          <w:tcPr>
            <w:tcW w:w="675" w:type="dxa"/>
            <w:vMerge w:val="restart"/>
            <w:tcBorders>
              <w:tl2br w:val="nil"/>
              <w:tr2bl w:val="nil"/>
            </w:tcBorders>
            <w:noWrap w:val="0"/>
            <w:vAlign w:val="center"/>
          </w:tcPr>
          <w:p>
            <w:pPr>
              <w:widowControl/>
              <w:jc w:val="center"/>
              <w:rPr>
                <w:kern w:val="0"/>
                <w:sz w:val="15"/>
                <w:szCs w:val="15"/>
              </w:rPr>
            </w:pPr>
            <w:r>
              <w:rPr>
                <w:kern w:val="0"/>
                <w:sz w:val="15"/>
                <w:szCs w:val="15"/>
              </w:rPr>
              <w:t>2</w:t>
            </w:r>
          </w:p>
        </w:tc>
        <w:tc>
          <w:tcPr>
            <w:tcW w:w="674" w:type="dxa"/>
            <w:vMerge w:val="restart"/>
            <w:tcBorders>
              <w:tl2br w:val="nil"/>
              <w:tr2bl w:val="nil"/>
            </w:tcBorders>
            <w:noWrap w:val="0"/>
            <w:vAlign w:val="center"/>
          </w:tcPr>
          <w:p>
            <w:pPr>
              <w:widowControl/>
              <w:jc w:val="center"/>
              <w:rPr>
                <w:kern w:val="0"/>
                <w:sz w:val="15"/>
                <w:szCs w:val="15"/>
              </w:rPr>
            </w:pPr>
            <w:r>
              <w:rPr>
                <w:kern w:val="0"/>
                <w:sz w:val="15"/>
                <w:szCs w:val="15"/>
              </w:rPr>
              <w:t>3</w:t>
            </w:r>
          </w:p>
        </w:tc>
        <w:tc>
          <w:tcPr>
            <w:tcW w:w="674" w:type="dxa"/>
            <w:vMerge w:val="restart"/>
            <w:tcBorders>
              <w:tl2br w:val="nil"/>
              <w:tr2bl w:val="nil"/>
            </w:tcBorders>
            <w:noWrap w:val="0"/>
            <w:vAlign w:val="center"/>
          </w:tcPr>
          <w:p>
            <w:pPr>
              <w:widowControl/>
              <w:jc w:val="center"/>
              <w:rPr>
                <w:kern w:val="0"/>
                <w:sz w:val="15"/>
                <w:szCs w:val="15"/>
              </w:rPr>
            </w:pPr>
            <w:r>
              <w:rPr>
                <w:kern w:val="0"/>
                <w:sz w:val="15"/>
                <w:szCs w:val="15"/>
              </w:rPr>
              <w:t>4</w:t>
            </w:r>
          </w:p>
        </w:tc>
        <w:tc>
          <w:tcPr>
            <w:tcW w:w="676" w:type="dxa"/>
            <w:vMerge w:val="restart"/>
            <w:tcBorders>
              <w:tl2br w:val="nil"/>
              <w:tr2bl w:val="nil"/>
            </w:tcBorders>
            <w:noWrap w:val="0"/>
            <w:vAlign w:val="center"/>
          </w:tcPr>
          <w:p>
            <w:pPr>
              <w:widowControl/>
              <w:jc w:val="center"/>
              <w:rPr>
                <w:kern w:val="0"/>
                <w:sz w:val="15"/>
                <w:szCs w:val="15"/>
              </w:rPr>
            </w:pPr>
            <w:r>
              <w:rPr>
                <w:kern w:val="0"/>
                <w:sz w:val="15"/>
                <w:szCs w:val="15"/>
              </w:rPr>
              <w:t>5</w:t>
            </w:r>
          </w:p>
        </w:tc>
        <w:tc>
          <w:tcPr>
            <w:tcW w:w="675" w:type="dxa"/>
            <w:vMerge w:val="restart"/>
            <w:tcBorders>
              <w:tl2br w:val="nil"/>
              <w:tr2bl w:val="nil"/>
            </w:tcBorders>
            <w:noWrap w:val="0"/>
            <w:vAlign w:val="center"/>
          </w:tcPr>
          <w:p>
            <w:pPr>
              <w:widowControl/>
              <w:jc w:val="center"/>
              <w:rPr>
                <w:kern w:val="0"/>
                <w:sz w:val="15"/>
                <w:szCs w:val="15"/>
              </w:rPr>
            </w:pPr>
            <w:r>
              <w:rPr>
                <w:kern w:val="0"/>
                <w:sz w:val="15"/>
                <w:szCs w:val="15"/>
              </w:rPr>
              <w:t>6</w:t>
            </w:r>
          </w:p>
        </w:tc>
        <w:tc>
          <w:tcPr>
            <w:tcW w:w="676" w:type="dxa"/>
            <w:vMerge w:val="restart"/>
            <w:tcBorders>
              <w:tl2br w:val="nil"/>
              <w:tr2bl w:val="nil"/>
            </w:tcBorders>
            <w:noWrap w:val="0"/>
            <w:vAlign w:val="center"/>
          </w:tcPr>
          <w:p>
            <w:pPr>
              <w:widowControl/>
              <w:jc w:val="center"/>
              <w:rPr>
                <w:rFonts w:ascii="宋体" w:hAnsi="宋体" w:cs="宋体"/>
                <w:kern w:val="0"/>
                <w:sz w:val="15"/>
                <w:szCs w:val="15"/>
              </w:rPr>
            </w:pPr>
            <w:r>
              <w:rPr>
                <w:rFonts w:hint="eastAsia" w:ascii="宋体" w:hAnsi="宋体" w:cs="宋体"/>
                <w:kern w:val="0"/>
                <w:sz w:val="15"/>
                <w:szCs w:val="15"/>
              </w:rPr>
              <w:t>平均值</w:t>
            </w:r>
          </w:p>
        </w:tc>
        <w:tc>
          <w:tcPr>
            <w:tcW w:w="674" w:type="dxa"/>
            <w:vMerge w:val="restart"/>
            <w:tcBorders>
              <w:tl2br w:val="nil"/>
              <w:tr2bl w:val="nil"/>
            </w:tcBorders>
            <w:noWrap w:val="0"/>
            <w:vAlign w:val="center"/>
          </w:tcPr>
          <w:p>
            <w:pPr>
              <w:widowControl/>
              <w:jc w:val="center"/>
              <w:rPr>
                <w:kern w:val="0"/>
                <w:sz w:val="15"/>
                <w:szCs w:val="15"/>
              </w:rPr>
            </w:pPr>
            <w:r>
              <w:rPr>
                <w:kern w:val="0"/>
                <w:sz w:val="15"/>
                <w:szCs w:val="15"/>
              </w:rPr>
              <w:t>RSD</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jc w:val="center"/>
        </w:trPr>
        <w:tc>
          <w:tcPr>
            <w:tcW w:w="483" w:type="dxa"/>
            <w:vMerge w:val="continue"/>
            <w:tcBorders>
              <w:tl2br w:val="nil"/>
              <w:tr2bl w:val="nil"/>
            </w:tcBorders>
            <w:noWrap w:val="0"/>
            <w:vAlign w:val="center"/>
          </w:tcPr>
          <w:p>
            <w:pPr>
              <w:widowControl/>
              <w:jc w:val="center"/>
              <w:rPr>
                <w:rFonts w:ascii="宋体" w:hAnsi="宋体" w:cs="宋体"/>
                <w:kern w:val="0"/>
                <w:sz w:val="15"/>
                <w:szCs w:val="15"/>
              </w:rPr>
            </w:pPr>
          </w:p>
        </w:tc>
        <w:tc>
          <w:tcPr>
            <w:tcW w:w="614" w:type="dxa"/>
            <w:vMerge w:val="continue"/>
            <w:tcBorders>
              <w:tl2br w:val="nil"/>
              <w:tr2bl w:val="nil"/>
            </w:tcBorders>
            <w:noWrap w:val="0"/>
            <w:vAlign w:val="center"/>
          </w:tcPr>
          <w:p>
            <w:pPr>
              <w:widowControl/>
              <w:jc w:val="center"/>
              <w:rPr>
                <w:rFonts w:ascii="宋体" w:hAnsi="宋体" w:cs="宋体"/>
                <w:kern w:val="0"/>
                <w:sz w:val="15"/>
                <w:szCs w:val="15"/>
              </w:rPr>
            </w:pPr>
          </w:p>
        </w:tc>
        <w:tc>
          <w:tcPr>
            <w:tcW w:w="1108" w:type="dxa"/>
            <w:tcBorders>
              <w:tl2br w:val="nil"/>
              <w:tr2bl w:val="nil"/>
            </w:tcBorders>
            <w:noWrap w:val="0"/>
            <w:vAlign w:val="center"/>
          </w:tcPr>
          <w:p>
            <w:pPr>
              <w:widowControl/>
              <w:jc w:val="center"/>
              <w:rPr>
                <w:rFonts w:ascii="宋体" w:hAnsi="宋体" w:cs="宋体"/>
                <w:kern w:val="0"/>
                <w:sz w:val="15"/>
                <w:szCs w:val="15"/>
              </w:rPr>
            </w:pPr>
            <w:r>
              <w:rPr>
                <w:rFonts w:hint="eastAsia" w:ascii="宋体" w:hAnsi="宋体" w:cs="宋体"/>
                <w:kern w:val="0"/>
                <w:sz w:val="15"/>
                <w:szCs w:val="15"/>
              </w:rPr>
              <w:t>名称</w:t>
            </w:r>
          </w:p>
        </w:tc>
        <w:tc>
          <w:tcPr>
            <w:tcW w:w="677" w:type="dxa"/>
            <w:tcBorders>
              <w:tl2br w:val="nil"/>
              <w:tr2bl w:val="nil"/>
            </w:tcBorders>
            <w:noWrap w:val="0"/>
            <w:vAlign w:val="center"/>
          </w:tcPr>
          <w:p>
            <w:pPr>
              <w:widowControl/>
              <w:jc w:val="center"/>
              <w:rPr>
                <w:rFonts w:ascii="宋体" w:hAnsi="宋体" w:cs="宋体"/>
                <w:kern w:val="0"/>
                <w:sz w:val="15"/>
                <w:szCs w:val="15"/>
              </w:rPr>
            </w:pPr>
            <w:r>
              <w:rPr>
                <w:rFonts w:hint="eastAsia" w:ascii="宋体" w:hAnsi="宋体" w:cs="宋体"/>
                <w:kern w:val="0"/>
                <w:sz w:val="15"/>
                <w:szCs w:val="15"/>
              </w:rPr>
              <w:t>添加</w:t>
            </w:r>
          </w:p>
        </w:tc>
        <w:tc>
          <w:tcPr>
            <w:tcW w:w="674" w:type="dxa"/>
            <w:vMerge w:val="continue"/>
            <w:tcBorders>
              <w:tl2br w:val="nil"/>
              <w:tr2bl w:val="nil"/>
            </w:tcBorders>
            <w:noWrap w:val="0"/>
            <w:vAlign w:val="center"/>
          </w:tcPr>
          <w:p>
            <w:pPr>
              <w:widowControl/>
              <w:jc w:val="center"/>
              <w:rPr>
                <w:kern w:val="0"/>
                <w:sz w:val="15"/>
                <w:szCs w:val="15"/>
              </w:rPr>
            </w:pPr>
          </w:p>
        </w:tc>
        <w:tc>
          <w:tcPr>
            <w:tcW w:w="675" w:type="dxa"/>
            <w:vMerge w:val="continue"/>
            <w:tcBorders>
              <w:tl2br w:val="nil"/>
              <w:tr2bl w:val="nil"/>
            </w:tcBorders>
            <w:noWrap w:val="0"/>
            <w:vAlign w:val="center"/>
          </w:tcPr>
          <w:p>
            <w:pPr>
              <w:widowControl/>
              <w:jc w:val="center"/>
              <w:rPr>
                <w:kern w:val="0"/>
                <w:sz w:val="15"/>
                <w:szCs w:val="15"/>
              </w:rPr>
            </w:pPr>
          </w:p>
        </w:tc>
        <w:tc>
          <w:tcPr>
            <w:tcW w:w="674" w:type="dxa"/>
            <w:vMerge w:val="continue"/>
            <w:tcBorders>
              <w:tl2br w:val="nil"/>
              <w:tr2bl w:val="nil"/>
            </w:tcBorders>
            <w:noWrap w:val="0"/>
            <w:vAlign w:val="center"/>
          </w:tcPr>
          <w:p>
            <w:pPr>
              <w:widowControl/>
              <w:jc w:val="center"/>
              <w:rPr>
                <w:kern w:val="0"/>
                <w:sz w:val="15"/>
                <w:szCs w:val="15"/>
              </w:rPr>
            </w:pPr>
          </w:p>
        </w:tc>
        <w:tc>
          <w:tcPr>
            <w:tcW w:w="674" w:type="dxa"/>
            <w:vMerge w:val="continue"/>
            <w:tcBorders>
              <w:tl2br w:val="nil"/>
              <w:tr2bl w:val="nil"/>
            </w:tcBorders>
            <w:noWrap w:val="0"/>
            <w:vAlign w:val="center"/>
          </w:tcPr>
          <w:p>
            <w:pPr>
              <w:widowControl/>
              <w:jc w:val="center"/>
              <w:rPr>
                <w:kern w:val="0"/>
                <w:sz w:val="15"/>
                <w:szCs w:val="15"/>
              </w:rPr>
            </w:pPr>
          </w:p>
        </w:tc>
        <w:tc>
          <w:tcPr>
            <w:tcW w:w="676" w:type="dxa"/>
            <w:vMerge w:val="continue"/>
            <w:tcBorders>
              <w:tl2br w:val="nil"/>
              <w:tr2bl w:val="nil"/>
            </w:tcBorders>
            <w:noWrap w:val="0"/>
            <w:vAlign w:val="center"/>
          </w:tcPr>
          <w:p>
            <w:pPr>
              <w:widowControl/>
              <w:jc w:val="center"/>
              <w:rPr>
                <w:kern w:val="0"/>
                <w:sz w:val="15"/>
                <w:szCs w:val="15"/>
              </w:rPr>
            </w:pPr>
          </w:p>
        </w:tc>
        <w:tc>
          <w:tcPr>
            <w:tcW w:w="675" w:type="dxa"/>
            <w:vMerge w:val="continue"/>
            <w:tcBorders>
              <w:tl2br w:val="nil"/>
              <w:tr2bl w:val="nil"/>
            </w:tcBorders>
            <w:noWrap w:val="0"/>
            <w:vAlign w:val="center"/>
          </w:tcPr>
          <w:p>
            <w:pPr>
              <w:widowControl/>
              <w:jc w:val="center"/>
              <w:rPr>
                <w:kern w:val="0"/>
                <w:sz w:val="15"/>
                <w:szCs w:val="15"/>
              </w:rPr>
            </w:pPr>
          </w:p>
        </w:tc>
        <w:tc>
          <w:tcPr>
            <w:tcW w:w="676" w:type="dxa"/>
            <w:vMerge w:val="continue"/>
            <w:tcBorders>
              <w:tl2br w:val="nil"/>
              <w:tr2bl w:val="nil"/>
            </w:tcBorders>
            <w:noWrap w:val="0"/>
            <w:vAlign w:val="center"/>
          </w:tcPr>
          <w:p>
            <w:pPr>
              <w:widowControl/>
              <w:jc w:val="center"/>
              <w:rPr>
                <w:rFonts w:ascii="宋体" w:hAnsi="宋体" w:cs="宋体"/>
                <w:kern w:val="0"/>
                <w:sz w:val="15"/>
                <w:szCs w:val="15"/>
              </w:rPr>
            </w:pPr>
          </w:p>
        </w:tc>
        <w:tc>
          <w:tcPr>
            <w:tcW w:w="674" w:type="dxa"/>
            <w:vMerge w:val="continue"/>
            <w:tcBorders>
              <w:tl2br w:val="nil"/>
              <w:tr2bl w:val="nil"/>
            </w:tcBorders>
            <w:noWrap w:val="0"/>
            <w:vAlign w:val="center"/>
          </w:tcPr>
          <w:p>
            <w:pPr>
              <w:widowControl/>
              <w:jc w:val="center"/>
              <w:rPr>
                <w:kern w:val="0"/>
                <w:sz w:val="15"/>
                <w:szCs w:val="15"/>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jc w:val="center"/>
        </w:trPr>
        <w:tc>
          <w:tcPr>
            <w:tcW w:w="483" w:type="dxa"/>
            <w:vMerge w:val="restart"/>
            <w:tcBorders>
              <w:tl2br w:val="nil"/>
              <w:tr2bl w:val="nil"/>
            </w:tcBorders>
            <w:noWrap w:val="0"/>
            <w:vAlign w:val="center"/>
          </w:tcPr>
          <w:p>
            <w:pPr>
              <w:widowControl/>
              <w:jc w:val="center"/>
              <w:rPr>
                <w:rFonts w:ascii="宋体" w:hAnsi="宋体" w:cs="宋体"/>
                <w:kern w:val="0"/>
                <w:sz w:val="15"/>
                <w:szCs w:val="15"/>
              </w:rPr>
            </w:pPr>
            <w:r>
              <w:rPr>
                <w:rFonts w:hint="eastAsia"/>
                <w:bCs/>
                <w:sz w:val="15"/>
                <w:szCs w:val="15"/>
              </w:rPr>
              <w:t>80%敌敌畏乳油</w:t>
            </w:r>
          </w:p>
        </w:tc>
        <w:tc>
          <w:tcPr>
            <w:tcW w:w="614" w:type="dxa"/>
            <w:vMerge w:val="restart"/>
            <w:tcBorders>
              <w:tl2br w:val="nil"/>
              <w:tr2bl w:val="nil"/>
            </w:tcBorders>
            <w:noWrap w:val="0"/>
            <w:vAlign w:val="center"/>
          </w:tcPr>
          <w:p>
            <w:pPr>
              <w:widowControl/>
              <w:jc w:val="center"/>
              <w:rPr>
                <w:rFonts w:ascii="宋体" w:hAnsi="宋体" w:cs="宋体"/>
                <w:kern w:val="0"/>
                <w:sz w:val="15"/>
                <w:szCs w:val="15"/>
              </w:rPr>
            </w:pPr>
            <w:r>
              <w:rPr>
                <w:rFonts w:hint="eastAsia" w:ascii="宋体" w:hAnsi="宋体" w:cs="宋体"/>
                <w:kern w:val="0"/>
                <w:sz w:val="15"/>
                <w:szCs w:val="15"/>
              </w:rPr>
              <w:t>贵州省农产品质检中心</w:t>
            </w:r>
          </w:p>
        </w:tc>
        <w:tc>
          <w:tcPr>
            <w:tcW w:w="1108" w:type="dxa"/>
            <w:tcBorders>
              <w:tl2br w:val="nil"/>
              <w:tr2bl w:val="nil"/>
            </w:tcBorders>
            <w:noWrap w:val="0"/>
            <w:vAlign w:val="center"/>
          </w:tcPr>
          <w:p>
            <w:pPr>
              <w:widowControl/>
              <w:jc w:val="center"/>
              <w:rPr>
                <w:rFonts w:ascii="宋体" w:hAnsi="宋体" w:cs="宋体"/>
                <w:kern w:val="0"/>
                <w:sz w:val="15"/>
                <w:szCs w:val="15"/>
              </w:rPr>
            </w:pPr>
            <w:r>
              <w:rPr>
                <w:rFonts w:hint="eastAsia" w:ascii="宋体" w:hAnsi="宋体" w:cs="宋体"/>
                <w:kern w:val="0"/>
                <w:sz w:val="15"/>
                <w:szCs w:val="15"/>
              </w:rPr>
              <w:t>甲胺磷</w:t>
            </w:r>
          </w:p>
        </w:tc>
        <w:tc>
          <w:tcPr>
            <w:tcW w:w="677" w:type="dxa"/>
            <w:tcBorders>
              <w:tl2br w:val="nil"/>
              <w:tr2bl w:val="nil"/>
            </w:tcBorders>
            <w:noWrap w:val="0"/>
            <w:vAlign w:val="center"/>
          </w:tcPr>
          <w:p>
            <w:pPr>
              <w:widowControl/>
              <w:jc w:val="center"/>
              <w:rPr>
                <w:kern w:val="0"/>
                <w:sz w:val="15"/>
                <w:szCs w:val="15"/>
              </w:rPr>
            </w:pPr>
            <w:r>
              <w:rPr>
                <w:kern w:val="0"/>
                <w:sz w:val="15"/>
                <w:szCs w:val="15"/>
              </w:rPr>
              <w:t>2.536</w:t>
            </w:r>
          </w:p>
        </w:tc>
        <w:tc>
          <w:tcPr>
            <w:tcW w:w="674" w:type="dxa"/>
            <w:tcBorders>
              <w:tl2br w:val="nil"/>
              <w:tr2bl w:val="nil"/>
            </w:tcBorders>
            <w:noWrap w:val="0"/>
            <w:vAlign w:val="center"/>
          </w:tcPr>
          <w:p>
            <w:pPr>
              <w:widowControl/>
              <w:jc w:val="center"/>
              <w:rPr>
                <w:kern w:val="0"/>
                <w:sz w:val="15"/>
                <w:szCs w:val="15"/>
              </w:rPr>
            </w:pPr>
            <w:r>
              <w:rPr>
                <w:kern w:val="0"/>
                <w:sz w:val="15"/>
                <w:szCs w:val="15"/>
              </w:rPr>
              <w:t>2.473</w:t>
            </w:r>
          </w:p>
        </w:tc>
        <w:tc>
          <w:tcPr>
            <w:tcW w:w="675" w:type="dxa"/>
            <w:tcBorders>
              <w:tl2br w:val="nil"/>
              <w:tr2bl w:val="nil"/>
            </w:tcBorders>
            <w:noWrap w:val="0"/>
            <w:vAlign w:val="center"/>
          </w:tcPr>
          <w:p>
            <w:pPr>
              <w:widowControl/>
              <w:jc w:val="center"/>
              <w:rPr>
                <w:kern w:val="0"/>
                <w:sz w:val="15"/>
                <w:szCs w:val="15"/>
              </w:rPr>
            </w:pPr>
            <w:r>
              <w:rPr>
                <w:kern w:val="0"/>
                <w:sz w:val="15"/>
                <w:szCs w:val="15"/>
              </w:rPr>
              <w:t>2.383</w:t>
            </w:r>
          </w:p>
        </w:tc>
        <w:tc>
          <w:tcPr>
            <w:tcW w:w="674" w:type="dxa"/>
            <w:tcBorders>
              <w:tl2br w:val="nil"/>
              <w:tr2bl w:val="nil"/>
            </w:tcBorders>
            <w:noWrap w:val="0"/>
            <w:vAlign w:val="center"/>
          </w:tcPr>
          <w:p>
            <w:pPr>
              <w:widowControl/>
              <w:jc w:val="center"/>
              <w:rPr>
                <w:kern w:val="0"/>
                <w:sz w:val="15"/>
                <w:szCs w:val="15"/>
              </w:rPr>
            </w:pPr>
            <w:r>
              <w:rPr>
                <w:kern w:val="0"/>
                <w:sz w:val="15"/>
                <w:szCs w:val="15"/>
              </w:rPr>
              <w:t>2.392</w:t>
            </w:r>
          </w:p>
        </w:tc>
        <w:tc>
          <w:tcPr>
            <w:tcW w:w="674" w:type="dxa"/>
            <w:tcBorders>
              <w:tl2br w:val="nil"/>
              <w:tr2bl w:val="nil"/>
            </w:tcBorders>
            <w:noWrap w:val="0"/>
            <w:vAlign w:val="center"/>
          </w:tcPr>
          <w:p>
            <w:pPr>
              <w:widowControl/>
              <w:jc w:val="center"/>
              <w:rPr>
                <w:kern w:val="0"/>
                <w:sz w:val="15"/>
                <w:szCs w:val="15"/>
              </w:rPr>
            </w:pPr>
            <w:r>
              <w:rPr>
                <w:kern w:val="0"/>
                <w:sz w:val="15"/>
                <w:szCs w:val="15"/>
              </w:rPr>
              <w:t>2.293</w:t>
            </w:r>
          </w:p>
        </w:tc>
        <w:tc>
          <w:tcPr>
            <w:tcW w:w="676" w:type="dxa"/>
            <w:tcBorders>
              <w:tl2br w:val="nil"/>
              <w:tr2bl w:val="nil"/>
            </w:tcBorders>
            <w:noWrap w:val="0"/>
            <w:vAlign w:val="center"/>
          </w:tcPr>
          <w:p>
            <w:pPr>
              <w:widowControl/>
              <w:jc w:val="center"/>
              <w:rPr>
                <w:kern w:val="0"/>
                <w:sz w:val="15"/>
                <w:szCs w:val="15"/>
              </w:rPr>
            </w:pPr>
            <w:r>
              <w:rPr>
                <w:kern w:val="0"/>
                <w:sz w:val="15"/>
                <w:szCs w:val="15"/>
              </w:rPr>
              <w:t>2.378</w:t>
            </w:r>
          </w:p>
        </w:tc>
        <w:tc>
          <w:tcPr>
            <w:tcW w:w="675" w:type="dxa"/>
            <w:tcBorders>
              <w:tl2br w:val="nil"/>
              <w:tr2bl w:val="nil"/>
            </w:tcBorders>
            <w:noWrap w:val="0"/>
            <w:vAlign w:val="center"/>
          </w:tcPr>
          <w:p>
            <w:pPr>
              <w:widowControl/>
              <w:jc w:val="center"/>
              <w:rPr>
                <w:kern w:val="0"/>
                <w:sz w:val="15"/>
                <w:szCs w:val="15"/>
              </w:rPr>
            </w:pPr>
            <w:r>
              <w:rPr>
                <w:kern w:val="0"/>
                <w:sz w:val="15"/>
                <w:szCs w:val="15"/>
              </w:rPr>
              <w:t>2.467</w:t>
            </w:r>
          </w:p>
        </w:tc>
        <w:tc>
          <w:tcPr>
            <w:tcW w:w="676" w:type="dxa"/>
            <w:tcBorders>
              <w:tl2br w:val="nil"/>
              <w:tr2bl w:val="nil"/>
            </w:tcBorders>
            <w:noWrap w:val="0"/>
            <w:vAlign w:val="center"/>
          </w:tcPr>
          <w:p>
            <w:pPr>
              <w:widowControl/>
              <w:jc w:val="center"/>
              <w:rPr>
                <w:kern w:val="0"/>
                <w:sz w:val="15"/>
                <w:szCs w:val="15"/>
              </w:rPr>
            </w:pPr>
            <w:r>
              <w:rPr>
                <w:kern w:val="0"/>
                <w:sz w:val="15"/>
                <w:szCs w:val="15"/>
              </w:rPr>
              <w:t>2.398</w:t>
            </w:r>
          </w:p>
        </w:tc>
        <w:tc>
          <w:tcPr>
            <w:tcW w:w="674" w:type="dxa"/>
            <w:tcBorders>
              <w:tl2br w:val="nil"/>
              <w:tr2bl w:val="nil"/>
            </w:tcBorders>
            <w:noWrap w:val="0"/>
            <w:vAlign w:val="center"/>
          </w:tcPr>
          <w:p>
            <w:pPr>
              <w:widowControl/>
              <w:jc w:val="center"/>
              <w:rPr>
                <w:kern w:val="0"/>
                <w:sz w:val="15"/>
                <w:szCs w:val="15"/>
              </w:rPr>
            </w:pPr>
            <w:r>
              <w:rPr>
                <w:kern w:val="0"/>
                <w:sz w:val="15"/>
                <w:szCs w:val="15"/>
              </w:rPr>
              <w:t>2.76</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jc w:val="center"/>
        </w:trPr>
        <w:tc>
          <w:tcPr>
            <w:tcW w:w="483" w:type="dxa"/>
            <w:vMerge w:val="continue"/>
            <w:tcBorders>
              <w:tl2br w:val="nil"/>
              <w:tr2bl w:val="nil"/>
            </w:tcBorders>
            <w:noWrap w:val="0"/>
            <w:vAlign w:val="center"/>
          </w:tcPr>
          <w:p>
            <w:pPr>
              <w:widowControl/>
              <w:jc w:val="center"/>
              <w:rPr>
                <w:rFonts w:ascii="宋体" w:hAnsi="宋体" w:cs="宋体"/>
                <w:kern w:val="0"/>
                <w:sz w:val="15"/>
                <w:szCs w:val="15"/>
              </w:rPr>
            </w:pPr>
          </w:p>
        </w:tc>
        <w:tc>
          <w:tcPr>
            <w:tcW w:w="614" w:type="dxa"/>
            <w:vMerge w:val="continue"/>
            <w:tcBorders>
              <w:tl2br w:val="nil"/>
              <w:tr2bl w:val="nil"/>
            </w:tcBorders>
            <w:noWrap w:val="0"/>
            <w:vAlign w:val="center"/>
          </w:tcPr>
          <w:p>
            <w:pPr>
              <w:widowControl/>
              <w:jc w:val="center"/>
              <w:rPr>
                <w:rFonts w:ascii="宋体" w:hAnsi="宋体" w:cs="宋体"/>
                <w:kern w:val="0"/>
                <w:sz w:val="15"/>
                <w:szCs w:val="15"/>
              </w:rPr>
            </w:pPr>
          </w:p>
        </w:tc>
        <w:tc>
          <w:tcPr>
            <w:tcW w:w="1108" w:type="dxa"/>
            <w:tcBorders>
              <w:tl2br w:val="nil"/>
              <w:tr2bl w:val="nil"/>
            </w:tcBorders>
            <w:noWrap w:val="0"/>
            <w:vAlign w:val="center"/>
          </w:tcPr>
          <w:p>
            <w:pPr>
              <w:widowControl/>
              <w:jc w:val="center"/>
              <w:rPr>
                <w:rFonts w:ascii="宋体" w:hAnsi="宋体" w:cs="宋体"/>
                <w:kern w:val="0"/>
                <w:sz w:val="15"/>
                <w:szCs w:val="15"/>
              </w:rPr>
            </w:pPr>
            <w:r>
              <w:rPr>
                <w:rFonts w:hint="eastAsia" w:ascii="宋体" w:hAnsi="宋体" w:cs="宋体"/>
                <w:kern w:val="0"/>
                <w:sz w:val="15"/>
                <w:szCs w:val="15"/>
              </w:rPr>
              <w:t>甲拌磷</w:t>
            </w:r>
          </w:p>
        </w:tc>
        <w:tc>
          <w:tcPr>
            <w:tcW w:w="677" w:type="dxa"/>
            <w:tcBorders>
              <w:tl2br w:val="nil"/>
              <w:tr2bl w:val="nil"/>
            </w:tcBorders>
            <w:noWrap w:val="0"/>
            <w:vAlign w:val="center"/>
          </w:tcPr>
          <w:p>
            <w:pPr>
              <w:widowControl/>
              <w:jc w:val="center"/>
              <w:rPr>
                <w:kern w:val="0"/>
                <w:sz w:val="15"/>
                <w:szCs w:val="15"/>
              </w:rPr>
            </w:pPr>
            <w:r>
              <w:rPr>
                <w:kern w:val="0"/>
                <w:sz w:val="15"/>
                <w:szCs w:val="15"/>
              </w:rPr>
              <w:t>1.252</w:t>
            </w:r>
          </w:p>
        </w:tc>
        <w:tc>
          <w:tcPr>
            <w:tcW w:w="674" w:type="dxa"/>
            <w:tcBorders>
              <w:tl2br w:val="nil"/>
              <w:tr2bl w:val="nil"/>
            </w:tcBorders>
            <w:noWrap w:val="0"/>
            <w:vAlign w:val="center"/>
          </w:tcPr>
          <w:p>
            <w:pPr>
              <w:widowControl/>
              <w:jc w:val="center"/>
              <w:rPr>
                <w:kern w:val="0"/>
                <w:sz w:val="15"/>
                <w:szCs w:val="15"/>
              </w:rPr>
            </w:pPr>
            <w:r>
              <w:rPr>
                <w:kern w:val="0"/>
                <w:sz w:val="15"/>
                <w:szCs w:val="15"/>
              </w:rPr>
              <w:t>2.239</w:t>
            </w:r>
          </w:p>
        </w:tc>
        <w:tc>
          <w:tcPr>
            <w:tcW w:w="675" w:type="dxa"/>
            <w:tcBorders>
              <w:tl2br w:val="nil"/>
              <w:tr2bl w:val="nil"/>
            </w:tcBorders>
            <w:noWrap w:val="0"/>
            <w:vAlign w:val="center"/>
          </w:tcPr>
          <w:p>
            <w:pPr>
              <w:widowControl/>
              <w:jc w:val="center"/>
              <w:rPr>
                <w:kern w:val="0"/>
                <w:sz w:val="15"/>
                <w:szCs w:val="15"/>
              </w:rPr>
            </w:pPr>
            <w:r>
              <w:rPr>
                <w:kern w:val="0"/>
                <w:sz w:val="15"/>
                <w:szCs w:val="15"/>
              </w:rPr>
              <w:t>2.083</w:t>
            </w:r>
          </w:p>
        </w:tc>
        <w:tc>
          <w:tcPr>
            <w:tcW w:w="674" w:type="dxa"/>
            <w:tcBorders>
              <w:tl2br w:val="nil"/>
              <w:tr2bl w:val="nil"/>
            </w:tcBorders>
            <w:noWrap w:val="0"/>
            <w:vAlign w:val="center"/>
          </w:tcPr>
          <w:p>
            <w:pPr>
              <w:widowControl/>
              <w:jc w:val="center"/>
              <w:rPr>
                <w:kern w:val="0"/>
                <w:sz w:val="15"/>
                <w:szCs w:val="15"/>
              </w:rPr>
            </w:pPr>
            <w:r>
              <w:rPr>
                <w:kern w:val="0"/>
                <w:sz w:val="15"/>
                <w:szCs w:val="15"/>
              </w:rPr>
              <w:t>2.220</w:t>
            </w:r>
          </w:p>
        </w:tc>
        <w:tc>
          <w:tcPr>
            <w:tcW w:w="674" w:type="dxa"/>
            <w:tcBorders>
              <w:tl2br w:val="nil"/>
              <w:tr2bl w:val="nil"/>
            </w:tcBorders>
            <w:noWrap w:val="0"/>
            <w:vAlign w:val="center"/>
          </w:tcPr>
          <w:p>
            <w:pPr>
              <w:widowControl/>
              <w:jc w:val="center"/>
              <w:rPr>
                <w:kern w:val="0"/>
                <w:sz w:val="15"/>
                <w:szCs w:val="15"/>
              </w:rPr>
            </w:pPr>
            <w:r>
              <w:rPr>
                <w:kern w:val="0"/>
                <w:sz w:val="15"/>
                <w:szCs w:val="15"/>
              </w:rPr>
              <w:t>2.111</w:t>
            </w:r>
          </w:p>
        </w:tc>
        <w:tc>
          <w:tcPr>
            <w:tcW w:w="676" w:type="dxa"/>
            <w:tcBorders>
              <w:tl2br w:val="nil"/>
              <w:tr2bl w:val="nil"/>
            </w:tcBorders>
            <w:noWrap w:val="0"/>
            <w:vAlign w:val="center"/>
          </w:tcPr>
          <w:p>
            <w:pPr>
              <w:widowControl/>
              <w:jc w:val="center"/>
              <w:rPr>
                <w:kern w:val="0"/>
                <w:sz w:val="15"/>
                <w:szCs w:val="15"/>
              </w:rPr>
            </w:pPr>
            <w:r>
              <w:rPr>
                <w:kern w:val="0"/>
                <w:sz w:val="15"/>
                <w:szCs w:val="15"/>
              </w:rPr>
              <w:t>2.176</w:t>
            </w:r>
          </w:p>
        </w:tc>
        <w:tc>
          <w:tcPr>
            <w:tcW w:w="675" w:type="dxa"/>
            <w:tcBorders>
              <w:tl2br w:val="nil"/>
              <w:tr2bl w:val="nil"/>
            </w:tcBorders>
            <w:noWrap w:val="0"/>
            <w:vAlign w:val="center"/>
          </w:tcPr>
          <w:p>
            <w:pPr>
              <w:widowControl/>
              <w:jc w:val="center"/>
              <w:rPr>
                <w:kern w:val="0"/>
                <w:sz w:val="15"/>
                <w:szCs w:val="15"/>
              </w:rPr>
            </w:pPr>
            <w:r>
              <w:rPr>
                <w:kern w:val="0"/>
                <w:sz w:val="15"/>
                <w:szCs w:val="15"/>
              </w:rPr>
              <w:t>2.138</w:t>
            </w:r>
          </w:p>
        </w:tc>
        <w:tc>
          <w:tcPr>
            <w:tcW w:w="676" w:type="dxa"/>
            <w:tcBorders>
              <w:tl2br w:val="nil"/>
              <w:tr2bl w:val="nil"/>
            </w:tcBorders>
            <w:noWrap w:val="0"/>
            <w:vAlign w:val="center"/>
          </w:tcPr>
          <w:p>
            <w:pPr>
              <w:widowControl/>
              <w:jc w:val="center"/>
              <w:rPr>
                <w:kern w:val="0"/>
                <w:sz w:val="15"/>
                <w:szCs w:val="15"/>
              </w:rPr>
            </w:pPr>
            <w:r>
              <w:rPr>
                <w:kern w:val="0"/>
                <w:sz w:val="15"/>
                <w:szCs w:val="15"/>
              </w:rPr>
              <w:t>2.161</w:t>
            </w:r>
          </w:p>
        </w:tc>
        <w:tc>
          <w:tcPr>
            <w:tcW w:w="674" w:type="dxa"/>
            <w:tcBorders>
              <w:tl2br w:val="nil"/>
              <w:tr2bl w:val="nil"/>
            </w:tcBorders>
            <w:noWrap w:val="0"/>
            <w:vAlign w:val="center"/>
          </w:tcPr>
          <w:p>
            <w:pPr>
              <w:widowControl/>
              <w:jc w:val="center"/>
              <w:rPr>
                <w:kern w:val="0"/>
                <w:sz w:val="15"/>
                <w:szCs w:val="15"/>
              </w:rPr>
            </w:pPr>
            <w:r>
              <w:rPr>
                <w:kern w:val="0"/>
                <w:sz w:val="15"/>
                <w:szCs w:val="15"/>
              </w:rPr>
              <w:t>2.85</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jc w:val="center"/>
        </w:trPr>
        <w:tc>
          <w:tcPr>
            <w:tcW w:w="483" w:type="dxa"/>
            <w:vMerge w:val="continue"/>
            <w:tcBorders>
              <w:tl2br w:val="nil"/>
              <w:tr2bl w:val="nil"/>
            </w:tcBorders>
            <w:noWrap w:val="0"/>
            <w:vAlign w:val="center"/>
          </w:tcPr>
          <w:p>
            <w:pPr>
              <w:widowControl/>
              <w:jc w:val="center"/>
              <w:rPr>
                <w:rFonts w:ascii="宋体" w:hAnsi="宋体" w:cs="宋体"/>
                <w:kern w:val="0"/>
                <w:sz w:val="15"/>
                <w:szCs w:val="15"/>
              </w:rPr>
            </w:pPr>
          </w:p>
        </w:tc>
        <w:tc>
          <w:tcPr>
            <w:tcW w:w="614" w:type="dxa"/>
            <w:vMerge w:val="continue"/>
            <w:tcBorders>
              <w:tl2br w:val="nil"/>
              <w:tr2bl w:val="nil"/>
            </w:tcBorders>
            <w:noWrap w:val="0"/>
            <w:vAlign w:val="center"/>
          </w:tcPr>
          <w:p>
            <w:pPr>
              <w:widowControl/>
              <w:jc w:val="center"/>
              <w:rPr>
                <w:rFonts w:ascii="宋体" w:hAnsi="宋体" w:cs="宋体"/>
                <w:kern w:val="0"/>
                <w:sz w:val="15"/>
                <w:szCs w:val="15"/>
              </w:rPr>
            </w:pPr>
          </w:p>
        </w:tc>
        <w:tc>
          <w:tcPr>
            <w:tcW w:w="1108" w:type="dxa"/>
            <w:tcBorders>
              <w:tl2br w:val="nil"/>
              <w:tr2bl w:val="nil"/>
            </w:tcBorders>
            <w:noWrap w:val="0"/>
            <w:vAlign w:val="center"/>
          </w:tcPr>
          <w:p>
            <w:pPr>
              <w:widowControl/>
              <w:jc w:val="center"/>
              <w:rPr>
                <w:rFonts w:ascii="宋体" w:hAnsi="宋体" w:cs="宋体"/>
                <w:kern w:val="0"/>
                <w:sz w:val="15"/>
                <w:szCs w:val="15"/>
              </w:rPr>
            </w:pPr>
            <w:r>
              <w:rPr>
                <w:rFonts w:hint="eastAsia" w:ascii="宋体" w:hAnsi="宋体" w:cs="宋体"/>
                <w:kern w:val="0"/>
                <w:sz w:val="15"/>
                <w:szCs w:val="15"/>
              </w:rPr>
              <w:t>治螟磷</w:t>
            </w:r>
          </w:p>
        </w:tc>
        <w:tc>
          <w:tcPr>
            <w:tcW w:w="677" w:type="dxa"/>
            <w:tcBorders>
              <w:tl2br w:val="nil"/>
              <w:tr2bl w:val="nil"/>
            </w:tcBorders>
            <w:noWrap w:val="0"/>
            <w:vAlign w:val="center"/>
          </w:tcPr>
          <w:p>
            <w:pPr>
              <w:widowControl/>
              <w:jc w:val="center"/>
              <w:rPr>
                <w:kern w:val="0"/>
                <w:sz w:val="15"/>
                <w:szCs w:val="15"/>
              </w:rPr>
            </w:pPr>
            <w:r>
              <w:rPr>
                <w:kern w:val="0"/>
                <w:sz w:val="15"/>
                <w:szCs w:val="15"/>
              </w:rPr>
              <w:t>2.156</w:t>
            </w:r>
          </w:p>
        </w:tc>
        <w:tc>
          <w:tcPr>
            <w:tcW w:w="674" w:type="dxa"/>
            <w:tcBorders>
              <w:tl2br w:val="nil"/>
              <w:tr2bl w:val="nil"/>
            </w:tcBorders>
            <w:noWrap w:val="0"/>
            <w:vAlign w:val="center"/>
          </w:tcPr>
          <w:p>
            <w:pPr>
              <w:widowControl/>
              <w:jc w:val="center"/>
              <w:rPr>
                <w:kern w:val="0"/>
                <w:sz w:val="15"/>
                <w:szCs w:val="15"/>
              </w:rPr>
            </w:pPr>
            <w:r>
              <w:rPr>
                <w:kern w:val="0"/>
                <w:sz w:val="15"/>
                <w:szCs w:val="15"/>
              </w:rPr>
              <w:t>2.298</w:t>
            </w:r>
          </w:p>
        </w:tc>
        <w:tc>
          <w:tcPr>
            <w:tcW w:w="675" w:type="dxa"/>
            <w:tcBorders>
              <w:tl2br w:val="nil"/>
              <w:tr2bl w:val="nil"/>
            </w:tcBorders>
            <w:noWrap w:val="0"/>
            <w:vAlign w:val="center"/>
          </w:tcPr>
          <w:p>
            <w:pPr>
              <w:widowControl/>
              <w:jc w:val="center"/>
              <w:rPr>
                <w:kern w:val="0"/>
                <w:sz w:val="15"/>
                <w:szCs w:val="15"/>
              </w:rPr>
            </w:pPr>
            <w:r>
              <w:rPr>
                <w:kern w:val="0"/>
                <w:sz w:val="15"/>
                <w:szCs w:val="15"/>
              </w:rPr>
              <w:t>2.209</w:t>
            </w:r>
          </w:p>
        </w:tc>
        <w:tc>
          <w:tcPr>
            <w:tcW w:w="674" w:type="dxa"/>
            <w:tcBorders>
              <w:tl2br w:val="nil"/>
              <w:tr2bl w:val="nil"/>
            </w:tcBorders>
            <w:noWrap w:val="0"/>
            <w:vAlign w:val="center"/>
          </w:tcPr>
          <w:p>
            <w:pPr>
              <w:widowControl/>
              <w:jc w:val="center"/>
              <w:rPr>
                <w:kern w:val="0"/>
                <w:sz w:val="15"/>
                <w:szCs w:val="15"/>
              </w:rPr>
            </w:pPr>
            <w:r>
              <w:rPr>
                <w:kern w:val="0"/>
                <w:sz w:val="15"/>
                <w:szCs w:val="15"/>
              </w:rPr>
              <w:t>2.446</w:t>
            </w:r>
          </w:p>
        </w:tc>
        <w:tc>
          <w:tcPr>
            <w:tcW w:w="674" w:type="dxa"/>
            <w:tcBorders>
              <w:tl2br w:val="nil"/>
              <w:tr2bl w:val="nil"/>
            </w:tcBorders>
            <w:noWrap w:val="0"/>
            <w:vAlign w:val="center"/>
          </w:tcPr>
          <w:p>
            <w:pPr>
              <w:widowControl/>
              <w:jc w:val="center"/>
              <w:rPr>
                <w:kern w:val="0"/>
                <w:sz w:val="15"/>
                <w:szCs w:val="15"/>
              </w:rPr>
            </w:pPr>
            <w:r>
              <w:rPr>
                <w:kern w:val="0"/>
                <w:sz w:val="15"/>
                <w:szCs w:val="15"/>
              </w:rPr>
              <w:t>2.443</w:t>
            </w:r>
          </w:p>
        </w:tc>
        <w:tc>
          <w:tcPr>
            <w:tcW w:w="676" w:type="dxa"/>
            <w:tcBorders>
              <w:tl2br w:val="nil"/>
              <w:tr2bl w:val="nil"/>
            </w:tcBorders>
            <w:noWrap w:val="0"/>
            <w:vAlign w:val="center"/>
          </w:tcPr>
          <w:p>
            <w:pPr>
              <w:widowControl/>
              <w:jc w:val="center"/>
              <w:rPr>
                <w:kern w:val="0"/>
                <w:sz w:val="15"/>
                <w:szCs w:val="15"/>
              </w:rPr>
            </w:pPr>
            <w:r>
              <w:rPr>
                <w:kern w:val="0"/>
                <w:sz w:val="15"/>
                <w:szCs w:val="15"/>
              </w:rPr>
              <w:t>2.429</w:t>
            </w:r>
          </w:p>
        </w:tc>
        <w:tc>
          <w:tcPr>
            <w:tcW w:w="675" w:type="dxa"/>
            <w:tcBorders>
              <w:tl2br w:val="nil"/>
              <w:tr2bl w:val="nil"/>
            </w:tcBorders>
            <w:noWrap w:val="0"/>
            <w:vAlign w:val="center"/>
          </w:tcPr>
          <w:p>
            <w:pPr>
              <w:widowControl/>
              <w:jc w:val="center"/>
              <w:rPr>
                <w:kern w:val="0"/>
                <w:sz w:val="15"/>
                <w:szCs w:val="15"/>
              </w:rPr>
            </w:pPr>
            <w:r>
              <w:rPr>
                <w:kern w:val="0"/>
                <w:sz w:val="15"/>
                <w:szCs w:val="15"/>
              </w:rPr>
              <w:t>2.370</w:t>
            </w:r>
          </w:p>
        </w:tc>
        <w:tc>
          <w:tcPr>
            <w:tcW w:w="676" w:type="dxa"/>
            <w:tcBorders>
              <w:tl2br w:val="nil"/>
              <w:tr2bl w:val="nil"/>
            </w:tcBorders>
            <w:noWrap w:val="0"/>
            <w:vAlign w:val="center"/>
          </w:tcPr>
          <w:p>
            <w:pPr>
              <w:widowControl/>
              <w:jc w:val="center"/>
              <w:rPr>
                <w:kern w:val="0"/>
                <w:sz w:val="15"/>
                <w:szCs w:val="15"/>
              </w:rPr>
            </w:pPr>
            <w:r>
              <w:rPr>
                <w:kern w:val="0"/>
                <w:sz w:val="15"/>
                <w:szCs w:val="15"/>
              </w:rPr>
              <w:t>2.366</w:t>
            </w:r>
          </w:p>
        </w:tc>
        <w:tc>
          <w:tcPr>
            <w:tcW w:w="674" w:type="dxa"/>
            <w:tcBorders>
              <w:tl2br w:val="nil"/>
              <w:tr2bl w:val="nil"/>
            </w:tcBorders>
            <w:noWrap w:val="0"/>
            <w:vAlign w:val="center"/>
          </w:tcPr>
          <w:p>
            <w:pPr>
              <w:widowControl/>
              <w:jc w:val="center"/>
              <w:rPr>
                <w:kern w:val="0"/>
                <w:sz w:val="15"/>
                <w:szCs w:val="15"/>
              </w:rPr>
            </w:pPr>
            <w:r>
              <w:rPr>
                <w:kern w:val="0"/>
                <w:sz w:val="15"/>
                <w:szCs w:val="15"/>
              </w:rPr>
              <w:t>4.03</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jc w:val="center"/>
        </w:trPr>
        <w:tc>
          <w:tcPr>
            <w:tcW w:w="483" w:type="dxa"/>
            <w:vMerge w:val="continue"/>
            <w:tcBorders>
              <w:tl2br w:val="nil"/>
              <w:tr2bl w:val="nil"/>
            </w:tcBorders>
            <w:noWrap w:val="0"/>
            <w:vAlign w:val="center"/>
          </w:tcPr>
          <w:p>
            <w:pPr>
              <w:widowControl/>
              <w:jc w:val="center"/>
              <w:rPr>
                <w:rFonts w:ascii="宋体" w:hAnsi="宋体" w:cs="宋体"/>
                <w:kern w:val="0"/>
                <w:sz w:val="15"/>
                <w:szCs w:val="15"/>
              </w:rPr>
            </w:pPr>
          </w:p>
        </w:tc>
        <w:tc>
          <w:tcPr>
            <w:tcW w:w="614" w:type="dxa"/>
            <w:vMerge w:val="continue"/>
            <w:tcBorders>
              <w:tl2br w:val="nil"/>
              <w:tr2bl w:val="nil"/>
            </w:tcBorders>
            <w:noWrap w:val="0"/>
            <w:vAlign w:val="center"/>
          </w:tcPr>
          <w:p>
            <w:pPr>
              <w:widowControl/>
              <w:jc w:val="center"/>
              <w:rPr>
                <w:rFonts w:ascii="宋体" w:hAnsi="宋体" w:cs="宋体"/>
                <w:kern w:val="0"/>
                <w:sz w:val="15"/>
                <w:szCs w:val="15"/>
              </w:rPr>
            </w:pPr>
          </w:p>
        </w:tc>
        <w:tc>
          <w:tcPr>
            <w:tcW w:w="1108" w:type="dxa"/>
            <w:tcBorders>
              <w:tl2br w:val="nil"/>
              <w:tr2bl w:val="nil"/>
            </w:tcBorders>
            <w:noWrap w:val="0"/>
            <w:vAlign w:val="center"/>
          </w:tcPr>
          <w:p>
            <w:pPr>
              <w:widowControl/>
              <w:jc w:val="center"/>
              <w:rPr>
                <w:rFonts w:ascii="宋体" w:hAnsi="宋体" w:cs="宋体"/>
                <w:kern w:val="0"/>
                <w:sz w:val="15"/>
                <w:szCs w:val="15"/>
              </w:rPr>
            </w:pPr>
            <w:r>
              <w:rPr>
                <w:rFonts w:hint="eastAsia" w:ascii="宋体" w:hAnsi="宋体" w:cs="宋体"/>
                <w:kern w:val="0"/>
                <w:sz w:val="15"/>
                <w:szCs w:val="15"/>
              </w:rPr>
              <w:t>氧乐果</w:t>
            </w:r>
          </w:p>
        </w:tc>
        <w:tc>
          <w:tcPr>
            <w:tcW w:w="677" w:type="dxa"/>
            <w:tcBorders>
              <w:tl2br w:val="nil"/>
              <w:tr2bl w:val="nil"/>
            </w:tcBorders>
            <w:noWrap w:val="0"/>
            <w:vAlign w:val="center"/>
          </w:tcPr>
          <w:p>
            <w:pPr>
              <w:widowControl/>
              <w:jc w:val="center"/>
              <w:rPr>
                <w:kern w:val="0"/>
                <w:sz w:val="15"/>
                <w:szCs w:val="15"/>
              </w:rPr>
            </w:pPr>
            <w:r>
              <w:rPr>
                <w:kern w:val="0"/>
                <w:sz w:val="15"/>
                <w:szCs w:val="15"/>
              </w:rPr>
              <w:t>1.852</w:t>
            </w:r>
          </w:p>
        </w:tc>
        <w:tc>
          <w:tcPr>
            <w:tcW w:w="674" w:type="dxa"/>
            <w:tcBorders>
              <w:tl2br w:val="nil"/>
              <w:tr2bl w:val="nil"/>
            </w:tcBorders>
            <w:noWrap w:val="0"/>
            <w:vAlign w:val="center"/>
          </w:tcPr>
          <w:p>
            <w:pPr>
              <w:widowControl/>
              <w:jc w:val="center"/>
              <w:rPr>
                <w:kern w:val="0"/>
                <w:sz w:val="15"/>
                <w:szCs w:val="15"/>
              </w:rPr>
            </w:pPr>
            <w:r>
              <w:rPr>
                <w:kern w:val="0"/>
                <w:sz w:val="15"/>
                <w:szCs w:val="15"/>
              </w:rPr>
              <w:t>2.589</w:t>
            </w:r>
          </w:p>
        </w:tc>
        <w:tc>
          <w:tcPr>
            <w:tcW w:w="675" w:type="dxa"/>
            <w:tcBorders>
              <w:tl2br w:val="nil"/>
              <w:tr2bl w:val="nil"/>
            </w:tcBorders>
            <w:noWrap w:val="0"/>
            <w:vAlign w:val="center"/>
          </w:tcPr>
          <w:p>
            <w:pPr>
              <w:widowControl/>
              <w:jc w:val="center"/>
              <w:rPr>
                <w:kern w:val="0"/>
                <w:sz w:val="15"/>
                <w:szCs w:val="15"/>
              </w:rPr>
            </w:pPr>
            <w:r>
              <w:rPr>
                <w:kern w:val="0"/>
                <w:sz w:val="15"/>
                <w:szCs w:val="15"/>
              </w:rPr>
              <w:t>2.699</w:t>
            </w:r>
          </w:p>
        </w:tc>
        <w:tc>
          <w:tcPr>
            <w:tcW w:w="674" w:type="dxa"/>
            <w:tcBorders>
              <w:tl2br w:val="nil"/>
              <w:tr2bl w:val="nil"/>
            </w:tcBorders>
            <w:noWrap w:val="0"/>
            <w:vAlign w:val="center"/>
          </w:tcPr>
          <w:p>
            <w:pPr>
              <w:widowControl/>
              <w:jc w:val="center"/>
              <w:rPr>
                <w:kern w:val="0"/>
                <w:sz w:val="15"/>
                <w:szCs w:val="15"/>
              </w:rPr>
            </w:pPr>
            <w:r>
              <w:rPr>
                <w:kern w:val="0"/>
                <w:sz w:val="15"/>
                <w:szCs w:val="15"/>
              </w:rPr>
              <w:t>2.389</w:t>
            </w:r>
          </w:p>
        </w:tc>
        <w:tc>
          <w:tcPr>
            <w:tcW w:w="674" w:type="dxa"/>
            <w:tcBorders>
              <w:tl2br w:val="nil"/>
              <w:tr2bl w:val="nil"/>
            </w:tcBorders>
            <w:noWrap w:val="0"/>
            <w:vAlign w:val="center"/>
          </w:tcPr>
          <w:p>
            <w:pPr>
              <w:widowControl/>
              <w:jc w:val="center"/>
              <w:rPr>
                <w:kern w:val="0"/>
                <w:sz w:val="15"/>
                <w:szCs w:val="15"/>
              </w:rPr>
            </w:pPr>
            <w:r>
              <w:rPr>
                <w:kern w:val="0"/>
                <w:sz w:val="15"/>
                <w:szCs w:val="15"/>
              </w:rPr>
              <w:t>2.570</w:t>
            </w:r>
          </w:p>
        </w:tc>
        <w:tc>
          <w:tcPr>
            <w:tcW w:w="676" w:type="dxa"/>
            <w:tcBorders>
              <w:tl2br w:val="nil"/>
              <w:tr2bl w:val="nil"/>
            </w:tcBorders>
            <w:noWrap w:val="0"/>
            <w:vAlign w:val="center"/>
          </w:tcPr>
          <w:p>
            <w:pPr>
              <w:widowControl/>
              <w:jc w:val="center"/>
              <w:rPr>
                <w:kern w:val="0"/>
                <w:sz w:val="15"/>
                <w:szCs w:val="15"/>
              </w:rPr>
            </w:pPr>
            <w:r>
              <w:rPr>
                <w:kern w:val="0"/>
                <w:sz w:val="15"/>
                <w:szCs w:val="15"/>
              </w:rPr>
              <w:t>2.338</w:t>
            </w:r>
          </w:p>
        </w:tc>
        <w:tc>
          <w:tcPr>
            <w:tcW w:w="675" w:type="dxa"/>
            <w:tcBorders>
              <w:tl2br w:val="nil"/>
              <w:tr2bl w:val="nil"/>
            </w:tcBorders>
            <w:noWrap w:val="0"/>
            <w:vAlign w:val="center"/>
          </w:tcPr>
          <w:p>
            <w:pPr>
              <w:widowControl/>
              <w:jc w:val="center"/>
              <w:rPr>
                <w:kern w:val="0"/>
                <w:sz w:val="15"/>
                <w:szCs w:val="15"/>
              </w:rPr>
            </w:pPr>
            <w:r>
              <w:rPr>
                <w:kern w:val="0"/>
                <w:sz w:val="15"/>
                <w:szCs w:val="15"/>
              </w:rPr>
              <w:t>2.370</w:t>
            </w:r>
          </w:p>
        </w:tc>
        <w:tc>
          <w:tcPr>
            <w:tcW w:w="676" w:type="dxa"/>
            <w:tcBorders>
              <w:tl2br w:val="nil"/>
              <w:tr2bl w:val="nil"/>
            </w:tcBorders>
            <w:noWrap w:val="0"/>
            <w:vAlign w:val="center"/>
          </w:tcPr>
          <w:p>
            <w:pPr>
              <w:widowControl/>
              <w:jc w:val="center"/>
              <w:rPr>
                <w:kern w:val="0"/>
                <w:sz w:val="15"/>
                <w:szCs w:val="15"/>
              </w:rPr>
            </w:pPr>
            <w:r>
              <w:rPr>
                <w:kern w:val="0"/>
                <w:sz w:val="15"/>
                <w:szCs w:val="15"/>
              </w:rPr>
              <w:t>2.493</w:t>
            </w:r>
          </w:p>
        </w:tc>
        <w:tc>
          <w:tcPr>
            <w:tcW w:w="674" w:type="dxa"/>
            <w:tcBorders>
              <w:tl2br w:val="nil"/>
              <w:tr2bl w:val="nil"/>
            </w:tcBorders>
            <w:noWrap w:val="0"/>
            <w:vAlign w:val="center"/>
          </w:tcPr>
          <w:p>
            <w:pPr>
              <w:widowControl/>
              <w:jc w:val="center"/>
              <w:rPr>
                <w:kern w:val="0"/>
                <w:sz w:val="15"/>
                <w:szCs w:val="15"/>
              </w:rPr>
            </w:pPr>
            <w:r>
              <w:rPr>
                <w:kern w:val="0"/>
                <w:sz w:val="15"/>
                <w:szCs w:val="15"/>
              </w:rPr>
              <w:t>5.88</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jc w:val="center"/>
        </w:trPr>
        <w:tc>
          <w:tcPr>
            <w:tcW w:w="483" w:type="dxa"/>
            <w:vMerge w:val="continue"/>
            <w:tcBorders>
              <w:tl2br w:val="nil"/>
              <w:tr2bl w:val="nil"/>
            </w:tcBorders>
            <w:noWrap w:val="0"/>
            <w:vAlign w:val="center"/>
          </w:tcPr>
          <w:p>
            <w:pPr>
              <w:widowControl/>
              <w:jc w:val="center"/>
              <w:rPr>
                <w:rFonts w:ascii="宋体" w:hAnsi="宋体" w:cs="宋体"/>
                <w:kern w:val="0"/>
                <w:sz w:val="15"/>
                <w:szCs w:val="15"/>
              </w:rPr>
            </w:pPr>
          </w:p>
        </w:tc>
        <w:tc>
          <w:tcPr>
            <w:tcW w:w="614" w:type="dxa"/>
            <w:vMerge w:val="continue"/>
            <w:tcBorders>
              <w:tl2br w:val="nil"/>
              <w:tr2bl w:val="nil"/>
            </w:tcBorders>
            <w:noWrap w:val="0"/>
            <w:vAlign w:val="center"/>
          </w:tcPr>
          <w:p>
            <w:pPr>
              <w:widowControl/>
              <w:jc w:val="center"/>
              <w:rPr>
                <w:rFonts w:ascii="宋体" w:hAnsi="宋体" w:cs="宋体"/>
                <w:kern w:val="0"/>
                <w:sz w:val="15"/>
                <w:szCs w:val="15"/>
              </w:rPr>
            </w:pPr>
          </w:p>
        </w:tc>
        <w:tc>
          <w:tcPr>
            <w:tcW w:w="1108" w:type="dxa"/>
            <w:tcBorders>
              <w:tl2br w:val="nil"/>
              <w:tr2bl w:val="nil"/>
            </w:tcBorders>
            <w:noWrap w:val="0"/>
            <w:vAlign w:val="center"/>
          </w:tcPr>
          <w:p>
            <w:pPr>
              <w:widowControl/>
              <w:jc w:val="center"/>
              <w:rPr>
                <w:rFonts w:ascii="宋体" w:hAnsi="宋体" w:cs="宋体"/>
                <w:kern w:val="0"/>
                <w:sz w:val="15"/>
                <w:szCs w:val="15"/>
              </w:rPr>
            </w:pPr>
            <w:r>
              <w:rPr>
                <w:rFonts w:hint="eastAsia" w:ascii="宋体" w:hAnsi="宋体" w:cs="宋体"/>
                <w:kern w:val="0"/>
                <w:sz w:val="15"/>
                <w:szCs w:val="15"/>
              </w:rPr>
              <w:t>特丁硫磷</w:t>
            </w:r>
          </w:p>
        </w:tc>
        <w:tc>
          <w:tcPr>
            <w:tcW w:w="677" w:type="dxa"/>
            <w:tcBorders>
              <w:tl2br w:val="nil"/>
              <w:tr2bl w:val="nil"/>
            </w:tcBorders>
            <w:noWrap w:val="0"/>
            <w:vAlign w:val="center"/>
          </w:tcPr>
          <w:p>
            <w:pPr>
              <w:widowControl/>
              <w:jc w:val="center"/>
              <w:rPr>
                <w:kern w:val="0"/>
                <w:sz w:val="15"/>
                <w:szCs w:val="15"/>
              </w:rPr>
            </w:pPr>
            <w:r>
              <w:rPr>
                <w:kern w:val="0"/>
                <w:sz w:val="15"/>
                <w:szCs w:val="15"/>
              </w:rPr>
              <w:t>0.102</w:t>
            </w:r>
          </w:p>
        </w:tc>
        <w:tc>
          <w:tcPr>
            <w:tcW w:w="674" w:type="dxa"/>
            <w:tcBorders>
              <w:tl2br w:val="nil"/>
              <w:tr2bl w:val="nil"/>
            </w:tcBorders>
            <w:noWrap w:val="0"/>
            <w:vAlign w:val="center"/>
          </w:tcPr>
          <w:p>
            <w:pPr>
              <w:widowControl/>
              <w:jc w:val="center"/>
              <w:rPr>
                <w:kern w:val="0"/>
                <w:sz w:val="15"/>
                <w:szCs w:val="15"/>
              </w:rPr>
            </w:pPr>
            <w:r>
              <w:rPr>
                <w:kern w:val="0"/>
                <w:sz w:val="15"/>
                <w:szCs w:val="15"/>
              </w:rPr>
              <w:t>2.272</w:t>
            </w:r>
          </w:p>
        </w:tc>
        <w:tc>
          <w:tcPr>
            <w:tcW w:w="675" w:type="dxa"/>
            <w:tcBorders>
              <w:tl2br w:val="nil"/>
              <w:tr2bl w:val="nil"/>
            </w:tcBorders>
            <w:noWrap w:val="0"/>
            <w:vAlign w:val="center"/>
          </w:tcPr>
          <w:p>
            <w:pPr>
              <w:widowControl/>
              <w:jc w:val="center"/>
              <w:rPr>
                <w:kern w:val="0"/>
                <w:sz w:val="15"/>
                <w:szCs w:val="15"/>
              </w:rPr>
            </w:pPr>
            <w:r>
              <w:rPr>
                <w:kern w:val="0"/>
                <w:sz w:val="15"/>
                <w:szCs w:val="15"/>
              </w:rPr>
              <w:t>2.204</w:t>
            </w:r>
          </w:p>
        </w:tc>
        <w:tc>
          <w:tcPr>
            <w:tcW w:w="674" w:type="dxa"/>
            <w:tcBorders>
              <w:tl2br w:val="nil"/>
              <w:tr2bl w:val="nil"/>
            </w:tcBorders>
            <w:noWrap w:val="0"/>
            <w:vAlign w:val="center"/>
          </w:tcPr>
          <w:p>
            <w:pPr>
              <w:widowControl/>
              <w:jc w:val="center"/>
              <w:rPr>
                <w:kern w:val="0"/>
                <w:sz w:val="15"/>
                <w:szCs w:val="15"/>
              </w:rPr>
            </w:pPr>
            <w:r>
              <w:rPr>
                <w:kern w:val="0"/>
                <w:sz w:val="15"/>
                <w:szCs w:val="15"/>
              </w:rPr>
              <w:t>2.112</w:t>
            </w:r>
          </w:p>
        </w:tc>
        <w:tc>
          <w:tcPr>
            <w:tcW w:w="674" w:type="dxa"/>
            <w:tcBorders>
              <w:tl2br w:val="nil"/>
              <w:tr2bl w:val="nil"/>
            </w:tcBorders>
            <w:noWrap w:val="0"/>
            <w:vAlign w:val="center"/>
          </w:tcPr>
          <w:p>
            <w:pPr>
              <w:widowControl/>
              <w:jc w:val="center"/>
              <w:rPr>
                <w:kern w:val="0"/>
                <w:sz w:val="15"/>
                <w:szCs w:val="15"/>
              </w:rPr>
            </w:pPr>
            <w:r>
              <w:rPr>
                <w:kern w:val="0"/>
                <w:sz w:val="15"/>
                <w:szCs w:val="15"/>
              </w:rPr>
              <w:t>2.037</w:t>
            </w:r>
          </w:p>
        </w:tc>
        <w:tc>
          <w:tcPr>
            <w:tcW w:w="676" w:type="dxa"/>
            <w:tcBorders>
              <w:tl2br w:val="nil"/>
              <w:tr2bl w:val="nil"/>
            </w:tcBorders>
            <w:noWrap w:val="0"/>
            <w:vAlign w:val="center"/>
          </w:tcPr>
          <w:p>
            <w:pPr>
              <w:widowControl/>
              <w:jc w:val="center"/>
              <w:rPr>
                <w:kern w:val="0"/>
                <w:sz w:val="15"/>
                <w:szCs w:val="15"/>
              </w:rPr>
            </w:pPr>
            <w:r>
              <w:rPr>
                <w:kern w:val="0"/>
                <w:sz w:val="15"/>
                <w:szCs w:val="15"/>
              </w:rPr>
              <w:t>2.110</w:t>
            </w:r>
          </w:p>
        </w:tc>
        <w:tc>
          <w:tcPr>
            <w:tcW w:w="675" w:type="dxa"/>
            <w:tcBorders>
              <w:tl2br w:val="nil"/>
              <w:tr2bl w:val="nil"/>
            </w:tcBorders>
            <w:noWrap w:val="0"/>
            <w:vAlign w:val="center"/>
          </w:tcPr>
          <w:p>
            <w:pPr>
              <w:widowControl/>
              <w:jc w:val="center"/>
              <w:rPr>
                <w:kern w:val="0"/>
                <w:sz w:val="15"/>
                <w:szCs w:val="15"/>
              </w:rPr>
            </w:pPr>
            <w:r>
              <w:rPr>
                <w:kern w:val="0"/>
                <w:sz w:val="15"/>
                <w:szCs w:val="15"/>
              </w:rPr>
              <w:t>2.268</w:t>
            </w:r>
          </w:p>
        </w:tc>
        <w:tc>
          <w:tcPr>
            <w:tcW w:w="676" w:type="dxa"/>
            <w:tcBorders>
              <w:tl2br w:val="nil"/>
              <w:tr2bl w:val="nil"/>
            </w:tcBorders>
            <w:noWrap w:val="0"/>
            <w:vAlign w:val="center"/>
          </w:tcPr>
          <w:p>
            <w:pPr>
              <w:widowControl/>
              <w:jc w:val="center"/>
              <w:rPr>
                <w:kern w:val="0"/>
                <w:sz w:val="15"/>
                <w:szCs w:val="15"/>
              </w:rPr>
            </w:pPr>
            <w:r>
              <w:rPr>
                <w:kern w:val="0"/>
                <w:sz w:val="15"/>
                <w:szCs w:val="15"/>
              </w:rPr>
              <w:t>2.167</w:t>
            </w:r>
          </w:p>
        </w:tc>
        <w:tc>
          <w:tcPr>
            <w:tcW w:w="674" w:type="dxa"/>
            <w:tcBorders>
              <w:tl2br w:val="nil"/>
              <w:tr2bl w:val="nil"/>
            </w:tcBorders>
            <w:noWrap w:val="0"/>
            <w:vAlign w:val="center"/>
          </w:tcPr>
          <w:p>
            <w:pPr>
              <w:widowControl/>
              <w:jc w:val="center"/>
              <w:rPr>
                <w:kern w:val="0"/>
                <w:sz w:val="15"/>
                <w:szCs w:val="15"/>
              </w:rPr>
            </w:pPr>
            <w:r>
              <w:rPr>
                <w:kern w:val="0"/>
                <w:sz w:val="15"/>
                <w:szCs w:val="15"/>
              </w:rPr>
              <w:t>4.41</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jc w:val="center"/>
        </w:trPr>
        <w:tc>
          <w:tcPr>
            <w:tcW w:w="483" w:type="dxa"/>
            <w:vMerge w:val="continue"/>
            <w:tcBorders>
              <w:tl2br w:val="nil"/>
              <w:tr2bl w:val="nil"/>
            </w:tcBorders>
            <w:noWrap w:val="0"/>
            <w:vAlign w:val="center"/>
          </w:tcPr>
          <w:p>
            <w:pPr>
              <w:widowControl/>
              <w:jc w:val="center"/>
              <w:rPr>
                <w:rFonts w:ascii="宋体" w:hAnsi="宋体" w:cs="宋体"/>
                <w:kern w:val="0"/>
                <w:sz w:val="15"/>
                <w:szCs w:val="15"/>
              </w:rPr>
            </w:pPr>
          </w:p>
        </w:tc>
        <w:tc>
          <w:tcPr>
            <w:tcW w:w="614" w:type="dxa"/>
            <w:vMerge w:val="continue"/>
            <w:tcBorders>
              <w:tl2br w:val="nil"/>
              <w:tr2bl w:val="nil"/>
            </w:tcBorders>
            <w:noWrap w:val="0"/>
            <w:vAlign w:val="center"/>
          </w:tcPr>
          <w:p>
            <w:pPr>
              <w:widowControl/>
              <w:jc w:val="center"/>
              <w:rPr>
                <w:rFonts w:ascii="宋体" w:hAnsi="宋体" w:cs="宋体"/>
                <w:kern w:val="0"/>
                <w:sz w:val="15"/>
                <w:szCs w:val="15"/>
              </w:rPr>
            </w:pPr>
          </w:p>
        </w:tc>
        <w:tc>
          <w:tcPr>
            <w:tcW w:w="1108" w:type="dxa"/>
            <w:tcBorders>
              <w:tl2br w:val="nil"/>
              <w:tr2bl w:val="nil"/>
            </w:tcBorders>
            <w:noWrap w:val="0"/>
            <w:vAlign w:val="center"/>
          </w:tcPr>
          <w:p>
            <w:pPr>
              <w:widowControl/>
              <w:jc w:val="center"/>
              <w:rPr>
                <w:rFonts w:ascii="宋体" w:hAnsi="宋体" w:cs="宋体"/>
                <w:kern w:val="0"/>
                <w:sz w:val="15"/>
                <w:szCs w:val="15"/>
              </w:rPr>
            </w:pPr>
            <w:r>
              <w:rPr>
                <w:rFonts w:hint="eastAsia" w:ascii="宋体" w:hAnsi="宋体" w:cs="宋体"/>
                <w:kern w:val="0"/>
                <w:sz w:val="15"/>
                <w:szCs w:val="15"/>
              </w:rPr>
              <w:t>久效磷</w:t>
            </w:r>
          </w:p>
        </w:tc>
        <w:tc>
          <w:tcPr>
            <w:tcW w:w="677" w:type="dxa"/>
            <w:tcBorders>
              <w:tl2br w:val="nil"/>
              <w:tr2bl w:val="nil"/>
            </w:tcBorders>
            <w:noWrap w:val="0"/>
            <w:vAlign w:val="center"/>
          </w:tcPr>
          <w:p>
            <w:pPr>
              <w:widowControl/>
              <w:jc w:val="center"/>
              <w:rPr>
                <w:kern w:val="0"/>
                <w:sz w:val="15"/>
                <w:szCs w:val="15"/>
              </w:rPr>
            </w:pPr>
            <w:r>
              <w:rPr>
                <w:kern w:val="0"/>
                <w:sz w:val="15"/>
                <w:szCs w:val="15"/>
              </w:rPr>
              <w:t>2.256</w:t>
            </w:r>
          </w:p>
        </w:tc>
        <w:tc>
          <w:tcPr>
            <w:tcW w:w="674" w:type="dxa"/>
            <w:tcBorders>
              <w:tl2br w:val="nil"/>
              <w:tr2bl w:val="nil"/>
            </w:tcBorders>
            <w:noWrap w:val="0"/>
            <w:vAlign w:val="center"/>
          </w:tcPr>
          <w:p>
            <w:pPr>
              <w:widowControl/>
              <w:jc w:val="center"/>
              <w:rPr>
                <w:kern w:val="0"/>
                <w:sz w:val="15"/>
                <w:szCs w:val="15"/>
              </w:rPr>
            </w:pPr>
            <w:r>
              <w:rPr>
                <w:kern w:val="0"/>
                <w:sz w:val="15"/>
                <w:szCs w:val="15"/>
              </w:rPr>
              <w:t>2.346</w:t>
            </w:r>
          </w:p>
        </w:tc>
        <w:tc>
          <w:tcPr>
            <w:tcW w:w="675" w:type="dxa"/>
            <w:tcBorders>
              <w:tl2br w:val="nil"/>
              <w:tr2bl w:val="nil"/>
            </w:tcBorders>
            <w:noWrap w:val="0"/>
            <w:vAlign w:val="center"/>
          </w:tcPr>
          <w:p>
            <w:pPr>
              <w:widowControl/>
              <w:jc w:val="center"/>
              <w:rPr>
                <w:kern w:val="0"/>
                <w:sz w:val="15"/>
                <w:szCs w:val="15"/>
              </w:rPr>
            </w:pPr>
            <w:r>
              <w:rPr>
                <w:kern w:val="0"/>
                <w:sz w:val="15"/>
                <w:szCs w:val="15"/>
              </w:rPr>
              <w:t>2.112</w:t>
            </w:r>
          </w:p>
        </w:tc>
        <w:tc>
          <w:tcPr>
            <w:tcW w:w="674" w:type="dxa"/>
            <w:tcBorders>
              <w:tl2br w:val="nil"/>
              <w:tr2bl w:val="nil"/>
            </w:tcBorders>
            <w:noWrap w:val="0"/>
            <w:vAlign w:val="center"/>
          </w:tcPr>
          <w:p>
            <w:pPr>
              <w:widowControl/>
              <w:jc w:val="center"/>
              <w:rPr>
                <w:kern w:val="0"/>
                <w:sz w:val="15"/>
                <w:szCs w:val="15"/>
              </w:rPr>
            </w:pPr>
            <w:r>
              <w:rPr>
                <w:kern w:val="0"/>
                <w:sz w:val="15"/>
                <w:szCs w:val="15"/>
              </w:rPr>
              <w:t>2.263</w:t>
            </w:r>
          </w:p>
        </w:tc>
        <w:tc>
          <w:tcPr>
            <w:tcW w:w="674" w:type="dxa"/>
            <w:tcBorders>
              <w:tl2br w:val="nil"/>
              <w:tr2bl w:val="nil"/>
            </w:tcBorders>
            <w:noWrap w:val="0"/>
            <w:vAlign w:val="center"/>
          </w:tcPr>
          <w:p>
            <w:pPr>
              <w:widowControl/>
              <w:jc w:val="center"/>
              <w:rPr>
                <w:kern w:val="0"/>
                <w:sz w:val="15"/>
                <w:szCs w:val="15"/>
              </w:rPr>
            </w:pPr>
            <w:r>
              <w:rPr>
                <w:kern w:val="0"/>
                <w:sz w:val="15"/>
                <w:szCs w:val="15"/>
              </w:rPr>
              <w:t>2.164</w:t>
            </w:r>
          </w:p>
        </w:tc>
        <w:tc>
          <w:tcPr>
            <w:tcW w:w="676" w:type="dxa"/>
            <w:tcBorders>
              <w:tl2br w:val="nil"/>
              <w:tr2bl w:val="nil"/>
            </w:tcBorders>
            <w:noWrap w:val="0"/>
            <w:vAlign w:val="center"/>
          </w:tcPr>
          <w:p>
            <w:pPr>
              <w:widowControl/>
              <w:jc w:val="center"/>
              <w:rPr>
                <w:kern w:val="0"/>
                <w:sz w:val="15"/>
                <w:szCs w:val="15"/>
              </w:rPr>
            </w:pPr>
            <w:r>
              <w:rPr>
                <w:kern w:val="0"/>
                <w:sz w:val="15"/>
                <w:szCs w:val="15"/>
              </w:rPr>
              <w:t>2.186</w:t>
            </w:r>
          </w:p>
        </w:tc>
        <w:tc>
          <w:tcPr>
            <w:tcW w:w="675" w:type="dxa"/>
            <w:tcBorders>
              <w:tl2br w:val="nil"/>
              <w:tr2bl w:val="nil"/>
            </w:tcBorders>
            <w:noWrap w:val="0"/>
            <w:vAlign w:val="center"/>
          </w:tcPr>
          <w:p>
            <w:pPr>
              <w:widowControl/>
              <w:jc w:val="center"/>
              <w:rPr>
                <w:kern w:val="0"/>
                <w:sz w:val="15"/>
                <w:szCs w:val="15"/>
              </w:rPr>
            </w:pPr>
            <w:r>
              <w:rPr>
                <w:kern w:val="0"/>
                <w:sz w:val="15"/>
                <w:szCs w:val="15"/>
              </w:rPr>
              <w:t>2.139</w:t>
            </w:r>
          </w:p>
        </w:tc>
        <w:tc>
          <w:tcPr>
            <w:tcW w:w="676" w:type="dxa"/>
            <w:tcBorders>
              <w:tl2br w:val="nil"/>
              <w:tr2bl w:val="nil"/>
            </w:tcBorders>
            <w:noWrap w:val="0"/>
            <w:vAlign w:val="center"/>
          </w:tcPr>
          <w:p>
            <w:pPr>
              <w:widowControl/>
              <w:jc w:val="center"/>
              <w:rPr>
                <w:kern w:val="0"/>
                <w:sz w:val="15"/>
                <w:szCs w:val="15"/>
              </w:rPr>
            </w:pPr>
            <w:r>
              <w:rPr>
                <w:kern w:val="0"/>
                <w:sz w:val="15"/>
                <w:szCs w:val="15"/>
              </w:rPr>
              <w:t>2.202</w:t>
            </w:r>
          </w:p>
        </w:tc>
        <w:tc>
          <w:tcPr>
            <w:tcW w:w="674" w:type="dxa"/>
            <w:tcBorders>
              <w:tl2br w:val="nil"/>
              <w:tr2bl w:val="nil"/>
            </w:tcBorders>
            <w:noWrap w:val="0"/>
            <w:vAlign w:val="center"/>
          </w:tcPr>
          <w:p>
            <w:pPr>
              <w:widowControl/>
              <w:jc w:val="center"/>
              <w:rPr>
                <w:kern w:val="0"/>
                <w:sz w:val="15"/>
                <w:szCs w:val="15"/>
              </w:rPr>
            </w:pPr>
            <w:r>
              <w:rPr>
                <w:kern w:val="0"/>
                <w:sz w:val="15"/>
                <w:szCs w:val="15"/>
              </w:rPr>
              <w:t>3.97</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jc w:val="center"/>
        </w:trPr>
        <w:tc>
          <w:tcPr>
            <w:tcW w:w="483" w:type="dxa"/>
            <w:vMerge w:val="continue"/>
            <w:tcBorders>
              <w:tl2br w:val="nil"/>
              <w:tr2bl w:val="nil"/>
            </w:tcBorders>
            <w:noWrap w:val="0"/>
            <w:vAlign w:val="center"/>
          </w:tcPr>
          <w:p>
            <w:pPr>
              <w:widowControl/>
              <w:jc w:val="center"/>
              <w:rPr>
                <w:rFonts w:ascii="宋体" w:hAnsi="宋体" w:cs="宋体"/>
                <w:kern w:val="0"/>
                <w:sz w:val="15"/>
                <w:szCs w:val="15"/>
              </w:rPr>
            </w:pPr>
          </w:p>
        </w:tc>
        <w:tc>
          <w:tcPr>
            <w:tcW w:w="614" w:type="dxa"/>
            <w:vMerge w:val="continue"/>
            <w:tcBorders>
              <w:tl2br w:val="nil"/>
              <w:tr2bl w:val="nil"/>
            </w:tcBorders>
            <w:noWrap w:val="0"/>
            <w:vAlign w:val="center"/>
          </w:tcPr>
          <w:p>
            <w:pPr>
              <w:widowControl/>
              <w:jc w:val="center"/>
              <w:rPr>
                <w:rFonts w:ascii="宋体" w:hAnsi="宋体" w:cs="宋体"/>
                <w:kern w:val="0"/>
                <w:sz w:val="15"/>
                <w:szCs w:val="15"/>
              </w:rPr>
            </w:pPr>
          </w:p>
        </w:tc>
        <w:tc>
          <w:tcPr>
            <w:tcW w:w="1108" w:type="dxa"/>
            <w:tcBorders>
              <w:tl2br w:val="nil"/>
              <w:tr2bl w:val="nil"/>
            </w:tcBorders>
            <w:noWrap w:val="0"/>
            <w:vAlign w:val="center"/>
          </w:tcPr>
          <w:p>
            <w:pPr>
              <w:widowControl/>
              <w:jc w:val="center"/>
              <w:rPr>
                <w:rFonts w:ascii="宋体" w:hAnsi="宋体" w:cs="宋体"/>
                <w:kern w:val="0"/>
                <w:sz w:val="15"/>
                <w:szCs w:val="15"/>
              </w:rPr>
            </w:pPr>
            <w:r>
              <w:rPr>
                <w:rFonts w:hint="eastAsia" w:ascii="宋体" w:hAnsi="宋体" w:cs="宋体"/>
                <w:kern w:val="0"/>
                <w:sz w:val="15"/>
                <w:szCs w:val="15"/>
              </w:rPr>
              <w:t>甲基对硫磷</w:t>
            </w:r>
          </w:p>
        </w:tc>
        <w:tc>
          <w:tcPr>
            <w:tcW w:w="677" w:type="dxa"/>
            <w:tcBorders>
              <w:tl2br w:val="nil"/>
              <w:tr2bl w:val="nil"/>
            </w:tcBorders>
            <w:noWrap w:val="0"/>
            <w:vAlign w:val="center"/>
          </w:tcPr>
          <w:p>
            <w:pPr>
              <w:widowControl/>
              <w:jc w:val="center"/>
              <w:rPr>
                <w:kern w:val="0"/>
                <w:sz w:val="15"/>
                <w:szCs w:val="15"/>
              </w:rPr>
            </w:pPr>
            <w:r>
              <w:rPr>
                <w:kern w:val="0"/>
                <w:sz w:val="15"/>
                <w:szCs w:val="15"/>
              </w:rPr>
              <w:t>1.356</w:t>
            </w:r>
          </w:p>
        </w:tc>
        <w:tc>
          <w:tcPr>
            <w:tcW w:w="674" w:type="dxa"/>
            <w:tcBorders>
              <w:tl2br w:val="nil"/>
              <w:tr2bl w:val="nil"/>
            </w:tcBorders>
            <w:noWrap w:val="0"/>
            <w:vAlign w:val="center"/>
          </w:tcPr>
          <w:p>
            <w:pPr>
              <w:widowControl/>
              <w:jc w:val="center"/>
              <w:rPr>
                <w:kern w:val="0"/>
                <w:sz w:val="15"/>
                <w:szCs w:val="15"/>
              </w:rPr>
            </w:pPr>
            <w:r>
              <w:rPr>
                <w:kern w:val="0"/>
                <w:sz w:val="15"/>
                <w:szCs w:val="15"/>
              </w:rPr>
              <w:t>2.239</w:t>
            </w:r>
          </w:p>
        </w:tc>
        <w:tc>
          <w:tcPr>
            <w:tcW w:w="675" w:type="dxa"/>
            <w:tcBorders>
              <w:tl2br w:val="nil"/>
              <w:tr2bl w:val="nil"/>
            </w:tcBorders>
            <w:noWrap w:val="0"/>
            <w:vAlign w:val="center"/>
          </w:tcPr>
          <w:p>
            <w:pPr>
              <w:widowControl/>
              <w:jc w:val="center"/>
              <w:rPr>
                <w:kern w:val="0"/>
                <w:sz w:val="15"/>
                <w:szCs w:val="15"/>
              </w:rPr>
            </w:pPr>
            <w:r>
              <w:rPr>
                <w:kern w:val="0"/>
                <w:sz w:val="15"/>
                <w:szCs w:val="15"/>
              </w:rPr>
              <w:t>2.266</w:t>
            </w:r>
          </w:p>
        </w:tc>
        <w:tc>
          <w:tcPr>
            <w:tcW w:w="674" w:type="dxa"/>
            <w:tcBorders>
              <w:tl2br w:val="nil"/>
              <w:tr2bl w:val="nil"/>
            </w:tcBorders>
            <w:noWrap w:val="0"/>
            <w:vAlign w:val="center"/>
          </w:tcPr>
          <w:p>
            <w:pPr>
              <w:widowControl/>
              <w:jc w:val="center"/>
              <w:rPr>
                <w:kern w:val="0"/>
                <w:sz w:val="15"/>
                <w:szCs w:val="15"/>
              </w:rPr>
            </w:pPr>
            <w:r>
              <w:rPr>
                <w:kern w:val="0"/>
                <w:sz w:val="15"/>
                <w:szCs w:val="15"/>
              </w:rPr>
              <w:t>2.263</w:t>
            </w:r>
          </w:p>
        </w:tc>
        <w:tc>
          <w:tcPr>
            <w:tcW w:w="674" w:type="dxa"/>
            <w:tcBorders>
              <w:tl2br w:val="nil"/>
              <w:tr2bl w:val="nil"/>
            </w:tcBorders>
            <w:noWrap w:val="0"/>
            <w:vAlign w:val="center"/>
          </w:tcPr>
          <w:p>
            <w:pPr>
              <w:widowControl/>
              <w:jc w:val="center"/>
              <w:rPr>
                <w:kern w:val="0"/>
                <w:sz w:val="15"/>
                <w:szCs w:val="15"/>
              </w:rPr>
            </w:pPr>
            <w:r>
              <w:rPr>
                <w:kern w:val="0"/>
                <w:sz w:val="15"/>
                <w:szCs w:val="15"/>
              </w:rPr>
              <w:t>2.122</w:t>
            </w:r>
          </w:p>
        </w:tc>
        <w:tc>
          <w:tcPr>
            <w:tcW w:w="676" w:type="dxa"/>
            <w:tcBorders>
              <w:tl2br w:val="nil"/>
              <w:tr2bl w:val="nil"/>
            </w:tcBorders>
            <w:noWrap w:val="0"/>
            <w:vAlign w:val="center"/>
          </w:tcPr>
          <w:p>
            <w:pPr>
              <w:widowControl/>
              <w:jc w:val="center"/>
              <w:rPr>
                <w:kern w:val="0"/>
                <w:sz w:val="15"/>
                <w:szCs w:val="15"/>
              </w:rPr>
            </w:pPr>
            <w:r>
              <w:rPr>
                <w:kern w:val="0"/>
                <w:sz w:val="15"/>
                <w:szCs w:val="15"/>
              </w:rPr>
              <w:t>2.417</w:t>
            </w:r>
          </w:p>
        </w:tc>
        <w:tc>
          <w:tcPr>
            <w:tcW w:w="675" w:type="dxa"/>
            <w:tcBorders>
              <w:tl2br w:val="nil"/>
              <w:tr2bl w:val="nil"/>
            </w:tcBorders>
            <w:noWrap w:val="0"/>
            <w:vAlign w:val="center"/>
          </w:tcPr>
          <w:p>
            <w:pPr>
              <w:widowControl/>
              <w:jc w:val="center"/>
              <w:rPr>
                <w:kern w:val="0"/>
                <w:sz w:val="15"/>
                <w:szCs w:val="15"/>
              </w:rPr>
            </w:pPr>
            <w:r>
              <w:rPr>
                <w:kern w:val="0"/>
                <w:sz w:val="15"/>
                <w:szCs w:val="15"/>
              </w:rPr>
              <w:t>2.173</w:t>
            </w:r>
          </w:p>
        </w:tc>
        <w:tc>
          <w:tcPr>
            <w:tcW w:w="676" w:type="dxa"/>
            <w:tcBorders>
              <w:tl2br w:val="nil"/>
              <w:tr2bl w:val="nil"/>
            </w:tcBorders>
            <w:noWrap w:val="0"/>
            <w:vAlign w:val="center"/>
          </w:tcPr>
          <w:p>
            <w:pPr>
              <w:widowControl/>
              <w:jc w:val="center"/>
              <w:rPr>
                <w:kern w:val="0"/>
                <w:sz w:val="15"/>
                <w:szCs w:val="15"/>
              </w:rPr>
            </w:pPr>
            <w:r>
              <w:rPr>
                <w:kern w:val="0"/>
                <w:sz w:val="15"/>
                <w:szCs w:val="15"/>
              </w:rPr>
              <w:t>2.247</w:t>
            </w:r>
          </w:p>
        </w:tc>
        <w:tc>
          <w:tcPr>
            <w:tcW w:w="674" w:type="dxa"/>
            <w:tcBorders>
              <w:tl2br w:val="nil"/>
              <w:tr2bl w:val="nil"/>
            </w:tcBorders>
            <w:noWrap w:val="0"/>
            <w:vAlign w:val="center"/>
          </w:tcPr>
          <w:p>
            <w:pPr>
              <w:widowControl/>
              <w:jc w:val="center"/>
              <w:rPr>
                <w:kern w:val="0"/>
                <w:sz w:val="15"/>
                <w:szCs w:val="15"/>
              </w:rPr>
            </w:pPr>
            <w:r>
              <w:rPr>
                <w:kern w:val="0"/>
                <w:sz w:val="15"/>
                <w:szCs w:val="15"/>
              </w:rPr>
              <w:t>4.48</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jc w:val="center"/>
        </w:trPr>
        <w:tc>
          <w:tcPr>
            <w:tcW w:w="483" w:type="dxa"/>
            <w:vMerge w:val="continue"/>
            <w:tcBorders>
              <w:tl2br w:val="nil"/>
              <w:tr2bl w:val="nil"/>
            </w:tcBorders>
            <w:noWrap w:val="0"/>
            <w:vAlign w:val="center"/>
          </w:tcPr>
          <w:p>
            <w:pPr>
              <w:widowControl/>
              <w:jc w:val="center"/>
              <w:rPr>
                <w:rFonts w:ascii="宋体" w:hAnsi="宋体" w:cs="宋体"/>
                <w:kern w:val="0"/>
                <w:sz w:val="15"/>
                <w:szCs w:val="15"/>
              </w:rPr>
            </w:pPr>
          </w:p>
        </w:tc>
        <w:tc>
          <w:tcPr>
            <w:tcW w:w="614" w:type="dxa"/>
            <w:vMerge w:val="continue"/>
            <w:tcBorders>
              <w:tl2br w:val="nil"/>
              <w:tr2bl w:val="nil"/>
            </w:tcBorders>
            <w:noWrap w:val="0"/>
            <w:vAlign w:val="center"/>
          </w:tcPr>
          <w:p>
            <w:pPr>
              <w:widowControl/>
              <w:jc w:val="center"/>
              <w:rPr>
                <w:rFonts w:ascii="宋体" w:hAnsi="宋体" w:cs="宋体"/>
                <w:kern w:val="0"/>
                <w:sz w:val="15"/>
                <w:szCs w:val="15"/>
              </w:rPr>
            </w:pPr>
          </w:p>
        </w:tc>
        <w:tc>
          <w:tcPr>
            <w:tcW w:w="1108" w:type="dxa"/>
            <w:tcBorders>
              <w:tl2br w:val="nil"/>
              <w:tr2bl w:val="nil"/>
            </w:tcBorders>
            <w:noWrap w:val="0"/>
            <w:vAlign w:val="center"/>
          </w:tcPr>
          <w:p>
            <w:pPr>
              <w:widowControl/>
              <w:jc w:val="center"/>
              <w:rPr>
                <w:rFonts w:ascii="宋体" w:hAnsi="宋体" w:cs="宋体"/>
                <w:kern w:val="0"/>
                <w:sz w:val="15"/>
                <w:szCs w:val="15"/>
              </w:rPr>
            </w:pPr>
            <w:r>
              <w:rPr>
                <w:rFonts w:hint="eastAsia" w:ascii="宋体" w:hAnsi="宋体" w:cs="宋体"/>
                <w:kern w:val="0"/>
                <w:sz w:val="15"/>
                <w:szCs w:val="15"/>
              </w:rPr>
              <w:t>对硫磷</w:t>
            </w:r>
          </w:p>
        </w:tc>
        <w:tc>
          <w:tcPr>
            <w:tcW w:w="677" w:type="dxa"/>
            <w:tcBorders>
              <w:tl2br w:val="nil"/>
              <w:tr2bl w:val="nil"/>
            </w:tcBorders>
            <w:noWrap w:val="0"/>
            <w:vAlign w:val="center"/>
          </w:tcPr>
          <w:p>
            <w:pPr>
              <w:widowControl/>
              <w:jc w:val="center"/>
              <w:rPr>
                <w:kern w:val="0"/>
                <w:sz w:val="15"/>
                <w:szCs w:val="15"/>
              </w:rPr>
            </w:pPr>
            <w:r>
              <w:rPr>
                <w:kern w:val="0"/>
                <w:sz w:val="15"/>
                <w:szCs w:val="15"/>
              </w:rPr>
              <w:t>1.568</w:t>
            </w:r>
          </w:p>
        </w:tc>
        <w:tc>
          <w:tcPr>
            <w:tcW w:w="674" w:type="dxa"/>
            <w:tcBorders>
              <w:tl2br w:val="nil"/>
              <w:tr2bl w:val="nil"/>
            </w:tcBorders>
            <w:noWrap w:val="0"/>
            <w:vAlign w:val="center"/>
          </w:tcPr>
          <w:p>
            <w:pPr>
              <w:widowControl/>
              <w:jc w:val="center"/>
              <w:rPr>
                <w:kern w:val="0"/>
                <w:sz w:val="15"/>
                <w:szCs w:val="15"/>
              </w:rPr>
            </w:pPr>
            <w:r>
              <w:rPr>
                <w:kern w:val="0"/>
                <w:sz w:val="15"/>
                <w:szCs w:val="15"/>
              </w:rPr>
              <w:t>2.417</w:t>
            </w:r>
          </w:p>
        </w:tc>
        <w:tc>
          <w:tcPr>
            <w:tcW w:w="675" w:type="dxa"/>
            <w:tcBorders>
              <w:tl2br w:val="nil"/>
              <w:tr2bl w:val="nil"/>
            </w:tcBorders>
            <w:noWrap w:val="0"/>
            <w:vAlign w:val="center"/>
          </w:tcPr>
          <w:p>
            <w:pPr>
              <w:widowControl/>
              <w:jc w:val="center"/>
              <w:rPr>
                <w:kern w:val="0"/>
                <w:sz w:val="15"/>
                <w:szCs w:val="15"/>
              </w:rPr>
            </w:pPr>
            <w:r>
              <w:rPr>
                <w:kern w:val="0"/>
                <w:sz w:val="15"/>
                <w:szCs w:val="15"/>
              </w:rPr>
              <w:t>2.267</w:t>
            </w:r>
          </w:p>
        </w:tc>
        <w:tc>
          <w:tcPr>
            <w:tcW w:w="674" w:type="dxa"/>
            <w:tcBorders>
              <w:tl2br w:val="nil"/>
              <w:tr2bl w:val="nil"/>
            </w:tcBorders>
            <w:noWrap w:val="0"/>
            <w:vAlign w:val="center"/>
          </w:tcPr>
          <w:p>
            <w:pPr>
              <w:widowControl/>
              <w:jc w:val="center"/>
              <w:rPr>
                <w:kern w:val="0"/>
                <w:sz w:val="15"/>
                <w:szCs w:val="15"/>
              </w:rPr>
            </w:pPr>
            <w:r>
              <w:rPr>
                <w:kern w:val="0"/>
                <w:sz w:val="15"/>
                <w:szCs w:val="15"/>
              </w:rPr>
              <w:t>2.341</w:t>
            </w:r>
          </w:p>
        </w:tc>
        <w:tc>
          <w:tcPr>
            <w:tcW w:w="674" w:type="dxa"/>
            <w:tcBorders>
              <w:tl2br w:val="nil"/>
              <w:tr2bl w:val="nil"/>
            </w:tcBorders>
            <w:noWrap w:val="0"/>
            <w:vAlign w:val="center"/>
          </w:tcPr>
          <w:p>
            <w:pPr>
              <w:widowControl/>
              <w:jc w:val="center"/>
              <w:rPr>
                <w:kern w:val="0"/>
                <w:sz w:val="15"/>
                <w:szCs w:val="15"/>
              </w:rPr>
            </w:pPr>
            <w:r>
              <w:rPr>
                <w:kern w:val="0"/>
                <w:sz w:val="15"/>
                <w:szCs w:val="15"/>
              </w:rPr>
              <w:t>2.192</w:t>
            </w:r>
          </w:p>
        </w:tc>
        <w:tc>
          <w:tcPr>
            <w:tcW w:w="676" w:type="dxa"/>
            <w:tcBorders>
              <w:tl2br w:val="nil"/>
              <w:tr2bl w:val="nil"/>
            </w:tcBorders>
            <w:noWrap w:val="0"/>
            <w:vAlign w:val="center"/>
          </w:tcPr>
          <w:p>
            <w:pPr>
              <w:widowControl/>
              <w:jc w:val="center"/>
              <w:rPr>
                <w:kern w:val="0"/>
                <w:sz w:val="15"/>
                <w:szCs w:val="15"/>
              </w:rPr>
            </w:pPr>
            <w:r>
              <w:rPr>
                <w:kern w:val="0"/>
                <w:sz w:val="15"/>
                <w:szCs w:val="15"/>
              </w:rPr>
              <w:t>2.257</w:t>
            </w:r>
          </w:p>
        </w:tc>
        <w:tc>
          <w:tcPr>
            <w:tcW w:w="675" w:type="dxa"/>
            <w:tcBorders>
              <w:tl2br w:val="nil"/>
              <w:tr2bl w:val="nil"/>
            </w:tcBorders>
            <w:noWrap w:val="0"/>
            <w:vAlign w:val="center"/>
          </w:tcPr>
          <w:p>
            <w:pPr>
              <w:widowControl/>
              <w:jc w:val="center"/>
              <w:rPr>
                <w:kern w:val="0"/>
                <w:sz w:val="15"/>
                <w:szCs w:val="15"/>
              </w:rPr>
            </w:pPr>
            <w:r>
              <w:rPr>
                <w:kern w:val="0"/>
                <w:sz w:val="15"/>
                <w:szCs w:val="15"/>
              </w:rPr>
              <w:t>2.219</w:t>
            </w:r>
          </w:p>
        </w:tc>
        <w:tc>
          <w:tcPr>
            <w:tcW w:w="676" w:type="dxa"/>
            <w:tcBorders>
              <w:tl2br w:val="nil"/>
              <w:tr2bl w:val="nil"/>
            </w:tcBorders>
            <w:noWrap w:val="0"/>
            <w:vAlign w:val="center"/>
          </w:tcPr>
          <w:p>
            <w:pPr>
              <w:widowControl/>
              <w:jc w:val="center"/>
              <w:rPr>
                <w:kern w:val="0"/>
                <w:sz w:val="15"/>
                <w:szCs w:val="15"/>
              </w:rPr>
            </w:pPr>
            <w:r>
              <w:rPr>
                <w:kern w:val="0"/>
                <w:sz w:val="15"/>
                <w:szCs w:val="15"/>
              </w:rPr>
              <w:t>2.282</w:t>
            </w:r>
          </w:p>
        </w:tc>
        <w:tc>
          <w:tcPr>
            <w:tcW w:w="674" w:type="dxa"/>
            <w:tcBorders>
              <w:tl2br w:val="nil"/>
              <w:tr2bl w:val="nil"/>
            </w:tcBorders>
            <w:noWrap w:val="0"/>
            <w:vAlign w:val="center"/>
          </w:tcPr>
          <w:p>
            <w:pPr>
              <w:widowControl/>
              <w:jc w:val="center"/>
              <w:rPr>
                <w:kern w:val="0"/>
                <w:sz w:val="15"/>
                <w:szCs w:val="15"/>
              </w:rPr>
            </w:pPr>
            <w:r>
              <w:rPr>
                <w:kern w:val="0"/>
                <w:sz w:val="15"/>
                <w:szCs w:val="15"/>
              </w:rPr>
              <w:t>3.64</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jc w:val="center"/>
        </w:trPr>
        <w:tc>
          <w:tcPr>
            <w:tcW w:w="483" w:type="dxa"/>
            <w:vMerge w:val="continue"/>
            <w:tcBorders>
              <w:tl2br w:val="nil"/>
              <w:tr2bl w:val="nil"/>
            </w:tcBorders>
            <w:noWrap w:val="0"/>
            <w:vAlign w:val="center"/>
          </w:tcPr>
          <w:p>
            <w:pPr>
              <w:widowControl/>
              <w:jc w:val="center"/>
              <w:rPr>
                <w:rFonts w:ascii="宋体" w:hAnsi="宋体" w:cs="宋体"/>
                <w:kern w:val="0"/>
                <w:sz w:val="15"/>
                <w:szCs w:val="15"/>
              </w:rPr>
            </w:pPr>
          </w:p>
        </w:tc>
        <w:tc>
          <w:tcPr>
            <w:tcW w:w="614" w:type="dxa"/>
            <w:vMerge w:val="continue"/>
            <w:tcBorders>
              <w:tl2br w:val="nil"/>
              <w:tr2bl w:val="nil"/>
            </w:tcBorders>
            <w:noWrap w:val="0"/>
            <w:vAlign w:val="center"/>
          </w:tcPr>
          <w:p>
            <w:pPr>
              <w:widowControl/>
              <w:jc w:val="center"/>
              <w:rPr>
                <w:rFonts w:ascii="宋体" w:hAnsi="宋体" w:cs="宋体"/>
                <w:kern w:val="0"/>
                <w:sz w:val="15"/>
                <w:szCs w:val="15"/>
              </w:rPr>
            </w:pPr>
          </w:p>
        </w:tc>
        <w:tc>
          <w:tcPr>
            <w:tcW w:w="1108" w:type="dxa"/>
            <w:tcBorders>
              <w:tl2br w:val="nil"/>
              <w:tr2bl w:val="nil"/>
            </w:tcBorders>
            <w:noWrap w:val="0"/>
            <w:vAlign w:val="center"/>
          </w:tcPr>
          <w:p>
            <w:pPr>
              <w:widowControl/>
              <w:jc w:val="center"/>
              <w:rPr>
                <w:rFonts w:ascii="宋体" w:hAnsi="宋体" w:cs="宋体"/>
                <w:kern w:val="0"/>
                <w:sz w:val="15"/>
                <w:szCs w:val="15"/>
              </w:rPr>
            </w:pPr>
            <w:r>
              <w:rPr>
                <w:rFonts w:hint="eastAsia" w:ascii="宋体" w:hAnsi="宋体" w:cs="宋体"/>
                <w:kern w:val="0"/>
                <w:sz w:val="15"/>
                <w:szCs w:val="15"/>
              </w:rPr>
              <w:t>甲基异柳磷</w:t>
            </w:r>
          </w:p>
        </w:tc>
        <w:tc>
          <w:tcPr>
            <w:tcW w:w="677" w:type="dxa"/>
            <w:tcBorders>
              <w:tl2br w:val="nil"/>
              <w:tr2bl w:val="nil"/>
            </w:tcBorders>
            <w:noWrap w:val="0"/>
            <w:vAlign w:val="center"/>
          </w:tcPr>
          <w:p>
            <w:pPr>
              <w:widowControl/>
              <w:jc w:val="center"/>
              <w:rPr>
                <w:kern w:val="0"/>
                <w:sz w:val="15"/>
                <w:szCs w:val="15"/>
              </w:rPr>
            </w:pPr>
            <w:r>
              <w:rPr>
                <w:kern w:val="0"/>
                <w:sz w:val="15"/>
                <w:szCs w:val="15"/>
              </w:rPr>
              <w:t>0.54</w:t>
            </w:r>
          </w:p>
        </w:tc>
        <w:tc>
          <w:tcPr>
            <w:tcW w:w="674" w:type="dxa"/>
            <w:tcBorders>
              <w:tl2br w:val="nil"/>
              <w:tr2bl w:val="nil"/>
            </w:tcBorders>
            <w:noWrap w:val="0"/>
            <w:vAlign w:val="center"/>
          </w:tcPr>
          <w:p>
            <w:pPr>
              <w:widowControl/>
              <w:jc w:val="center"/>
              <w:rPr>
                <w:kern w:val="0"/>
                <w:sz w:val="15"/>
                <w:szCs w:val="15"/>
              </w:rPr>
            </w:pPr>
            <w:r>
              <w:rPr>
                <w:kern w:val="0"/>
                <w:sz w:val="15"/>
                <w:szCs w:val="15"/>
              </w:rPr>
              <w:t>2.531</w:t>
            </w:r>
          </w:p>
        </w:tc>
        <w:tc>
          <w:tcPr>
            <w:tcW w:w="675" w:type="dxa"/>
            <w:tcBorders>
              <w:tl2br w:val="nil"/>
              <w:tr2bl w:val="nil"/>
            </w:tcBorders>
            <w:noWrap w:val="0"/>
            <w:vAlign w:val="center"/>
          </w:tcPr>
          <w:p>
            <w:pPr>
              <w:widowControl/>
              <w:jc w:val="center"/>
              <w:rPr>
                <w:kern w:val="0"/>
                <w:sz w:val="15"/>
                <w:szCs w:val="15"/>
              </w:rPr>
            </w:pPr>
            <w:r>
              <w:rPr>
                <w:kern w:val="0"/>
                <w:sz w:val="15"/>
                <w:szCs w:val="15"/>
              </w:rPr>
              <w:t>2.288</w:t>
            </w:r>
          </w:p>
        </w:tc>
        <w:tc>
          <w:tcPr>
            <w:tcW w:w="674" w:type="dxa"/>
            <w:tcBorders>
              <w:tl2br w:val="nil"/>
              <w:tr2bl w:val="nil"/>
            </w:tcBorders>
            <w:noWrap w:val="0"/>
            <w:vAlign w:val="center"/>
          </w:tcPr>
          <w:p>
            <w:pPr>
              <w:widowControl/>
              <w:jc w:val="center"/>
              <w:rPr>
                <w:kern w:val="0"/>
                <w:sz w:val="15"/>
                <w:szCs w:val="15"/>
              </w:rPr>
            </w:pPr>
            <w:r>
              <w:rPr>
                <w:kern w:val="0"/>
                <w:sz w:val="15"/>
                <w:szCs w:val="15"/>
              </w:rPr>
              <w:t>2.593</w:t>
            </w:r>
          </w:p>
        </w:tc>
        <w:tc>
          <w:tcPr>
            <w:tcW w:w="674" w:type="dxa"/>
            <w:tcBorders>
              <w:tl2br w:val="nil"/>
              <w:tr2bl w:val="nil"/>
            </w:tcBorders>
            <w:noWrap w:val="0"/>
            <w:vAlign w:val="center"/>
          </w:tcPr>
          <w:p>
            <w:pPr>
              <w:widowControl/>
              <w:jc w:val="center"/>
              <w:rPr>
                <w:kern w:val="0"/>
                <w:sz w:val="15"/>
                <w:szCs w:val="15"/>
              </w:rPr>
            </w:pPr>
            <w:r>
              <w:rPr>
                <w:kern w:val="0"/>
                <w:sz w:val="15"/>
                <w:szCs w:val="15"/>
              </w:rPr>
              <w:t>2.342</w:t>
            </w:r>
          </w:p>
        </w:tc>
        <w:tc>
          <w:tcPr>
            <w:tcW w:w="676" w:type="dxa"/>
            <w:tcBorders>
              <w:tl2br w:val="nil"/>
              <w:tr2bl w:val="nil"/>
            </w:tcBorders>
            <w:noWrap w:val="0"/>
            <w:vAlign w:val="center"/>
          </w:tcPr>
          <w:p>
            <w:pPr>
              <w:widowControl/>
              <w:jc w:val="center"/>
              <w:rPr>
                <w:kern w:val="0"/>
                <w:sz w:val="15"/>
                <w:szCs w:val="15"/>
              </w:rPr>
            </w:pPr>
            <w:r>
              <w:rPr>
                <w:kern w:val="0"/>
                <w:sz w:val="15"/>
                <w:szCs w:val="15"/>
              </w:rPr>
              <w:t>2.379</w:t>
            </w:r>
          </w:p>
        </w:tc>
        <w:tc>
          <w:tcPr>
            <w:tcW w:w="675" w:type="dxa"/>
            <w:tcBorders>
              <w:tl2br w:val="nil"/>
              <w:tr2bl w:val="nil"/>
            </w:tcBorders>
            <w:noWrap w:val="0"/>
            <w:vAlign w:val="center"/>
          </w:tcPr>
          <w:p>
            <w:pPr>
              <w:widowControl/>
              <w:jc w:val="center"/>
              <w:rPr>
                <w:kern w:val="0"/>
                <w:sz w:val="15"/>
                <w:szCs w:val="15"/>
              </w:rPr>
            </w:pPr>
            <w:r>
              <w:rPr>
                <w:kern w:val="0"/>
                <w:sz w:val="15"/>
                <w:szCs w:val="15"/>
              </w:rPr>
              <w:t>2.338</w:t>
            </w:r>
          </w:p>
        </w:tc>
        <w:tc>
          <w:tcPr>
            <w:tcW w:w="676" w:type="dxa"/>
            <w:tcBorders>
              <w:tl2br w:val="nil"/>
              <w:tr2bl w:val="nil"/>
            </w:tcBorders>
            <w:noWrap w:val="0"/>
            <w:vAlign w:val="center"/>
          </w:tcPr>
          <w:p>
            <w:pPr>
              <w:widowControl/>
              <w:jc w:val="center"/>
              <w:rPr>
                <w:kern w:val="0"/>
                <w:sz w:val="15"/>
                <w:szCs w:val="15"/>
              </w:rPr>
            </w:pPr>
            <w:r>
              <w:rPr>
                <w:kern w:val="0"/>
                <w:sz w:val="15"/>
                <w:szCs w:val="15"/>
              </w:rPr>
              <w:t>2.412</w:t>
            </w:r>
          </w:p>
        </w:tc>
        <w:tc>
          <w:tcPr>
            <w:tcW w:w="674" w:type="dxa"/>
            <w:tcBorders>
              <w:tl2br w:val="nil"/>
              <w:tr2bl w:val="nil"/>
            </w:tcBorders>
            <w:noWrap w:val="0"/>
            <w:vAlign w:val="center"/>
          </w:tcPr>
          <w:p>
            <w:pPr>
              <w:widowControl/>
              <w:jc w:val="center"/>
              <w:rPr>
                <w:kern w:val="0"/>
                <w:sz w:val="15"/>
                <w:szCs w:val="15"/>
              </w:rPr>
            </w:pPr>
            <w:r>
              <w:rPr>
                <w:kern w:val="0"/>
                <w:sz w:val="15"/>
                <w:szCs w:val="15"/>
              </w:rPr>
              <w:t>5.03</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jc w:val="center"/>
        </w:trPr>
        <w:tc>
          <w:tcPr>
            <w:tcW w:w="483" w:type="dxa"/>
            <w:vMerge w:val="continue"/>
            <w:tcBorders>
              <w:tl2br w:val="nil"/>
              <w:tr2bl w:val="nil"/>
            </w:tcBorders>
            <w:noWrap w:val="0"/>
            <w:vAlign w:val="center"/>
          </w:tcPr>
          <w:p>
            <w:pPr>
              <w:widowControl/>
              <w:jc w:val="center"/>
              <w:rPr>
                <w:rFonts w:ascii="宋体" w:hAnsi="宋体" w:cs="宋体"/>
                <w:kern w:val="0"/>
                <w:sz w:val="15"/>
                <w:szCs w:val="15"/>
              </w:rPr>
            </w:pPr>
          </w:p>
        </w:tc>
        <w:tc>
          <w:tcPr>
            <w:tcW w:w="614" w:type="dxa"/>
            <w:vMerge w:val="continue"/>
            <w:tcBorders>
              <w:tl2br w:val="nil"/>
              <w:tr2bl w:val="nil"/>
            </w:tcBorders>
            <w:noWrap w:val="0"/>
            <w:vAlign w:val="center"/>
          </w:tcPr>
          <w:p>
            <w:pPr>
              <w:widowControl/>
              <w:jc w:val="center"/>
              <w:rPr>
                <w:rFonts w:ascii="宋体" w:hAnsi="宋体" w:cs="宋体"/>
                <w:kern w:val="0"/>
                <w:sz w:val="15"/>
                <w:szCs w:val="15"/>
              </w:rPr>
            </w:pPr>
          </w:p>
        </w:tc>
        <w:tc>
          <w:tcPr>
            <w:tcW w:w="1108" w:type="dxa"/>
            <w:tcBorders>
              <w:tl2br w:val="nil"/>
              <w:tr2bl w:val="nil"/>
            </w:tcBorders>
            <w:noWrap w:val="0"/>
            <w:vAlign w:val="center"/>
          </w:tcPr>
          <w:p>
            <w:pPr>
              <w:widowControl/>
              <w:jc w:val="center"/>
              <w:rPr>
                <w:rFonts w:ascii="宋体" w:hAnsi="宋体" w:cs="宋体"/>
                <w:kern w:val="0"/>
                <w:sz w:val="15"/>
                <w:szCs w:val="15"/>
              </w:rPr>
            </w:pPr>
            <w:r>
              <w:rPr>
                <w:rFonts w:hint="eastAsia" w:ascii="宋体" w:hAnsi="宋体" w:cs="宋体"/>
                <w:kern w:val="0"/>
                <w:sz w:val="15"/>
                <w:szCs w:val="15"/>
              </w:rPr>
              <w:t>水胺硫磷</w:t>
            </w:r>
          </w:p>
        </w:tc>
        <w:tc>
          <w:tcPr>
            <w:tcW w:w="677" w:type="dxa"/>
            <w:tcBorders>
              <w:tl2br w:val="nil"/>
              <w:tr2bl w:val="nil"/>
            </w:tcBorders>
            <w:noWrap w:val="0"/>
            <w:vAlign w:val="center"/>
          </w:tcPr>
          <w:p>
            <w:pPr>
              <w:widowControl/>
              <w:jc w:val="center"/>
              <w:rPr>
                <w:kern w:val="0"/>
                <w:sz w:val="15"/>
                <w:szCs w:val="15"/>
              </w:rPr>
            </w:pPr>
            <w:r>
              <w:rPr>
                <w:kern w:val="0"/>
                <w:sz w:val="15"/>
                <w:szCs w:val="15"/>
              </w:rPr>
              <w:t>1.265</w:t>
            </w:r>
          </w:p>
        </w:tc>
        <w:tc>
          <w:tcPr>
            <w:tcW w:w="674" w:type="dxa"/>
            <w:tcBorders>
              <w:tl2br w:val="nil"/>
              <w:tr2bl w:val="nil"/>
            </w:tcBorders>
            <w:noWrap w:val="0"/>
            <w:vAlign w:val="center"/>
          </w:tcPr>
          <w:p>
            <w:pPr>
              <w:widowControl/>
              <w:jc w:val="center"/>
              <w:rPr>
                <w:kern w:val="0"/>
                <w:sz w:val="15"/>
                <w:szCs w:val="15"/>
              </w:rPr>
            </w:pPr>
            <w:r>
              <w:rPr>
                <w:kern w:val="0"/>
                <w:sz w:val="15"/>
                <w:szCs w:val="15"/>
              </w:rPr>
              <w:t>2.262</w:t>
            </w:r>
          </w:p>
        </w:tc>
        <w:tc>
          <w:tcPr>
            <w:tcW w:w="675" w:type="dxa"/>
            <w:tcBorders>
              <w:tl2br w:val="nil"/>
              <w:tr2bl w:val="nil"/>
            </w:tcBorders>
            <w:noWrap w:val="0"/>
            <w:vAlign w:val="center"/>
          </w:tcPr>
          <w:p>
            <w:pPr>
              <w:widowControl/>
              <w:jc w:val="center"/>
              <w:rPr>
                <w:kern w:val="0"/>
                <w:sz w:val="15"/>
                <w:szCs w:val="15"/>
              </w:rPr>
            </w:pPr>
            <w:r>
              <w:rPr>
                <w:kern w:val="0"/>
                <w:sz w:val="15"/>
                <w:szCs w:val="15"/>
              </w:rPr>
              <w:t>2.215</w:t>
            </w:r>
          </w:p>
        </w:tc>
        <w:tc>
          <w:tcPr>
            <w:tcW w:w="674" w:type="dxa"/>
            <w:tcBorders>
              <w:tl2br w:val="nil"/>
              <w:tr2bl w:val="nil"/>
            </w:tcBorders>
            <w:noWrap w:val="0"/>
            <w:vAlign w:val="center"/>
          </w:tcPr>
          <w:p>
            <w:pPr>
              <w:widowControl/>
              <w:jc w:val="center"/>
              <w:rPr>
                <w:kern w:val="0"/>
                <w:sz w:val="15"/>
                <w:szCs w:val="15"/>
              </w:rPr>
            </w:pPr>
            <w:r>
              <w:rPr>
                <w:kern w:val="0"/>
                <w:sz w:val="15"/>
                <w:szCs w:val="15"/>
              </w:rPr>
              <w:t>2.209</w:t>
            </w:r>
          </w:p>
        </w:tc>
        <w:tc>
          <w:tcPr>
            <w:tcW w:w="674" w:type="dxa"/>
            <w:tcBorders>
              <w:tl2br w:val="nil"/>
              <w:tr2bl w:val="nil"/>
            </w:tcBorders>
            <w:noWrap w:val="0"/>
            <w:vAlign w:val="center"/>
          </w:tcPr>
          <w:p>
            <w:pPr>
              <w:widowControl/>
              <w:jc w:val="center"/>
              <w:rPr>
                <w:kern w:val="0"/>
                <w:sz w:val="15"/>
                <w:szCs w:val="15"/>
              </w:rPr>
            </w:pPr>
            <w:r>
              <w:rPr>
                <w:kern w:val="0"/>
                <w:sz w:val="15"/>
                <w:szCs w:val="15"/>
              </w:rPr>
              <w:t>2.034</w:t>
            </w:r>
          </w:p>
        </w:tc>
        <w:tc>
          <w:tcPr>
            <w:tcW w:w="676" w:type="dxa"/>
            <w:tcBorders>
              <w:tl2br w:val="nil"/>
              <w:tr2bl w:val="nil"/>
            </w:tcBorders>
            <w:noWrap w:val="0"/>
            <w:vAlign w:val="center"/>
          </w:tcPr>
          <w:p>
            <w:pPr>
              <w:widowControl/>
              <w:jc w:val="center"/>
              <w:rPr>
                <w:kern w:val="0"/>
                <w:sz w:val="15"/>
                <w:szCs w:val="15"/>
              </w:rPr>
            </w:pPr>
            <w:r>
              <w:rPr>
                <w:kern w:val="0"/>
                <w:sz w:val="15"/>
                <w:szCs w:val="15"/>
              </w:rPr>
              <w:t>2.173</w:t>
            </w:r>
          </w:p>
        </w:tc>
        <w:tc>
          <w:tcPr>
            <w:tcW w:w="675" w:type="dxa"/>
            <w:tcBorders>
              <w:tl2br w:val="nil"/>
              <w:tr2bl w:val="nil"/>
            </w:tcBorders>
            <w:noWrap w:val="0"/>
            <w:vAlign w:val="center"/>
          </w:tcPr>
          <w:p>
            <w:pPr>
              <w:widowControl/>
              <w:jc w:val="center"/>
              <w:rPr>
                <w:kern w:val="0"/>
                <w:sz w:val="15"/>
                <w:szCs w:val="15"/>
              </w:rPr>
            </w:pPr>
            <w:r>
              <w:rPr>
                <w:kern w:val="0"/>
                <w:sz w:val="15"/>
                <w:szCs w:val="15"/>
              </w:rPr>
              <w:t>2.003</w:t>
            </w:r>
          </w:p>
        </w:tc>
        <w:tc>
          <w:tcPr>
            <w:tcW w:w="676" w:type="dxa"/>
            <w:tcBorders>
              <w:tl2br w:val="nil"/>
              <w:tr2bl w:val="nil"/>
            </w:tcBorders>
            <w:noWrap w:val="0"/>
            <w:vAlign w:val="center"/>
          </w:tcPr>
          <w:p>
            <w:pPr>
              <w:widowControl/>
              <w:jc w:val="center"/>
              <w:rPr>
                <w:kern w:val="0"/>
                <w:sz w:val="15"/>
                <w:szCs w:val="15"/>
              </w:rPr>
            </w:pPr>
            <w:r>
              <w:rPr>
                <w:kern w:val="0"/>
                <w:sz w:val="15"/>
                <w:szCs w:val="15"/>
              </w:rPr>
              <w:t>2.149</w:t>
            </w:r>
          </w:p>
        </w:tc>
        <w:tc>
          <w:tcPr>
            <w:tcW w:w="674" w:type="dxa"/>
            <w:tcBorders>
              <w:tl2br w:val="nil"/>
              <w:tr2bl w:val="nil"/>
            </w:tcBorders>
            <w:noWrap w:val="0"/>
            <w:vAlign w:val="center"/>
          </w:tcPr>
          <w:p>
            <w:pPr>
              <w:widowControl/>
              <w:jc w:val="center"/>
              <w:rPr>
                <w:kern w:val="0"/>
                <w:sz w:val="15"/>
                <w:szCs w:val="15"/>
              </w:rPr>
            </w:pPr>
            <w:r>
              <w:rPr>
                <w:kern w:val="0"/>
                <w:sz w:val="15"/>
                <w:szCs w:val="15"/>
              </w:rPr>
              <w:t>4.92</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jc w:val="center"/>
        </w:trPr>
        <w:tc>
          <w:tcPr>
            <w:tcW w:w="483" w:type="dxa"/>
            <w:vMerge w:val="continue"/>
            <w:tcBorders>
              <w:tl2br w:val="nil"/>
              <w:tr2bl w:val="nil"/>
            </w:tcBorders>
            <w:noWrap w:val="0"/>
            <w:vAlign w:val="center"/>
          </w:tcPr>
          <w:p>
            <w:pPr>
              <w:widowControl/>
              <w:jc w:val="center"/>
              <w:rPr>
                <w:rFonts w:ascii="宋体" w:hAnsi="宋体" w:cs="宋体"/>
                <w:kern w:val="0"/>
                <w:sz w:val="15"/>
                <w:szCs w:val="15"/>
              </w:rPr>
            </w:pPr>
          </w:p>
        </w:tc>
        <w:tc>
          <w:tcPr>
            <w:tcW w:w="614" w:type="dxa"/>
            <w:vMerge w:val="restart"/>
            <w:tcBorders>
              <w:tl2br w:val="nil"/>
              <w:tr2bl w:val="nil"/>
            </w:tcBorders>
            <w:noWrap w:val="0"/>
            <w:vAlign w:val="center"/>
          </w:tcPr>
          <w:p>
            <w:pPr>
              <w:widowControl/>
              <w:jc w:val="center"/>
              <w:rPr>
                <w:rFonts w:ascii="宋体" w:hAnsi="宋体" w:cs="宋体"/>
                <w:kern w:val="0"/>
                <w:sz w:val="15"/>
                <w:szCs w:val="15"/>
              </w:rPr>
            </w:pPr>
            <w:r>
              <w:rPr>
                <w:rFonts w:hint="eastAsia" w:ascii="宋体" w:hAnsi="宋体" w:cs="宋体"/>
                <w:kern w:val="0"/>
                <w:sz w:val="15"/>
                <w:szCs w:val="15"/>
              </w:rPr>
              <w:t>农科院植保所</w:t>
            </w:r>
          </w:p>
        </w:tc>
        <w:tc>
          <w:tcPr>
            <w:tcW w:w="1108" w:type="dxa"/>
            <w:tcBorders>
              <w:tl2br w:val="nil"/>
              <w:tr2bl w:val="nil"/>
            </w:tcBorders>
            <w:noWrap w:val="0"/>
            <w:vAlign w:val="center"/>
          </w:tcPr>
          <w:p>
            <w:pPr>
              <w:widowControl/>
              <w:jc w:val="center"/>
              <w:rPr>
                <w:rFonts w:ascii="宋体" w:hAnsi="宋体" w:cs="宋体"/>
                <w:kern w:val="0"/>
                <w:sz w:val="15"/>
                <w:szCs w:val="15"/>
              </w:rPr>
            </w:pPr>
            <w:r>
              <w:rPr>
                <w:rFonts w:hint="eastAsia" w:ascii="宋体" w:hAnsi="宋体" w:cs="宋体"/>
                <w:kern w:val="0"/>
                <w:sz w:val="15"/>
                <w:szCs w:val="15"/>
              </w:rPr>
              <w:t>甲胺磷</w:t>
            </w:r>
          </w:p>
        </w:tc>
        <w:tc>
          <w:tcPr>
            <w:tcW w:w="677" w:type="dxa"/>
            <w:tcBorders>
              <w:tl2br w:val="nil"/>
              <w:tr2bl w:val="nil"/>
            </w:tcBorders>
            <w:noWrap w:val="0"/>
            <w:vAlign w:val="center"/>
          </w:tcPr>
          <w:p>
            <w:pPr>
              <w:widowControl/>
              <w:jc w:val="center"/>
              <w:rPr>
                <w:kern w:val="0"/>
                <w:sz w:val="15"/>
                <w:szCs w:val="15"/>
              </w:rPr>
            </w:pPr>
            <w:r>
              <w:rPr>
                <w:kern w:val="0"/>
                <w:sz w:val="15"/>
                <w:szCs w:val="15"/>
              </w:rPr>
              <w:t>3.262</w:t>
            </w:r>
          </w:p>
        </w:tc>
        <w:tc>
          <w:tcPr>
            <w:tcW w:w="674" w:type="dxa"/>
            <w:tcBorders>
              <w:tl2br w:val="nil"/>
              <w:tr2bl w:val="nil"/>
            </w:tcBorders>
            <w:noWrap w:val="0"/>
            <w:vAlign w:val="center"/>
          </w:tcPr>
          <w:p>
            <w:pPr>
              <w:widowControl/>
              <w:jc w:val="center"/>
              <w:rPr>
                <w:kern w:val="0"/>
                <w:sz w:val="15"/>
                <w:szCs w:val="15"/>
              </w:rPr>
            </w:pPr>
            <w:r>
              <w:rPr>
                <w:kern w:val="0"/>
                <w:sz w:val="15"/>
                <w:szCs w:val="15"/>
              </w:rPr>
              <w:t>2.422</w:t>
            </w:r>
          </w:p>
        </w:tc>
        <w:tc>
          <w:tcPr>
            <w:tcW w:w="675" w:type="dxa"/>
            <w:tcBorders>
              <w:tl2br w:val="nil"/>
              <w:tr2bl w:val="nil"/>
            </w:tcBorders>
            <w:noWrap w:val="0"/>
            <w:vAlign w:val="center"/>
          </w:tcPr>
          <w:p>
            <w:pPr>
              <w:widowControl/>
              <w:jc w:val="center"/>
              <w:rPr>
                <w:kern w:val="0"/>
                <w:sz w:val="15"/>
                <w:szCs w:val="15"/>
              </w:rPr>
            </w:pPr>
            <w:r>
              <w:rPr>
                <w:kern w:val="0"/>
                <w:sz w:val="15"/>
                <w:szCs w:val="15"/>
              </w:rPr>
              <w:t>2.396</w:t>
            </w:r>
          </w:p>
        </w:tc>
        <w:tc>
          <w:tcPr>
            <w:tcW w:w="674" w:type="dxa"/>
            <w:tcBorders>
              <w:tl2br w:val="nil"/>
              <w:tr2bl w:val="nil"/>
            </w:tcBorders>
            <w:noWrap w:val="0"/>
            <w:vAlign w:val="center"/>
          </w:tcPr>
          <w:p>
            <w:pPr>
              <w:widowControl/>
              <w:jc w:val="center"/>
              <w:rPr>
                <w:kern w:val="0"/>
                <w:sz w:val="15"/>
                <w:szCs w:val="15"/>
              </w:rPr>
            </w:pPr>
            <w:r>
              <w:rPr>
                <w:kern w:val="0"/>
                <w:sz w:val="15"/>
                <w:szCs w:val="15"/>
              </w:rPr>
              <w:t>2.366</w:t>
            </w:r>
          </w:p>
        </w:tc>
        <w:tc>
          <w:tcPr>
            <w:tcW w:w="674" w:type="dxa"/>
            <w:tcBorders>
              <w:tl2br w:val="nil"/>
              <w:tr2bl w:val="nil"/>
            </w:tcBorders>
            <w:noWrap w:val="0"/>
            <w:vAlign w:val="center"/>
          </w:tcPr>
          <w:p>
            <w:pPr>
              <w:widowControl/>
              <w:jc w:val="center"/>
              <w:rPr>
                <w:kern w:val="0"/>
                <w:sz w:val="15"/>
                <w:szCs w:val="15"/>
              </w:rPr>
            </w:pPr>
            <w:r>
              <w:rPr>
                <w:kern w:val="0"/>
                <w:sz w:val="15"/>
                <w:szCs w:val="15"/>
              </w:rPr>
              <w:t>2.324</w:t>
            </w:r>
          </w:p>
        </w:tc>
        <w:tc>
          <w:tcPr>
            <w:tcW w:w="676" w:type="dxa"/>
            <w:tcBorders>
              <w:tl2br w:val="nil"/>
              <w:tr2bl w:val="nil"/>
            </w:tcBorders>
            <w:noWrap w:val="0"/>
            <w:vAlign w:val="center"/>
          </w:tcPr>
          <w:p>
            <w:pPr>
              <w:widowControl/>
              <w:jc w:val="center"/>
              <w:rPr>
                <w:kern w:val="0"/>
                <w:sz w:val="15"/>
                <w:szCs w:val="15"/>
              </w:rPr>
            </w:pPr>
            <w:r>
              <w:rPr>
                <w:kern w:val="0"/>
                <w:sz w:val="15"/>
                <w:szCs w:val="15"/>
              </w:rPr>
              <w:t>2.341</w:t>
            </w:r>
          </w:p>
        </w:tc>
        <w:tc>
          <w:tcPr>
            <w:tcW w:w="675" w:type="dxa"/>
            <w:tcBorders>
              <w:tl2br w:val="nil"/>
              <w:tr2bl w:val="nil"/>
            </w:tcBorders>
            <w:noWrap w:val="0"/>
            <w:vAlign w:val="center"/>
          </w:tcPr>
          <w:p>
            <w:pPr>
              <w:widowControl/>
              <w:jc w:val="center"/>
              <w:rPr>
                <w:kern w:val="0"/>
                <w:sz w:val="15"/>
                <w:szCs w:val="15"/>
              </w:rPr>
            </w:pPr>
            <w:r>
              <w:rPr>
                <w:kern w:val="0"/>
                <w:sz w:val="15"/>
                <w:szCs w:val="15"/>
              </w:rPr>
              <w:t>2.342</w:t>
            </w:r>
          </w:p>
        </w:tc>
        <w:tc>
          <w:tcPr>
            <w:tcW w:w="676" w:type="dxa"/>
            <w:tcBorders>
              <w:tl2br w:val="nil"/>
              <w:tr2bl w:val="nil"/>
            </w:tcBorders>
            <w:noWrap w:val="0"/>
            <w:vAlign w:val="center"/>
          </w:tcPr>
          <w:p>
            <w:pPr>
              <w:widowControl/>
              <w:jc w:val="center"/>
              <w:rPr>
                <w:kern w:val="0"/>
                <w:sz w:val="15"/>
                <w:szCs w:val="15"/>
              </w:rPr>
            </w:pPr>
            <w:r>
              <w:rPr>
                <w:kern w:val="0"/>
                <w:sz w:val="15"/>
                <w:szCs w:val="15"/>
              </w:rPr>
              <w:t>2.365</w:t>
            </w:r>
          </w:p>
        </w:tc>
        <w:tc>
          <w:tcPr>
            <w:tcW w:w="674" w:type="dxa"/>
            <w:tcBorders>
              <w:tl2br w:val="nil"/>
              <w:tr2bl w:val="nil"/>
            </w:tcBorders>
            <w:noWrap w:val="0"/>
            <w:vAlign w:val="center"/>
          </w:tcPr>
          <w:p>
            <w:pPr>
              <w:widowControl/>
              <w:jc w:val="center"/>
              <w:rPr>
                <w:kern w:val="0"/>
                <w:sz w:val="15"/>
                <w:szCs w:val="15"/>
              </w:rPr>
            </w:pPr>
            <w:r>
              <w:rPr>
                <w:kern w:val="0"/>
                <w:sz w:val="15"/>
                <w:szCs w:val="15"/>
              </w:rPr>
              <w:t>1.58</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jc w:val="center"/>
        </w:trPr>
        <w:tc>
          <w:tcPr>
            <w:tcW w:w="483" w:type="dxa"/>
            <w:vMerge w:val="continue"/>
            <w:tcBorders>
              <w:tl2br w:val="nil"/>
              <w:tr2bl w:val="nil"/>
            </w:tcBorders>
            <w:noWrap w:val="0"/>
            <w:vAlign w:val="center"/>
          </w:tcPr>
          <w:p>
            <w:pPr>
              <w:widowControl/>
              <w:jc w:val="center"/>
              <w:rPr>
                <w:rFonts w:ascii="宋体" w:hAnsi="宋体" w:cs="宋体"/>
                <w:kern w:val="0"/>
                <w:sz w:val="15"/>
                <w:szCs w:val="15"/>
              </w:rPr>
            </w:pPr>
          </w:p>
        </w:tc>
        <w:tc>
          <w:tcPr>
            <w:tcW w:w="614" w:type="dxa"/>
            <w:vMerge w:val="continue"/>
            <w:tcBorders>
              <w:tl2br w:val="nil"/>
              <w:tr2bl w:val="nil"/>
            </w:tcBorders>
            <w:noWrap w:val="0"/>
            <w:vAlign w:val="center"/>
          </w:tcPr>
          <w:p>
            <w:pPr>
              <w:widowControl/>
              <w:jc w:val="center"/>
              <w:rPr>
                <w:rFonts w:ascii="宋体" w:hAnsi="宋体" w:cs="宋体"/>
                <w:kern w:val="0"/>
                <w:sz w:val="15"/>
                <w:szCs w:val="15"/>
              </w:rPr>
            </w:pPr>
          </w:p>
        </w:tc>
        <w:tc>
          <w:tcPr>
            <w:tcW w:w="1108" w:type="dxa"/>
            <w:tcBorders>
              <w:tl2br w:val="nil"/>
              <w:tr2bl w:val="nil"/>
            </w:tcBorders>
            <w:noWrap w:val="0"/>
            <w:vAlign w:val="center"/>
          </w:tcPr>
          <w:p>
            <w:pPr>
              <w:widowControl/>
              <w:jc w:val="center"/>
              <w:rPr>
                <w:rFonts w:ascii="宋体" w:hAnsi="宋体" w:cs="宋体"/>
                <w:kern w:val="0"/>
                <w:sz w:val="15"/>
                <w:szCs w:val="15"/>
              </w:rPr>
            </w:pPr>
            <w:r>
              <w:rPr>
                <w:rFonts w:hint="eastAsia" w:ascii="宋体" w:hAnsi="宋体" w:cs="宋体"/>
                <w:kern w:val="0"/>
                <w:sz w:val="15"/>
                <w:szCs w:val="15"/>
              </w:rPr>
              <w:t>甲拌磷</w:t>
            </w:r>
          </w:p>
        </w:tc>
        <w:tc>
          <w:tcPr>
            <w:tcW w:w="677" w:type="dxa"/>
            <w:tcBorders>
              <w:tl2br w:val="nil"/>
              <w:tr2bl w:val="nil"/>
            </w:tcBorders>
            <w:noWrap w:val="0"/>
            <w:vAlign w:val="center"/>
          </w:tcPr>
          <w:p>
            <w:pPr>
              <w:widowControl/>
              <w:jc w:val="center"/>
              <w:rPr>
                <w:kern w:val="0"/>
                <w:sz w:val="15"/>
                <w:szCs w:val="15"/>
              </w:rPr>
            </w:pPr>
            <w:r>
              <w:rPr>
                <w:kern w:val="0"/>
                <w:sz w:val="15"/>
                <w:szCs w:val="15"/>
              </w:rPr>
              <w:t>1.589</w:t>
            </w:r>
          </w:p>
        </w:tc>
        <w:tc>
          <w:tcPr>
            <w:tcW w:w="674" w:type="dxa"/>
            <w:tcBorders>
              <w:tl2br w:val="nil"/>
              <w:tr2bl w:val="nil"/>
            </w:tcBorders>
            <w:noWrap w:val="0"/>
            <w:vAlign w:val="center"/>
          </w:tcPr>
          <w:p>
            <w:pPr>
              <w:widowControl/>
              <w:jc w:val="center"/>
              <w:rPr>
                <w:kern w:val="0"/>
                <w:sz w:val="15"/>
                <w:szCs w:val="15"/>
              </w:rPr>
            </w:pPr>
            <w:r>
              <w:rPr>
                <w:kern w:val="0"/>
                <w:sz w:val="15"/>
                <w:szCs w:val="15"/>
              </w:rPr>
              <w:t>2.086</w:t>
            </w:r>
          </w:p>
        </w:tc>
        <w:tc>
          <w:tcPr>
            <w:tcW w:w="675" w:type="dxa"/>
            <w:tcBorders>
              <w:tl2br w:val="nil"/>
              <w:tr2bl w:val="nil"/>
            </w:tcBorders>
            <w:noWrap w:val="0"/>
            <w:vAlign w:val="center"/>
          </w:tcPr>
          <w:p>
            <w:pPr>
              <w:widowControl/>
              <w:jc w:val="center"/>
              <w:rPr>
                <w:kern w:val="0"/>
                <w:sz w:val="15"/>
                <w:szCs w:val="15"/>
              </w:rPr>
            </w:pPr>
            <w:r>
              <w:rPr>
                <w:kern w:val="0"/>
                <w:sz w:val="15"/>
                <w:szCs w:val="15"/>
              </w:rPr>
              <w:t>2.116</w:t>
            </w:r>
          </w:p>
        </w:tc>
        <w:tc>
          <w:tcPr>
            <w:tcW w:w="674" w:type="dxa"/>
            <w:tcBorders>
              <w:tl2br w:val="nil"/>
              <w:tr2bl w:val="nil"/>
            </w:tcBorders>
            <w:noWrap w:val="0"/>
            <w:vAlign w:val="center"/>
          </w:tcPr>
          <w:p>
            <w:pPr>
              <w:widowControl/>
              <w:jc w:val="center"/>
              <w:rPr>
                <w:kern w:val="0"/>
                <w:sz w:val="15"/>
                <w:szCs w:val="15"/>
              </w:rPr>
            </w:pPr>
            <w:r>
              <w:rPr>
                <w:kern w:val="0"/>
                <w:sz w:val="15"/>
                <w:szCs w:val="15"/>
              </w:rPr>
              <w:t>2.032</w:t>
            </w:r>
          </w:p>
        </w:tc>
        <w:tc>
          <w:tcPr>
            <w:tcW w:w="674" w:type="dxa"/>
            <w:tcBorders>
              <w:tl2br w:val="nil"/>
              <w:tr2bl w:val="nil"/>
            </w:tcBorders>
            <w:noWrap w:val="0"/>
            <w:vAlign w:val="center"/>
          </w:tcPr>
          <w:p>
            <w:pPr>
              <w:widowControl/>
              <w:jc w:val="center"/>
              <w:rPr>
                <w:kern w:val="0"/>
                <w:sz w:val="15"/>
                <w:szCs w:val="15"/>
              </w:rPr>
            </w:pPr>
            <w:r>
              <w:rPr>
                <w:kern w:val="0"/>
                <w:sz w:val="15"/>
                <w:szCs w:val="15"/>
              </w:rPr>
              <w:t>2.057</w:t>
            </w:r>
          </w:p>
        </w:tc>
        <w:tc>
          <w:tcPr>
            <w:tcW w:w="676" w:type="dxa"/>
            <w:tcBorders>
              <w:tl2br w:val="nil"/>
              <w:tr2bl w:val="nil"/>
            </w:tcBorders>
            <w:noWrap w:val="0"/>
            <w:vAlign w:val="center"/>
          </w:tcPr>
          <w:p>
            <w:pPr>
              <w:widowControl/>
              <w:jc w:val="center"/>
              <w:rPr>
                <w:kern w:val="0"/>
                <w:sz w:val="15"/>
                <w:szCs w:val="15"/>
              </w:rPr>
            </w:pPr>
            <w:r>
              <w:rPr>
                <w:kern w:val="0"/>
                <w:sz w:val="15"/>
                <w:szCs w:val="15"/>
              </w:rPr>
              <w:t>2.047</w:t>
            </w:r>
          </w:p>
        </w:tc>
        <w:tc>
          <w:tcPr>
            <w:tcW w:w="675" w:type="dxa"/>
            <w:tcBorders>
              <w:tl2br w:val="nil"/>
              <w:tr2bl w:val="nil"/>
            </w:tcBorders>
            <w:noWrap w:val="0"/>
            <w:vAlign w:val="center"/>
          </w:tcPr>
          <w:p>
            <w:pPr>
              <w:widowControl/>
              <w:jc w:val="center"/>
              <w:rPr>
                <w:kern w:val="0"/>
                <w:sz w:val="15"/>
                <w:szCs w:val="15"/>
              </w:rPr>
            </w:pPr>
            <w:r>
              <w:rPr>
                <w:kern w:val="0"/>
                <w:sz w:val="15"/>
                <w:szCs w:val="15"/>
              </w:rPr>
              <w:t>2.085</w:t>
            </w:r>
          </w:p>
        </w:tc>
        <w:tc>
          <w:tcPr>
            <w:tcW w:w="676" w:type="dxa"/>
            <w:tcBorders>
              <w:tl2br w:val="nil"/>
              <w:tr2bl w:val="nil"/>
            </w:tcBorders>
            <w:noWrap w:val="0"/>
            <w:vAlign w:val="center"/>
          </w:tcPr>
          <w:p>
            <w:pPr>
              <w:widowControl/>
              <w:jc w:val="center"/>
              <w:rPr>
                <w:kern w:val="0"/>
                <w:sz w:val="15"/>
                <w:szCs w:val="15"/>
              </w:rPr>
            </w:pPr>
            <w:r>
              <w:rPr>
                <w:kern w:val="0"/>
                <w:sz w:val="15"/>
                <w:szCs w:val="15"/>
              </w:rPr>
              <w:t>2.070</w:t>
            </w:r>
          </w:p>
        </w:tc>
        <w:tc>
          <w:tcPr>
            <w:tcW w:w="674" w:type="dxa"/>
            <w:tcBorders>
              <w:tl2br w:val="nil"/>
              <w:tr2bl w:val="nil"/>
            </w:tcBorders>
            <w:noWrap w:val="0"/>
            <w:vAlign w:val="center"/>
          </w:tcPr>
          <w:p>
            <w:pPr>
              <w:widowControl/>
              <w:jc w:val="center"/>
              <w:rPr>
                <w:kern w:val="0"/>
                <w:sz w:val="15"/>
                <w:szCs w:val="15"/>
              </w:rPr>
            </w:pPr>
            <w:r>
              <w:rPr>
                <w:kern w:val="0"/>
                <w:sz w:val="15"/>
                <w:szCs w:val="15"/>
              </w:rPr>
              <w:t>1.49</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jc w:val="center"/>
        </w:trPr>
        <w:tc>
          <w:tcPr>
            <w:tcW w:w="483" w:type="dxa"/>
            <w:vMerge w:val="continue"/>
            <w:tcBorders>
              <w:tl2br w:val="nil"/>
              <w:tr2bl w:val="nil"/>
            </w:tcBorders>
            <w:noWrap w:val="0"/>
            <w:vAlign w:val="center"/>
          </w:tcPr>
          <w:p>
            <w:pPr>
              <w:widowControl/>
              <w:jc w:val="center"/>
              <w:rPr>
                <w:rFonts w:ascii="宋体" w:hAnsi="宋体" w:cs="宋体"/>
                <w:kern w:val="0"/>
                <w:sz w:val="15"/>
                <w:szCs w:val="15"/>
              </w:rPr>
            </w:pPr>
          </w:p>
        </w:tc>
        <w:tc>
          <w:tcPr>
            <w:tcW w:w="614" w:type="dxa"/>
            <w:vMerge w:val="continue"/>
            <w:tcBorders>
              <w:tl2br w:val="nil"/>
              <w:tr2bl w:val="nil"/>
            </w:tcBorders>
            <w:noWrap w:val="0"/>
            <w:vAlign w:val="center"/>
          </w:tcPr>
          <w:p>
            <w:pPr>
              <w:widowControl/>
              <w:jc w:val="center"/>
              <w:rPr>
                <w:rFonts w:ascii="宋体" w:hAnsi="宋体" w:cs="宋体"/>
                <w:kern w:val="0"/>
                <w:sz w:val="15"/>
                <w:szCs w:val="15"/>
              </w:rPr>
            </w:pPr>
          </w:p>
        </w:tc>
        <w:tc>
          <w:tcPr>
            <w:tcW w:w="1108" w:type="dxa"/>
            <w:tcBorders>
              <w:tl2br w:val="nil"/>
              <w:tr2bl w:val="nil"/>
            </w:tcBorders>
            <w:noWrap w:val="0"/>
            <w:vAlign w:val="center"/>
          </w:tcPr>
          <w:p>
            <w:pPr>
              <w:widowControl/>
              <w:jc w:val="center"/>
              <w:rPr>
                <w:rFonts w:ascii="宋体" w:hAnsi="宋体" w:cs="宋体"/>
                <w:kern w:val="0"/>
                <w:sz w:val="15"/>
                <w:szCs w:val="15"/>
              </w:rPr>
            </w:pPr>
            <w:r>
              <w:rPr>
                <w:rFonts w:hint="eastAsia" w:ascii="宋体" w:hAnsi="宋体" w:cs="宋体"/>
                <w:kern w:val="0"/>
                <w:sz w:val="15"/>
                <w:szCs w:val="15"/>
              </w:rPr>
              <w:t>治螟磷</w:t>
            </w:r>
          </w:p>
        </w:tc>
        <w:tc>
          <w:tcPr>
            <w:tcW w:w="677" w:type="dxa"/>
            <w:tcBorders>
              <w:tl2br w:val="nil"/>
              <w:tr2bl w:val="nil"/>
            </w:tcBorders>
            <w:noWrap w:val="0"/>
            <w:vAlign w:val="center"/>
          </w:tcPr>
          <w:p>
            <w:pPr>
              <w:widowControl/>
              <w:jc w:val="center"/>
              <w:rPr>
                <w:kern w:val="0"/>
                <w:sz w:val="15"/>
                <w:szCs w:val="15"/>
              </w:rPr>
            </w:pPr>
            <w:r>
              <w:rPr>
                <w:kern w:val="0"/>
                <w:sz w:val="15"/>
                <w:szCs w:val="15"/>
              </w:rPr>
              <w:t>2.11</w:t>
            </w:r>
          </w:p>
        </w:tc>
        <w:tc>
          <w:tcPr>
            <w:tcW w:w="674" w:type="dxa"/>
            <w:tcBorders>
              <w:tl2br w:val="nil"/>
              <w:tr2bl w:val="nil"/>
            </w:tcBorders>
            <w:noWrap w:val="0"/>
            <w:vAlign w:val="center"/>
          </w:tcPr>
          <w:p>
            <w:pPr>
              <w:widowControl/>
              <w:jc w:val="center"/>
              <w:rPr>
                <w:kern w:val="0"/>
                <w:sz w:val="15"/>
                <w:szCs w:val="15"/>
              </w:rPr>
            </w:pPr>
            <w:r>
              <w:rPr>
                <w:kern w:val="0"/>
                <w:sz w:val="15"/>
                <w:szCs w:val="15"/>
              </w:rPr>
              <w:t>2.516</w:t>
            </w:r>
          </w:p>
        </w:tc>
        <w:tc>
          <w:tcPr>
            <w:tcW w:w="675" w:type="dxa"/>
            <w:tcBorders>
              <w:tl2br w:val="nil"/>
              <w:tr2bl w:val="nil"/>
            </w:tcBorders>
            <w:noWrap w:val="0"/>
            <w:vAlign w:val="center"/>
          </w:tcPr>
          <w:p>
            <w:pPr>
              <w:widowControl/>
              <w:jc w:val="center"/>
              <w:rPr>
                <w:kern w:val="0"/>
                <w:sz w:val="15"/>
                <w:szCs w:val="15"/>
              </w:rPr>
            </w:pPr>
            <w:r>
              <w:rPr>
                <w:kern w:val="0"/>
                <w:sz w:val="15"/>
                <w:szCs w:val="15"/>
              </w:rPr>
              <w:t>2.268</w:t>
            </w:r>
          </w:p>
        </w:tc>
        <w:tc>
          <w:tcPr>
            <w:tcW w:w="674" w:type="dxa"/>
            <w:tcBorders>
              <w:tl2br w:val="nil"/>
              <w:tr2bl w:val="nil"/>
            </w:tcBorders>
            <w:noWrap w:val="0"/>
            <w:vAlign w:val="center"/>
          </w:tcPr>
          <w:p>
            <w:pPr>
              <w:widowControl/>
              <w:jc w:val="center"/>
              <w:rPr>
                <w:kern w:val="0"/>
                <w:sz w:val="15"/>
                <w:szCs w:val="15"/>
              </w:rPr>
            </w:pPr>
            <w:r>
              <w:rPr>
                <w:kern w:val="0"/>
                <w:sz w:val="15"/>
                <w:szCs w:val="15"/>
              </w:rPr>
              <w:t>2.415</w:t>
            </w:r>
          </w:p>
        </w:tc>
        <w:tc>
          <w:tcPr>
            <w:tcW w:w="674" w:type="dxa"/>
            <w:tcBorders>
              <w:tl2br w:val="nil"/>
              <w:tr2bl w:val="nil"/>
            </w:tcBorders>
            <w:noWrap w:val="0"/>
            <w:vAlign w:val="center"/>
          </w:tcPr>
          <w:p>
            <w:pPr>
              <w:widowControl/>
              <w:jc w:val="center"/>
              <w:rPr>
                <w:kern w:val="0"/>
                <w:sz w:val="15"/>
                <w:szCs w:val="15"/>
              </w:rPr>
            </w:pPr>
            <w:r>
              <w:rPr>
                <w:kern w:val="0"/>
                <w:sz w:val="15"/>
                <w:szCs w:val="15"/>
              </w:rPr>
              <w:t>2.200</w:t>
            </w:r>
          </w:p>
        </w:tc>
        <w:tc>
          <w:tcPr>
            <w:tcW w:w="676" w:type="dxa"/>
            <w:tcBorders>
              <w:tl2br w:val="nil"/>
              <w:tr2bl w:val="nil"/>
            </w:tcBorders>
            <w:noWrap w:val="0"/>
            <w:vAlign w:val="center"/>
          </w:tcPr>
          <w:p>
            <w:pPr>
              <w:widowControl/>
              <w:jc w:val="center"/>
              <w:rPr>
                <w:kern w:val="0"/>
                <w:sz w:val="15"/>
                <w:szCs w:val="15"/>
              </w:rPr>
            </w:pPr>
            <w:r>
              <w:rPr>
                <w:kern w:val="0"/>
                <w:sz w:val="15"/>
                <w:szCs w:val="15"/>
              </w:rPr>
              <w:t>2.308</w:t>
            </w:r>
          </w:p>
        </w:tc>
        <w:tc>
          <w:tcPr>
            <w:tcW w:w="675" w:type="dxa"/>
            <w:tcBorders>
              <w:tl2br w:val="nil"/>
              <w:tr2bl w:val="nil"/>
            </w:tcBorders>
            <w:noWrap w:val="0"/>
            <w:vAlign w:val="center"/>
          </w:tcPr>
          <w:p>
            <w:pPr>
              <w:widowControl/>
              <w:jc w:val="center"/>
              <w:rPr>
                <w:kern w:val="0"/>
                <w:sz w:val="15"/>
                <w:szCs w:val="15"/>
              </w:rPr>
            </w:pPr>
            <w:r>
              <w:rPr>
                <w:kern w:val="0"/>
                <w:sz w:val="15"/>
                <w:szCs w:val="15"/>
              </w:rPr>
              <w:t>2.193</w:t>
            </w:r>
          </w:p>
        </w:tc>
        <w:tc>
          <w:tcPr>
            <w:tcW w:w="676" w:type="dxa"/>
            <w:tcBorders>
              <w:tl2br w:val="nil"/>
              <w:tr2bl w:val="nil"/>
            </w:tcBorders>
            <w:noWrap w:val="0"/>
            <w:vAlign w:val="center"/>
          </w:tcPr>
          <w:p>
            <w:pPr>
              <w:widowControl/>
              <w:jc w:val="center"/>
              <w:rPr>
                <w:kern w:val="0"/>
                <w:sz w:val="15"/>
                <w:szCs w:val="15"/>
              </w:rPr>
            </w:pPr>
            <w:r>
              <w:rPr>
                <w:kern w:val="0"/>
                <w:sz w:val="15"/>
                <w:szCs w:val="15"/>
              </w:rPr>
              <w:t>2.317</w:t>
            </w:r>
          </w:p>
        </w:tc>
        <w:tc>
          <w:tcPr>
            <w:tcW w:w="674" w:type="dxa"/>
            <w:tcBorders>
              <w:tl2br w:val="nil"/>
              <w:tr2bl w:val="nil"/>
            </w:tcBorders>
            <w:noWrap w:val="0"/>
            <w:vAlign w:val="center"/>
          </w:tcPr>
          <w:p>
            <w:pPr>
              <w:widowControl/>
              <w:jc w:val="center"/>
              <w:rPr>
                <w:kern w:val="0"/>
                <w:sz w:val="15"/>
                <w:szCs w:val="15"/>
              </w:rPr>
            </w:pPr>
            <w:r>
              <w:rPr>
                <w:kern w:val="0"/>
                <w:sz w:val="15"/>
                <w:szCs w:val="15"/>
              </w:rPr>
              <w:t>5.48</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jc w:val="center"/>
        </w:trPr>
        <w:tc>
          <w:tcPr>
            <w:tcW w:w="483" w:type="dxa"/>
            <w:vMerge w:val="continue"/>
            <w:tcBorders>
              <w:tl2br w:val="nil"/>
              <w:tr2bl w:val="nil"/>
            </w:tcBorders>
            <w:noWrap w:val="0"/>
            <w:vAlign w:val="center"/>
          </w:tcPr>
          <w:p>
            <w:pPr>
              <w:widowControl/>
              <w:jc w:val="center"/>
              <w:rPr>
                <w:rFonts w:ascii="宋体" w:hAnsi="宋体" w:cs="宋体"/>
                <w:kern w:val="0"/>
                <w:sz w:val="15"/>
                <w:szCs w:val="15"/>
              </w:rPr>
            </w:pPr>
          </w:p>
        </w:tc>
        <w:tc>
          <w:tcPr>
            <w:tcW w:w="614" w:type="dxa"/>
            <w:vMerge w:val="continue"/>
            <w:tcBorders>
              <w:tl2br w:val="nil"/>
              <w:tr2bl w:val="nil"/>
            </w:tcBorders>
            <w:noWrap w:val="0"/>
            <w:vAlign w:val="center"/>
          </w:tcPr>
          <w:p>
            <w:pPr>
              <w:widowControl/>
              <w:jc w:val="center"/>
              <w:rPr>
                <w:rFonts w:ascii="宋体" w:hAnsi="宋体" w:cs="宋体"/>
                <w:kern w:val="0"/>
                <w:sz w:val="15"/>
                <w:szCs w:val="15"/>
              </w:rPr>
            </w:pPr>
          </w:p>
        </w:tc>
        <w:tc>
          <w:tcPr>
            <w:tcW w:w="1108" w:type="dxa"/>
            <w:tcBorders>
              <w:tl2br w:val="nil"/>
              <w:tr2bl w:val="nil"/>
            </w:tcBorders>
            <w:noWrap w:val="0"/>
            <w:vAlign w:val="center"/>
          </w:tcPr>
          <w:p>
            <w:pPr>
              <w:widowControl/>
              <w:jc w:val="center"/>
              <w:rPr>
                <w:rFonts w:ascii="宋体" w:hAnsi="宋体" w:cs="宋体"/>
                <w:kern w:val="0"/>
                <w:sz w:val="15"/>
                <w:szCs w:val="15"/>
              </w:rPr>
            </w:pPr>
            <w:r>
              <w:rPr>
                <w:rFonts w:hint="eastAsia" w:ascii="宋体" w:hAnsi="宋体" w:cs="宋体"/>
                <w:kern w:val="0"/>
                <w:sz w:val="15"/>
                <w:szCs w:val="15"/>
              </w:rPr>
              <w:t>氧乐果</w:t>
            </w:r>
          </w:p>
        </w:tc>
        <w:tc>
          <w:tcPr>
            <w:tcW w:w="677" w:type="dxa"/>
            <w:tcBorders>
              <w:tl2br w:val="nil"/>
              <w:tr2bl w:val="nil"/>
            </w:tcBorders>
            <w:noWrap w:val="0"/>
            <w:vAlign w:val="center"/>
          </w:tcPr>
          <w:p>
            <w:pPr>
              <w:widowControl/>
              <w:jc w:val="center"/>
              <w:rPr>
                <w:kern w:val="0"/>
                <w:sz w:val="15"/>
                <w:szCs w:val="15"/>
              </w:rPr>
            </w:pPr>
            <w:r>
              <w:rPr>
                <w:kern w:val="0"/>
                <w:sz w:val="15"/>
                <w:szCs w:val="15"/>
              </w:rPr>
              <w:t>1.635</w:t>
            </w:r>
          </w:p>
        </w:tc>
        <w:tc>
          <w:tcPr>
            <w:tcW w:w="674" w:type="dxa"/>
            <w:tcBorders>
              <w:tl2br w:val="nil"/>
              <w:tr2bl w:val="nil"/>
            </w:tcBorders>
            <w:noWrap w:val="0"/>
            <w:vAlign w:val="center"/>
          </w:tcPr>
          <w:p>
            <w:pPr>
              <w:widowControl/>
              <w:jc w:val="center"/>
              <w:rPr>
                <w:kern w:val="0"/>
                <w:sz w:val="15"/>
                <w:szCs w:val="15"/>
              </w:rPr>
            </w:pPr>
            <w:r>
              <w:rPr>
                <w:kern w:val="0"/>
                <w:sz w:val="15"/>
                <w:szCs w:val="15"/>
              </w:rPr>
              <w:t>2.500</w:t>
            </w:r>
          </w:p>
        </w:tc>
        <w:tc>
          <w:tcPr>
            <w:tcW w:w="675" w:type="dxa"/>
            <w:tcBorders>
              <w:tl2br w:val="nil"/>
              <w:tr2bl w:val="nil"/>
            </w:tcBorders>
            <w:noWrap w:val="0"/>
            <w:vAlign w:val="center"/>
          </w:tcPr>
          <w:p>
            <w:pPr>
              <w:widowControl/>
              <w:jc w:val="center"/>
              <w:rPr>
                <w:kern w:val="0"/>
                <w:sz w:val="15"/>
                <w:szCs w:val="15"/>
              </w:rPr>
            </w:pPr>
            <w:r>
              <w:rPr>
                <w:kern w:val="0"/>
                <w:sz w:val="15"/>
                <w:szCs w:val="15"/>
              </w:rPr>
              <w:t>2.570</w:t>
            </w:r>
          </w:p>
        </w:tc>
        <w:tc>
          <w:tcPr>
            <w:tcW w:w="674" w:type="dxa"/>
            <w:tcBorders>
              <w:tl2br w:val="nil"/>
              <w:tr2bl w:val="nil"/>
            </w:tcBorders>
            <w:noWrap w:val="0"/>
            <w:vAlign w:val="center"/>
          </w:tcPr>
          <w:p>
            <w:pPr>
              <w:widowControl/>
              <w:jc w:val="center"/>
              <w:rPr>
                <w:kern w:val="0"/>
                <w:sz w:val="15"/>
                <w:szCs w:val="15"/>
              </w:rPr>
            </w:pPr>
            <w:r>
              <w:rPr>
                <w:kern w:val="0"/>
                <w:sz w:val="15"/>
                <w:szCs w:val="15"/>
              </w:rPr>
              <w:t>2.392</w:t>
            </w:r>
          </w:p>
        </w:tc>
        <w:tc>
          <w:tcPr>
            <w:tcW w:w="674" w:type="dxa"/>
            <w:tcBorders>
              <w:tl2br w:val="nil"/>
              <w:tr2bl w:val="nil"/>
            </w:tcBorders>
            <w:noWrap w:val="0"/>
            <w:vAlign w:val="center"/>
          </w:tcPr>
          <w:p>
            <w:pPr>
              <w:widowControl/>
              <w:jc w:val="center"/>
              <w:rPr>
                <w:kern w:val="0"/>
                <w:sz w:val="15"/>
                <w:szCs w:val="15"/>
              </w:rPr>
            </w:pPr>
            <w:r>
              <w:rPr>
                <w:kern w:val="0"/>
                <w:sz w:val="15"/>
                <w:szCs w:val="15"/>
              </w:rPr>
              <w:t>2.345</w:t>
            </w:r>
          </w:p>
        </w:tc>
        <w:tc>
          <w:tcPr>
            <w:tcW w:w="676" w:type="dxa"/>
            <w:tcBorders>
              <w:tl2br w:val="nil"/>
              <w:tr2bl w:val="nil"/>
            </w:tcBorders>
            <w:noWrap w:val="0"/>
            <w:vAlign w:val="center"/>
          </w:tcPr>
          <w:p>
            <w:pPr>
              <w:widowControl/>
              <w:jc w:val="center"/>
              <w:rPr>
                <w:kern w:val="0"/>
                <w:sz w:val="15"/>
                <w:szCs w:val="15"/>
              </w:rPr>
            </w:pPr>
            <w:r>
              <w:rPr>
                <w:kern w:val="0"/>
                <w:sz w:val="15"/>
                <w:szCs w:val="15"/>
              </w:rPr>
              <w:t>2.429</w:t>
            </w:r>
          </w:p>
        </w:tc>
        <w:tc>
          <w:tcPr>
            <w:tcW w:w="675" w:type="dxa"/>
            <w:tcBorders>
              <w:tl2br w:val="nil"/>
              <w:tr2bl w:val="nil"/>
            </w:tcBorders>
            <w:noWrap w:val="0"/>
            <w:vAlign w:val="center"/>
          </w:tcPr>
          <w:p>
            <w:pPr>
              <w:widowControl/>
              <w:jc w:val="center"/>
              <w:rPr>
                <w:kern w:val="0"/>
                <w:sz w:val="15"/>
                <w:szCs w:val="15"/>
              </w:rPr>
            </w:pPr>
            <w:r>
              <w:rPr>
                <w:kern w:val="0"/>
                <w:sz w:val="15"/>
                <w:szCs w:val="15"/>
              </w:rPr>
              <w:t>2.234</w:t>
            </w:r>
          </w:p>
        </w:tc>
        <w:tc>
          <w:tcPr>
            <w:tcW w:w="676" w:type="dxa"/>
            <w:tcBorders>
              <w:tl2br w:val="nil"/>
              <w:tr2bl w:val="nil"/>
            </w:tcBorders>
            <w:noWrap w:val="0"/>
            <w:vAlign w:val="center"/>
          </w:tcPr>
          <w:p>
            <w:pPr>
              <w:widowControl/>
              <w:jc w:val="center"/>
              <w:rPr>
                <w:kern w:val="0"/>
                <w:sz w:val="15"/>
                <w:szCs w:val="15"/>
              </w:rPr>
            </w:pPr>
            <w:r>
              <w:rPr>
                <w:kern w:val="0"/>
                <w:sz w:val="15"/>
                <w:szCs w:val="15"/>
              </w:rPr>
              <w:t>2.412</w:t>
            </w:r>
          </w:p>
        </w:tc>
        <w:tc>
          <w:tcPr>
            <w:tcW w:w="674" w:type="dxa"/>
            <w:tcBorders>
              <w:tl2br w:val="nil"/>
              <w:tr2bl w:val="nil"/>
            </w:tcBorders>
            <w:noWrap w:val="0"/>
            <w:vAlign w:val="center"/>
          </w:tcPr>
          <w:p>
            <w:pPr>
              <w:widowControl/>
              <w:jc w:val="center"/>
              <w:rPr>
                <w:kern w:val="0"/>
                <w:sz w:val="15"/>
                <w:szCs w:val="15"/>
              </w:rPr>
            </w:pPr>
            <w:r>
              <w:rPr>
                <w:kern w:val="0"/>
                <w:sz w:val="15"/>
                <w:szCs w:val="15"/>
              </w:rPr>
              <w:t>4.89</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jc w:val="center"/>
        </w:trPr>
        <w:tc>
          <w:tcPr>
            <w:tcW w:w="483" w:type="dxa"/>
            <w:vMerge w:val="continue"/>
            <w:tcBorders>
              <w:tl2br w:val="nil"/>
              <w:tr2bl w:val="nil"/>
            </w:tcBorders>
            <w:noWrap w:val="0"/>
            <w:vAlign w:val="center"/>
          </w:tcPr>
          <w:p>
            <w:pPr>
              <w:widowControl/>
              <w:jc w:val="center"/>
              <w:rPr>
                <w:rFonts w:ascii="宋体" w:hAnsi="宋体" w:cs="宋体"/>
                <w:kern w:val="0"/>
                <w:sz w:val="15"/>
                <w:szCs w:val="15"/>
              </w:rPr>
            </w:pPr>
          </w:p>
        </w:tc>
        <w:tc>
          <w:tcPr>
            <w:tcW w:w="614" w:type="dxa"/>
            <w:vMerge w:val="continue"/>
            <w:tcBorders>
              <w:tl2br w:val="nil"/>
              <w:tr2bl w:val="nil"/>
            </w:tcBorders>
            <w:noWrap w:val="0"/>
            <w:vAlign w:val="center"/>
          </w:tcPr>
          <w:p>
            <w:pPr>
              <w:widowControl/>
              <w:jc w:val="center"/>
              <w:rPr>
                <w:rFonts w:ascii="宋体" w:hAnsi="宋体" w:cs="宋体"/>
                <w:kern w:val="0"/>
                <w:sz w:val="15"/>
                <w:szCs w:val="15"/>
              </w:rPr>
            </w:pPr>
          </w:p>
        </w:tc>
        <w:tc>
          <w:tcPr>
            <w:tcW w:w="1108" w:type="dxa"/>
            <w:tcBorders>
              <w:tl2br w:val="nil"/>
              <w:tr2bl w:val="nil"/>
            </w:tcBorders>
            <w:noWrap w:val="0"/>
            <w:vAlign w:val="center"/>
          </w:tcPr>
          <w:p>
            <w:pPr>
              <w:widowControl/>
              <w:jc w:val="center"/>
              <w:rPr>
                <w:rFonts w:ascii="宋体" w:hAnsi="宋体" w:cs="宋体"/>
                <w:kern w:val="0"/>
                <w:sz w:val="15"/>
                <w:szCs w:val="15"/>
              </w:rPr>
            </w:pPr>
            <w:r>
              <w:rPr>
                <w:rFonts w:hint="eastAsia" w:ascii="宋体" w:hAnsi="宋体" w:cs="宋体"/>
                <w:kern w:val="0"/>
                <w:sz w:val="15"/>
                <w:szCs w:val="15"/>
              </w:rPr>
              <w:t>特丁硫磷</w:t>
            </w:r>
          </w:p>
        </w:tc>
        <w:tc>
          <w:tcPr>
            <w:tcW w:w="677" w:type="dxa"/>
            <w:tcBorders>
              <w:tl2br w:val="nil"/>
              <w:tr2bl w:val="nil"/>
            </w:tcBorders>
            <w:noWrap w:val="0"/>
            <w:vAlign w:val="center"/>
          </w:tcPr>
          <w:p>
            <w:pPr>
              <w:widowControl/>
              <w:jc w:val="center"/>
              <w:rPr>
                <w:kern w:val="0"/>
                <w:sz w:val="15"/>
                <w:szCs w:val="15"/>
              </w:rPr>
            </w:pPr>
            <w:r>
              <w:rPr>
                <w:kern w:val="0"/>
                <w:sz w:val="15"/>
                <w:szCs w:val="15"/>
              </w:rPr>
              <w:t>0.952</w:t>
            </w:r>
          </w:p>
        </w:tc>
        <w:tc>
          <w:tcPr>
            <w:tcW w:w="674" w:type="dxa"/>
            <w:tcBorders>
              <w:tl2br w:val="nil"/>
              <w:tr2bl w:val="nil"/>
            </w:tcBorders>
            <w:noWrap w:val="0"/>
            <w:vAlign w:val="center"/>
          </w:tcPr>
          <w:p>
            <w:pPr>
              <w:widowControl/>
              <w:jc w:val="center"/>
              <w:rPr>
                <w:kern w:val="0"/>
                <w:sz w:val="15"/>
                <w:szCs w:val="15"/>
              </w:rPr>
            </w:pPr>
            <w:r>
              <w:rPr>
                <w:kern w:val="0"/>
                <w:sz w:val="15"/>
                <w:szCs w:val="15"/>
              </w:rPr>
              <w:t>2.214</w:t>
            </w:r>
          </w:p>
        </w:tc>
        <w:tc>
          <w:tcPr>
            <w:tcW w:w="675" w:type="dxa"/>
            <w:tcBorders>
              <w:tl2br w:val="nil"/>
              <w:tr2bl w:val="nil"/>
            </w:tcBorders>
            <w:noWrap w:val="0"/>
            <w:vAlign w:val="center"/>
          </w:tcPr>
          <w:p>
            <w:pPr>
              <w:widowControl/>
              <w:jc w:val="center"/>
              <w:rPr>
                <w:kern w:val="0"/>
                <w:sz w:val="15"/>
                <w:szCs w:val="15"/>
              </w:rPr>
            </w:pPr>
            <w:r>
              <w:rPr>
                <w:kern w:val="0"/>
                <w:sz w:val="15"/>
                <w:szCs w:val="15"/>
              </w:rPr>
              <w:t>2.240</w:t>
            </w:r>
          </w:p>
        </w:tc>
        <w:tc>
          <w:tcPr>
            <w:tcW w:w="674" w:type="dxa"/>
            <w:tcBorders>
              <w:tl2br w:val="nil"/>
              <w:tr2bl w:val="nil"/>
            </w:tcBorders>
            <w:noWrap w:val="0"/>
            <w:vAlign w:val="center"/>
          </w:tcPr>
          <w:p>
            <w:pPr>
              <w:widowControl/>
              <w:jc w:val="center"/>
              <w:rPr>
                <w:kern w:val="0"/>
                <w:sz w:val="15"/>
                <w:szCs w:val="15"/>
              </w:rPr>
            </w:pPr>
            <w:r>
              <w:rPr>
                <w:kern w:val="0"/>
                <w:sz w:val="15"/>
                <w:szCs w:val="15"/>
              </w:rPr>
              <w:t>2.310</w:t>
            </w:r>
          </w:p>
        </w:tc>
        <w:tc>
          <w:tcPr>
            <w:tcW w:w="674" w:type="dxa"/>
            <w:tcBorders>
              <w:tl2br w:val="nil"/>
              <w:tr2bl w:val="nil"/>
            </w:tcBorders>
            <w:noWrap w:val="0"/>
            <w:vAlign w:val="center"/>
          </w:tcPr>
          <w:p>
            <w:pPr>
              <w:widowControl/>
              <w:jc w:val="center"/>
              <w:rPr>
                <w:kern w:val="0"/>
                <w:sz w:val="15"/>
                <w:szCs w:val="15"/>
              </w:rPr>
            </w:pPr>
            <w:r>
              <w:rPr>
                <w:kern w:val="0"/>
                <w:sz w:val="15"/>
                <w:szCs w:val="15"/>
              </w:rPr>
              <w:t>2.223</w:t>
            </w:r>
          </w:p>
        </w:tc>
        <w:tc>
          <w:tcPr>
            <w:tcW w:w="676" w:type="dxa"/>
            <w:tcBorders>
              <w:tl2br w:val="nil"/>
              <w:tr2bl w:val="nil"/>
            </w:tcBorders>
            <w:noWrap w:val="0"/>
            <w:vAlign w:val="center"/>
          </w:tcPr>
          <w:p>
            <w:pPr>
              <w:widowControl/>
              <w:jc w:val="center"/>
              <w:rPr>
                <w:kern w:val="0"/>
                <w:sz w:val="15"/>
                <w:szCs w:val="15"/>
              </w:rPr>
            </w:pPr>
            <w:r>
              <w:rPr>
                <w:kern w:val="0"/>
                <w:sz w:val="15"/>
                <w:szCs w:val="15"/>
              </w:rPr>
              <w:t>2.414</w:t>
            </w:r>
          </w:p>
        </w:tc>
        <w:tc>
          <w:tcPr>
            <w:tcW w:w="675" w:type="dxa"/>
            <w:tcBorders>
              <w:tl2br w:val="nil"/>
              <w:tr2bl w:val="nil"/>
            </w:tcBorders>
            <w:noWrap w:val="0"/>
            <w:vAlign w:val="center"/>
          </w:tcPr>
          <w:p>
            <w:pPr>
              <w:widowControl/>
              <w:jc w:val="center"/>
              <w:rPr>
                <w:kern w:val="0"/>
                <w:sz w:val="15"/>
                <w:szCs w:val="15"/>
              </w:rPr>
            </w:pPr>
            <w:r>
              <w:rPr>
                <w:kern w:val="0"/>
                <w:sz w:val="15"/>
                <w:szCs w:val="15"/>
              </w:rPr>
              <w:t>2.116</w:t>
            </w:r>
          </w:p>
        </w:tc>
        <w:tc>
          <w:tcPr>
            <w:tcW w:w="676" w:type="dxa"/>
            <w:tcBorders>
              <w:tl2br w:val="nil"/>
              <w:tr2bl w:val="nil"/>
            </w:tcBorders>
            <w:noWrap w:val="0"/>
            <w:vAlign w:val="center"/>
          </w:tcPr>
          <w:p>
            <w:pPr>
              <w:widowControl/>
              <w:jc w:val="center"/>
              <w:rPr>
                <w:kern w:val="0"/>
                <w:sz w:val="15"/>
                <w:szCs w:val="15"/>
              </w:rPr>
            </w:pPr>
            <w:r>
              <w:rPr>
                <w:kern w:val="0"/>
                <w:sz w:val="15"/>
                <w:szCs w:val="15"/>
              </w:rPr>
              <w:t>2.253</w:t>
            </w:r>
          </w:p>
        </w:tc>
        <w:tc>
          <w:tcPr>
            <w:tcW w:w="674" w:type="dxa"/>
            <w:tcBorders>
              <w:tl2br w:val="nil"/>
              <w:tr2bl w:val="nil"/>
            </w:tcBorders>
            <w:noWrap w:val="0"/>
            <w:vAlign w:val="center"/>
          </w:tcPr>
          <w:p>
            <w:pPr>
              <w:widowControl/>
              <w:jc w:val="center"/>
              <w:rPr>
                <w:kern w:val="0"/>
                <w:sz w:val="15"/>
                <w:szCs w:val="15"/>
              </w:rPr>
            </w:pPr>
            <w:r>
              <w:rPr>
                <w:kern w:val="0"/>
                <w:sz w:val="15"/>
                <w:szCs w:val="15"/>
              </w:rPr>
              <w:t>4.46</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jc w:val="center"/>
        </w:trPr>
        <w:tc>
          <w:tcPr>
            <w:tcW w:w="483" w:type="dxa"/>
            <w:vMerge w:val="continue"/>
            <w:tcBorders>
              <w:tl2br w:val="nil"/>
              <w:tr2bl w:val="nil"/>
            </w:tcBorders>
            <w:noWrap w:val="0"/>
            <w:vAlign w:val="center"/>
          </w:tcPr>
          <w:p>
            <w:pPr>
              <w:widowControl/>
              <w:jc w:val="center"/>
              <w:rPr>
                <w:rFonts w:ascii="宋体" w:hAnsi="宋体" w:cs="宋体"/>
                <w:kern w:val="0"/>
                <w:sz w:val="15"/>
                <w:szCs w:val="15"/>
              </w:rPr>
            </w:pPr>
          </w:p>
        </w:tc>
        <w:tc>
          <w:tcPr>
            <w:tcW w:w="614" w:type="dxa"/>
            <w:vMerge w:val="continue"/>
            <w:tcBorders>
              <w:tl2br w:val="nil"/>
              <w:tr2bl w:val="nil"/>
            </w:tcBorders>
            <w:noWrap w:val="0"/>
            <w:vAlign w:val="center"/>
          </w:tcPr>
          <w:p>
            <w:pPr>
              <w:widowControl/>
              <w:jc w:val="center"/>
              <w:rPr>
                <w:rFonts w:ascii="宋体" w:hAnsi="宋体" w:cs="宋体"/>
                <w:kern w:val="0"/>
                <w:sz w:val="15"/>
                <w:szCs w:val="15"/>
              </w:rPr>
            </w:pPr>
          </w:p>
        </w:tc>
        <w:tc>
          <w:tcPr>
            <w:tcW w:w="1108" w:type="dxa"/>
            <w:tcBorders>
              <w:tl2br w:val="nil"/>
              <w:tr2bl w:val="nil"/>
            </w:tcBorders>
            <w:noWrap w:val="0"/>
            <w:vAlign w:val="center"/>
          </w:tcPr>
          <w:p>
            <w:pPr>
              <w:widowControl/>
              <w:jc w:val="center"/>
              <w:rPr>
                <w:rFonts w:ascii="宋体" w:hAnsi="宋体" w:cs="宋体"/>
                <w:kern w:val="0"/>
                <w:sz w:val="15"/>
                <w:szCs w:val="15"/>
              </w:rPr>
            </w:pPr>
            <w:r>
              <w:rPr>
                <w:rFonts w:hint="eastAsia" w:ascii="宋体" w:hAnsi="宋体" w:cs="宋体"/>
                <w:kern w:val="0"/>
                <w:sz w:val="15"/>
                <w:szCs w:val="15"/>
              </w:rPr>
              <w:t>久效磷</w:t>
            </w:r>
          </w:p>
        </w:tc>
        <w:tc>
          <w:tcPr>
            <w:tcW w:w="677" w:type="dxa"/>
            <w:tcBorders>
              <w:tl2br w:val="nil"/>
              <w:tr2bl w:val="nil"/>
            </w:tcBorders>
            <w:noWrap w:val="0"/>
            <w:vAlign w:val="center"/>
          </w:tcPr>
          <w:p>
            <w:pPr>
              <w:widowControl/>
              <w:jc w:val="center"/>
              <w:rPr>
                <w:kern w:val="0"/>
                <w:sz w:val="15"/>
                <w:szCs w:val="15"/>
              </w:rPr>
            </w:pPr>
            <w:r>
              <w:rPr>
                <w:kern w:val="0"/>
                <w:sz w:val="15"/>
                <w:szCs w:val="15"/>
              </w:rPr>
              <w:t>2.501</w:t>
            </w:r>
          </w:p>
        </w:tc>
        <w:tc>
          <w:tcPr>
            <w:tcW w:w="674" w:type="dxa"/>
            <w:tcBorders>
              <w:tl2br w:val="nil"/>
              <w:tr2bl w:val="nil"/>
            </w:tcBorders>
            <w:noWrap w:val="0"/>
            <w:vAlign w:val="center"/>
          </w:tcPr>
          <w:p>
            <w:pPr>
              <w:widowControl/>
              <w:jc w:val="center"/>
              <w:rPr>
                <w:kern w:val="0"/>
                <w:sz w:val="15"/>
                <w:szCs w:val="15"/>
              </w:rPr>
            </w:pPr>
            <w:r>
              <w:rPr>
                <w:kern w:val="0"/>
                <w:sz w:val="15"/>
                <w:szCs w:val="15"/>
              </w:rPr>
              <w:t>2.215</w:t>
            </w:r>
          </w:p>
        </w:tc>
        <w:tc>
          <w:tcPr>
            <w:tcW w:w="675" w:type="dxa"/>
            <w:tcBorders>
              <w:tl2br w:val="nil"/>
              <w:tr2bl w:val="nil"/>
            </w:tcBorders>
            <w:noWrap w:val="0"/>
            <w:vAlign w:val="center"/>
          </w:tcPr>
          <w:p>
            <w:pPr>
              <w:widowControl/>
              <w:jc w:val="center"/>
              <w:rPr>
                <w:kern w:val="0"/>
                <w:sz w:val="15"/>
                <w:szCs w:val="15"/>
              </w:rPr>
            </w:pPr>
            <w:r>
              <w:rPr>
                <w:kern w:val="0"/>
                <w:sz w:val="15"/>
                <w:szCs w:val="15"/>
              </w:rPr>
              <w:t>2.204</w:t>
            </w:r>
          </w:p>
        </w:tc>
        <w:tc>
          <w:tcPr>
            <w:tcW w:w="674" w:type="dxa"/>
            <w:tcBorders>
              <w:tl2br w:val="nil"/>
              <w:tr2bl w:val="nil"/>
            </w:tcBorders>
            <w:noWrap w:val="0"/>
            <w:vAlign w:val="center"/>
          </w:tcPr>
          <w:p>
            <w:pPr>
              <w:widowControl/>
              <w:jc w:val="center"/>
              <w:rPr>
                <w:kern w:val="0"/>
                <w:sz w:val="15"/>
                <w:szCs w:val="15"/>
              </w:rPr>
            </w:pPr>
            <w:r>
              <w:rPr>
                <w:kern w:val="0"/>
                <w:sz w:val="15"/>
                <w:szCs w:val="15"/>
              </w:rPr>
              <w:t>2.111</w:t>
            </w:r>
          </w:p>
        </w:tc>
        <w:tc>
          <w:tcPr>
            <w:tcW w:w="674" w:type="dxa"/>
            <w:tcBorders>
              <w:tl2br w:val="nil"/>
              <w:tr2bl w:val="nil"/>
            </w:tcBorders>
            <w:noWrap w:val="0"/>
            <w:vAlign w:val="center"/>
          </w:tcPr>
          <w:p>
            <w:pPr>
              <w:widowControl/>
              <w:jc w:val="center"/>
              <w:rPr>
                <w:kern w:val="0"/>
                <w:sz w:val="15"/>
                <w:szCs w:val="15"/>
              </w:rPr>
            </w:pPr>
            <w:r>
              <w:rPr>
                <w:kern w:val="0"/>
                <w:sz w:val="15"/>
                <w:szCs w:val="15"/>
              </w:rPr>
              <w:t>2.091</w:t>
            </w:r>
          </w:p>
        </w:tc>
        <w:tc>
          <w:tcPr>
            <w:tcW w:w="676" w:type="dxa"/>
            <w:tcBorders>
              <w:tl2br w:val="nil"/>
              <w:tr2bl w:val="nil"/>
            </w:tcBorders>
            <w:noWrap w:val="0"/>
            <w:vAlign w:val="center"/>
          </w:tcPr>
          <w:p>
            <w:pPr>
              <w:widowControl/>
              <w:jc w:val="center"/>
              <w:rPr>
                <w:kern w:val="0"/>
                <w:sz w:val="15"/>
                <w:szCs w:val="15"/>
              </w:rPr>
            </w:pPr>
            <w:r>
              <w:rPr>
                <w:kern w:val="0"/>
                <w:sz w:val="15"/>
                <w:szCs w:val="15"/>
              </w:rPr>
              <w:t>2.267</w:t>
            </w:r>
          </w:p>
        </w:tc>
        <w:tc>
          <w:tcPr>
            <w:tcW w:w="675" w:type="dxa"/>
            <w:tcBorders>
              <w:tl2br w:val="nil"/>
              <w:tr2bl w:val="nil"/>
            </w:tcBorders>
            <w:noWrap w:val="0"/>
            <w:vAlign w:val="center"/>
          </w:tcPr>
          <w:p>
            <w:pPr>
              <w:widowControl/>
              <w:jc w:val="center"/>
              <w:rPr>
                <w:kern w:val="0"/>
                <w:sz w:val="15"/>
                <w:szCs w:val="15"/>
              </w:rPr>
            </w:pPr>
            <w:r>
              <w:rPr>
                <w:kern w:val="0"/>
                <w:sz w:val="15"/>
                <w:szCs w:val="15"/>
              </w:rPr>
              <w:t>2.254</w:t>
            </w:r>
          </w:p>
        </w:tc>
        <w:tc>
          <w:tcPr>
            <w:tcW w:w="676" w:type="dxa"/>
            <w:tcBorders>
              <w:tl2br w:val="nil"/>
              <w:tr2bl w:val="nil"/>
            </w:tcBorders>
            <w:noWrap w:val="0"/>
            <w:vAlign w:val="center"/>
          </w:tcPr>
          <w:p>
            <w:pPr>
              <w:widowControl/>
              <w:jc w:val="center"/>
              <w:rPr>
                <w:kern w:val="0"/>
                <w:sz w:val="15"/>
                <w:szCs w:val="15"/>
              </w:rPr>
            </w:pPr>
            <w:r>
              <w:rPr>
                <w:kern w:val="0"/>
                <w:sz w:val="15"/>
                <w:szCs w:val="15"/>
              </w:rPr>
              <w:t>2.190</w:t>
            </w:r>
          </w:p>
        </w:tc>
        <w:tc>
          <w:tcPr>
            <w:tcW w:w="674" w:type="dxa"/>
            <w:tcBorders>
              <w:tl2br w:val="nil"/>
              <w:tr2bl w:val="nil"/>
            </w:tcBorders>
            <w:noWrap w:val="0"/>
            <w:vAlign w:val="center"/>
          </w:tcPr>
          <w:p>
            <w:pPr>
              <w:widowControl/>
              <w:jc w:val="center"/>
              <w:rPr>
                <w:kern w:val="0"/>
                <w:sz w:val="15"/>
                <w:szCs w:val="15"/>
              </w:rPr>
            </w:pPr>
            <w:r>
              <w:rPr>
                <w:kern w:val="0"/>
                <w:sz w:val="15"/>
                <w:szCs w:val="15"/>
              </w:rPr>
              <w:t>3.35</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jc w:val="center"/>
        </w:trPr>
        <w:tc>
          <w:tcPr>
            <w:tcW w:w="483" w:type="dxa"/>
            <w:vMerge w:val="continue"/>
            <w:tcBorders>
              <w:tl2br w:val="nil"/>
              <w:tr2bl w:val="nil"/>
            </w:tcBorders>
            <w:noWrap w:val="0"/>
            <w:vAlign w:val="center"/>
          </w:tcPr>
          <w:p>
            <w:pPr>
              <w:widowControl/>
              <w:jc w:val="center"/>
              <w:rPr>
                <w:rFonts w:ascii="宋体" w:hAnsi="宋体" w:cs="宋体"/>
                <w:kern w:val="0"/>
                <w:sz w:val="15"/>
                <w:szCs w:val="15"/>
              </w:rPr>
            </w:pPr>
          </w:p>
        </w:tc>
        <w:tc>
          <w:tcPr>
            <w:tcW w:w="614" w:type="dxa"/>
            <w:vMerge w:val="continue"/>
            <w:tcBorders>
              <w:tl2br w:val="nil"/>
              <w:tr2bl w:val="nil"/>
            </w:tcBorders>
            <w:noWrap w:val="0"/>
            <w:vAlign w:val="center"/>
          </w:tcPr>
          <w:p>
            <w:pPr>
              <w:widowControl/>
              <w:jc w:val="center"/>
              <w:rPr>
                <w:rFonts w:ascii="宋体" w:hAnsi="宋体" w:cs="宋体"/>
                <w:kern w:val="0"/>
                <w:sz w:val="15"/>
                <w:szCs w:val="15"/>
              </w:rPr>
            </w:pPr>
          </w:p>
        </w:tc>
        <w:tc>
          <w:tcPr>
            <w:tcW w:w="1108" w:type="dxa"/>
            <w:tcBorders>
              <w:tl2br w:val="nil"/>
              <w:tr2bl w:val="nil"/>
            </w:tcBorders>
            <w:noWrap w:val="0"/>
            <w:vAlign w:val="center"/>
          </w:tcPr>
          <w:p>
            <w:pPr>
              <w:widowControl/>
              <w:jc w:val="center"/>
              <w:rPr>
                <w:rFonts w:ascii="宋体" w:hAnsi="宋体" w:cs="宋体"/>
                <w:kern w:val="0"/>
                <w:sz w:val="15"/>
                <w:szCs w:val="15"/>
              </w:rPr>
            </w:pPr>
            <w:r>
              <w:rPr>
                <w:rFonts w:hint="eastAsia" w:ascii="宋体" w:hAnsi="宋体" w:cs="宋体"/>
                <w:kern w:val="0"/>
                <w:sz w:val="15"/>
                <w:szCs w:val="15"/>
              </w:rPr>
              <w:t>甲基对硫磷</w:t>
            </w:r>
          </w:p>
        </w:tc>
        <w:tc>
          <w:tcPr>
            <w:tcW w:w="677" w:type="dxa"/>
            <w:tcBorders>
              <w:tl2br w:val="nil"/>
              <w:tr2bl w:val="nil"/>
            </w:tcBorders>
            <w:noWrap w:val="0"/>
            <w:vAlign w:val="center"/>
          </w:tcPr>
          <w:p>
            <w:pPr>
              <w:widowControl/>
              <w:jc w:val="center"/>
              <w:rPr>
                <w:kern w:val="0"/>
                <w:sz w:val="15"/>
                <w:szCs w:val="15"/>
              </w:rPr>
            </w:pPr>
            <w:r>
              <w:rPr>
                <w:kern w:val="0"/>
                <w:sz w:val="15"/>
                <w:szCs w:val="15"/>
              </w:rPr>
              <w:t>1.325</w:t>
            </w:r>
          </w:p>
        </w:tc>
        <w:tc>
          <w:tcPr>
            <w:tcW w:w="674" w:type="dxa"/>
            <w:tcBorders>
              <w:tl2br w:val="nil"/>
              <w:tr2bl w:val="nil"/>
            </w:tcBorders>
            <w:noWrap w:val="0"/>
            <w:vAlign w:val="center"/>
          </w:tcPr>
          <w:p>
            <w:pPr>
              <w:widowControl/>
              <w:jc w:val="center"/>
              <w:rPr>
                <w:kern w:val="0"/>
                <w:sz w:val="15"/>
                <w:szCs w:val="15"/>
              </w:rPr>
            </w:pPr>
            <w:r>
              <w:rPr>
                <w:kern w:val="0"/>
                <w:sz w:val="15"/>
                <w:szCs w:val="15"/>
              </w:rPr>
              <w:t>2.391</w:t>
            </w:r>
          </w:p>
        </w:tc>
        <w:tc>
          <w:tcPr>
            <w:tcW w:w="675" w:type="dxa"/>
            <w:tcBorders>
              <w:tl2br w:val="nil"/>
              <w:tr2bl w:val="nil"/>
            </w:tcBorders>
            <w:noWrap w:val="0"/>
            <w:vAlign w:val="center"/>
          </w:tcPr>
          <w:p>
            <w:pPr>
              <w:widowControl/>
              <w:jc w:val="center"/>
              <w:rPr>
                <w:kern w:val="0"/>
                <w:sz w:val="15"/>
                <w:szCs w:val="15"/>
              </w:rPr>
            </w:pPr>
            <w:r>
              <w:rPr>
                <w:kern w:val="0"/>
                <w:sz w:val="15"/>
                <w:szCs w:val="15"/>
              </w:rPr>
              <w:t>2.209</w:t>
            </w:r>
          </w:p>
        </w:tc>
        <w:tc>
          <w:tcPr>
            <w:tcW w:w="674" w:type="dxa"/>
            <w:tcBorders>
              <w:tl2br w:val="nil"/>
              <w:tr2bl w:val="nil"/>
            </w:tcBorders>
            <w:noWrap w:val="0"/>
            <w:vAlign w:val="center"/>
          </w:tcPr>
          <w:p>
            <w:pPr>
              <w:widowControl/>
              <w:jc w:val="center"/>
              <w:rPr>
                <w:kern w:val="0"/>
                <w:sz w:val="15"/>
                <w:szCs w:val="15"/>
              </w:rPr>
            </w:pPr>
            <w:r>
              <w:rPr>
                <w:kern w:val="0"/>
                <w:sz w:val="15"/>
                <w:szCs w:val="15"/>
              </w:rPr>
              <w:t>2.342</w:t>
            </w:r>
          </w:p>
        </w:tc>
        <w:tc>
          <w:tcPr>
            <w:tcW w:w="674" w:type="dxa"/>
            <w:tcBorders>
              <w:tl2br w:val="nil"/>
              <w:tr2bl w:val="nil"/>
            </w:tcBorders>
            <w:noWrap w:val="0"/>
            <w:vAlign w:val="center"/>
          </w:tcPr>
          <w:p>
            <w:pPr>
              <w:widowControl/>
              <w:jc w:val="center"/>
              <w:rPr>
                <w:kern w:val="0"/>
                <w:sz w:val="15"/>
                <w:szCs w:val="15"/>
              </w:rPr>
            </w:pPr>
            <w:r>
              <w:rPr>
                <w:kern w:val="0"/>
                <w:sz w:val="15"/>
                <w:szCs w:val="15"/>
              </w:rPr>
              <w:t>2.144</w:t>
            </w:r>
          </w:p>
        </w:tc>
        <w:tc>
          <w:tcPr>
            <w:tcW w:w="676" w:type="dxa"/>
            <w:tcBorders>
              <w:tl2br w:val="nil"/>
              <w:tr2bl w:val="nil"/>
            </w:tcBorders>
            <w:noWrap w:val="0"/>
            <w:vAlign w:val="center"/>
          </w:tcPr>
          <w:p>
            <w:pPr>
              <w:widowControl/>
              <w:jc w:val="center"/>
              <w:rPr>
                <w:kern w:val="0"/>
                <w:sz w:val="15"/>
                <w:szCs w:val="15"/>
              </w:rPr>
            </w:pPr>
            <w:r>
              <w:rPr>
                <w:kern w:val="0"/>
                <w:sz w:val="15"/>
                <w:szCs w:val="15"/>
              </w:rPr>
              <w:t>2.337</w:t>
            </w:r>
          </w:p>
        </w:tc>
        <w:tc>
          <w:tcPr>
            <w:tcW w:w="675" w:type="dxa"/>
            <w:tcBorders>
              <w:tl2br w:val="nil"/>
              <w:tr2bl w:val="nil"/>
            </w:tcBorders>
            <w:noWrap w:val="0"/>
            <w:vAlign w:val="center"/>
          </w:tcPr>
          <w:p>
            <w:pPr>
              <w:widowControl/>
              <w:jc w:val="center"/>
              <w:rPr>
                <w:kern w:val="0"/>
                <w:sz w:val="15"/>
                <w:szCs w:val="15"/>
              </w:rPr>
            </w:pPr>
            <w:r>
              <w:rPr>
                <w:kern w:val="0"/>
                <w:sz w:val="15"/>
                <w:szCs w:val="15"/>
              </w:rPr>
              <w:t>2.088</w:t>
            </w:r>
          </w:p>
        </w:tc>
        <w:tc>
          <w:tcPr>
            <w:tcW w:w="676" w:type="dxa"/>
            <w:tcBorders>
              <w:tl2br w:val="nil"/>
              <w:tr2bl w:val="nil"/>
            </w:tcBorders>
            <w:noWrap w:val="0"/>
            <w:vAlign w:val="center"/>
          </w:tcPr>
          <w:p>
            <w:pPr>
              <w:widowControl/>
              <w:jc w:val="center"/>
              <w:rPr>
                <w:kern w:val="0"/>
                <w:sz w:val="15"/>
                <w:szCs w:val="15"/>
              </w:rPr>
            </w:pPr>
            <w:r>
              <w:rPr>
                <w:kern w:val="0"/>
                <w:sz w:val="15"/>
                <w:szCs w:val="15"/>
              </w:rPr>
              <w:t>2.252</w:t>
            </w:r>
          </w:p>
        </w:tc>
        <w:tc>
          <w:tcPr>
            <w:tcW w:w="674" w:type="dxa"/>
            <w:tcBorders>
              <w:tl2br w:val="nil"/>
              <w:tr2bl w:val="nil"/>
            </w:tcBorders>
            <w:noWrap w:val="0"/>
            <w:vAlign w:val="center"/>
          </w:tcPr>
          <w:p>
            <w:pPr>
              <w:widowControl/>
              <w:jc w:val="center"/>
              <w:rPr>
                <w:kern w:val="0"/>
                <w:sz w:val="15"/>
                <w:szCs w:val="15"/>
              </w:rPr>
            </w:pPr>
            <w:r>
              <w:rPr>
                <w:kern w:val="0"/>
                <w:sz w:val="15"/>
                <w:szCs w:val="15"/>
              </w:rPr>
              <w:t>5.44</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jc w:val="center"/>
        </w:trPr>
        <w:tc>
          <w:tcPr>
            <w:tcW w:w="483" w:type="dxa"/>
            <w:vMerge w:val="continue"/>
            <w:tcBorders>
              <w:tl2br w:val="nil"/>
              <w:tr2bl w:val="nil"/>
            </w:tcBorders>
            <w:noWrap w:val="0"/>
            <w:vAlign w:val="center"/>
          </w:tcPr>
          <w:p>
            <w:pPr>
              <w:widowControl/>
              <w:jc w:val="center"/>
              <w:rPr>
                <w:rFonts w:ascii="宋体" w:hAnsi="宋体" w:cs="宋体"/>
                <w:kern w:val="0"/>
                <w:sz w:val="15"/>
                <w:szCs w:val="15"/>
              </w:rPr>
            </w:pPr>
          </w:p>
        </w:tc>
        <w:tc>
          <w:tcPr>
            <w:tcW w:w="614" w:type="dxa"/>
            <w:vMerge w:val="continue"/>
            <w:tcBorders>
              <w:tl2br w:val="nil"/>
              <w:tr2bl w:val="nil"/>
            </w:tcBorders>
            <w:noWrap w:val="0"/>
            <w:vAlign w:val="center"/>
          </w:tcPr>
          <w:p>
            <w:pPr>
              <w:widowControl/>
              <w:jc w:val="center"/>
              <w:rPr>
                <w:rFonts w:ascii="宋体" w:hAnsi="宋体" w:cs="宋体"/>
                <w:kern w:val="0"/>
                <w:sz w:val="15"/>
                <w:szCs w:val="15"/>
              </w:rPr>
            </w:pPr>
          </w:p>
        </w:tc>
        <w:tc>
          <w:tcPr>
            <w:tcW w:w="1108" w:type="dxa"/>
            <w:tcBorders>
              <w:tl2br w:val="nil"/>
              <w:tr2bl w:val="nil"/>
            </w:tcBorders>
            <w:noWrap w:val="0"/>
            <w:vAlign w:val="center"/>
          </w:tcPr>
          <w:p>
            <w:pPr>
              <w:widowControl/>
              <w:jc w:val="center"/>
              <w:rPr>
                <w:rFonts w:ascii="宋体" w:hAnsi="宋体" w:cs="宋体"/>
                <w:kern w:val="0"/>
                <w:sz w:val="15"/>
                <w:szCs w:val="15"/>
              </w:rPr>
            </w:pPr>
            <w:r>
              <w:rPr>
                <w:rFonts w:hint="eastAsia" w:ascii="宋体" w:hAnsi="宋体" w:cs="宋体"/>
                <w:kern w:val="0"/>
                <w:sz w:val="15"/>
                <w:szCs w:val="15"/>
              </w:rPr>
              <w:t>对硫磷</w:t>
            </w:r>
          </w:p>
        </w:tc>
        <w:tc>
          <w:tcPr>
            <w:tcW w:w="677" w:type="dxa"/>
            <w:tcBorders>
              <w:tl2br w:val="nil"/>
              <w:tr2bl w:val="nil"/>
            </w:tcBorders>
            <w:noWrap w:val="0"/>
            <w:vAlign w:val="center"/>
          </w:tcPr>
          <w:p>
            <w:pPr>
              <w:widowControl/>
              <w:jc w:val="center"/>
              <w:rPr>
                <w:kern w:val="0"/>
                <w:sz w:val="15"/>
                <w:szCs w:val="15"/>
              </w:rPr>
            </w:pPr>
            <w:r>
              <w:rPr>
                <w:kern w:val="0"/>
                <w:sz w:val="15"/>
                <w:szCs w:val="15"/>
              </w:rPr>
              <w:t>1.458</w:t>
            </w:r>
          </w:p>
        </w:tc>
        <w:tc>
          <w:tcPr>
            <w:tcW w:w="674" w:type="dxa"/>
            <w:tcBorders>
              <w:tl2br w:val="nil"/>
              <w:tr2bl w:val="nil"/>
            </w:tcBorders>
            <w:noWrap w:val="0"/>
            <w:vAlign w:val="center"/>
          </w:tcPr>
          <w:p>
            <w:pPr>
              <w:widowControl/>
              <w:jc w:val="center"/>
              <w:rPr>
                <w:kern w:val="0"/>
                <w:sz w:val="15"/>
                <w:szCs w:val="15"/>
              </w:rPr>
            </w:pPr>
            <w:r>
              <w:rPr>
                <w:kern w:val="0"/>
                <w:sz w:val="15"/>
                <w:szCs w:val="15"/>
              </w:rPr>
              <w:t>2.764</w:t>
            </w:r>
          </w:p>
        </w:tc>
        <w:tc>
          <w:tcPr>
            <w:tcW w:w="675" w:type="dxa"/>
            <w:tcBorders>
              <w:tl2br w:val="nil"/>
              <w:tr2bl w:val="nil"/>
            </w:tcBorders>
            <w:noWrap w:val="0"/>
            <w:vAlign w:val="center"/>
          </w:tcPr>
          <w:p>
            <w:pPr>
              <w:widowControl/>
              <w:jc w:val="center"/>
              <w:rPr>
                <w:kern w:val="0"/>
                <w:sz w:val="15"/>
                <w:szCs w:val="15"/>
              </w:rPr>
            </w:pPr>
            <w:r>
              <w:rPr>
                <w:kern w:val="0"/>
                <w:sz w:val="15"/>
                <w:szCs w:val="15"/>
              </w:rPr>
              <w:t>2.316</w:t>
            </w:r>
          </w:p>
        </w:tc>
        <w:tc>
          <w:tcPr>
            <w:tcW w:w="674" w:type="dxa"/>
            <w:tcBorders>
              <w:tl2br w:val="nil"/>
              <w:tr2bl w:val="nil"/>
            </w:tcBorders>
            <w:noWrap w:val="0"/>
            <w:vAlign w:val="center"/>
          </w:tcPr>
          <w:p>
            <w:pPr>
              <w:widowControl/>
              <w:jc w:val="center"/>
              <w:rPr>
                <w:kern w:val="0"/>
                <w:sz w:val="15"/>
                <w:szCs w:val="15"/>
              </w:rPr>
            </w:pPr>
            <w:r>
              <w:rPr>
                <w:kern w:val="0"/>
                <w:sz w:val="15"/>
                <w:szCs w:val="15"/>
              </w:rPr>
              <w:t>2.471</w:t>
            </w:r>
          </w:p>
        </w:tc>
        <w:tc>
          <w:tcPr>
            <w:tcW w:w="674" w:type="dxa"/>
            <w:tcBorders>
              <w:tl2br w:val="nil"/>
              <w:tr2bl w:val="nil"/>
            </w:tcBorders>
            <w:noWrap w:val="0"/>
            <w:vAlign w:val="center"/>
          </w:tcPr>
          <w:p>
            <w:pPr>
              <w:widowControl/>
              <w:jc w:val="center"/>
              <w:rPr>
                <w:kern w:val="0"/>
                <w:sz w:val="15"/>
                <w:szCs w:val="15"/>
              </w:rPr>
            </w:pPr>
            <w:r>
              <w:rPr>
                <w:kern w:val="0"/>
                <w:sz w:val="15"/>
                <w:szCs w:val="15"/>
              </w:rPr>
              <w:t>2.243</w:t>
            </w:r>
          </w:p>
        </w:tc>
        <w:tc>
          <w:tcPr>
            <w:tcW w:w="676" w:type="dxa"/>
            <w:tcBorders>
              <w:tl2br w:val="nil"/>
              <w:tr2bl w:val="nil"/>
            </w:tcBorders>
            <w:noWrap w:val="0"/>
            <w:vAlign w:val="center"/>
          </w:tcPr>
          <w:p>
            <w:pPr>
              <w:widowControl/>
              <w:jc w:val="center"/>
              <w:rPr>
                <w:kern w:val="0"/>
                <w:sz w:val="15"/>
                <w:szCs w:val="15"/>
              </w:rPr>
            </w:pPr>
            <w:r>
              <w:rPr>
                <w:kern w:val="0"/>
                <w:sz w:val="15"/>
                <w:szCs w:val="15"/>
              </w:rPr>
              <w:t>2.218</w:t>
            </w:r>
          </w:p>
        </w:tc>
        <w:tc>
          <w:tcPr>
            <w:tcW w:w="675" w:type="dxa"/>
            <w:tcBorders>
              <w:tl2br w:val="nil"/>
              <w:tr2bl w:val="nil"/>
            </w:tcBorders>
            <w:noWrap w:val="0"/>
            <w:vAlign w:val="center"/>
          </w:tcPr>
          <w:p>
            <w:pPr>
              <w:widowControl/>
              <w:jc w:val="center"/>
              <w:rPr>
                <w:kern w:val="0"/>
                <w:sz w:val="15"/>
                <w:szCs w:val="15"/>
              </w:rPr>
            </w:pPr>
            <w:r>
              <w:rPr>
                <w:kern w:val="0"/>
                <w:sz w:val="15"/>
                <w:szCs w:val="15"/>
              </w:rPr>
              <w:t>2.373</w:t>
            </w:r>
          </w:p>
        </w:tc>
        <w:tc>
          <w:tcPr>
            <w:tcW w:w="676" w:type="dxa"/>
            <w:tcBorders>
              <w:tl2br w:val="nil"/>
              <w:tr2bl w:val="nil"/>
            </w:tcBorders>
            <w:noWrap w:val="0"/>
            <w:vAlign w:val="center"/>
          </w:tcPr>
          <w:p>
            <w:pPr>
              <w:widowControl/>
              <w:jc w:val="center"/>
              <w:rPr>
                <w:kern w:val="0"/>
                <w:sz w:val="15"/>
                <w:szCs w:val="15"/>
              </w:rPr>
            </w:pPr>
            <w:r>
              <w:rPr>
                <w:kern w:val="0"/>
                <w:sz w:val="15"/>
                <w:szCs w:val="15"/>
              </w:rPr>
              <w:t>2.398</w:t>
            </w:r>
          </w:p>
        </w:tc>
        <w:tc>
          <w:tcPr>
            <w:tcW w:w="674" w:type="dxa"/>
            <w:tcBorders>
              <w:tl2br w:val="nil"/>
              <w:tr2bl w:val="nil"/>
            </w:tcBorders>
            <w:noWrap w:val="0"/>
            <w:vAlign w:val="center"/>
          </w:tcPr>
          <w:p>
            <w:pPr>
              <w:widowControl/>
              <w:jc w:val="center"/>
              <w:rPr>
                <w:kern w:val="0"/>
                <w:sz w:val="15"/>
                <w:szCs w:val="15"/>
              </w:rPr>
            </w:pPr>
            <w:r>
              <w:rPr>
                <w:kern w:val="0"/>
                <w:sz w:val="15"/>
                <w:szCs w:val="15"/>
              </w:rPr>
              <w:t>8.41</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jc w:val="center"/>
        </w:trPr>
        <w:tc>
          <w:tcPr>
            <w:tcW w:w="483" w:type="dxa"/>
            <w:vMerge w:val="continue"/>
            <w:tcBorders>
              <w:tl2br w:val="nil"/>
              <w:tr2bl w:val="nil"/>
            </w:tcBorders>
            <w:noWrap w:val="0"/>
            <w:vAlign w:val="center"/>
          </w:tcPr>
          <w:p>
            <w:pPr>
              <w:widowControl/>
              <w:jc w:val="center"/>
              <w:rPr>
                <w:rFonts w:ascii="宋体" w:hAnsi="宋体" w:cs="宋体"/>
                <w:kern w:val="0"/>
                <w:sz w:val="15"/>
                <w:szCs w:val="15"/>
              </w:rPr>
            </w:pPr>
          </w:p>
        </w:tc>
        <w:tc>
          <w:tcPr>
            <w:tcW w:w="614" w:type="dxa"/>
            <w:vMerge w:val="continue"/>
            <w:tcBorders>
              <w:tl2br w:val="nil"/>
              <w:tr2bl w:val="nil"/>
            </w:tcBorders>
            <w:noWrap w:val="0"/>
            <w:vAlign w:val="center"/>
          </w:tcPr>
          <w:p>
            <w:pPr>
              <w:widowControl/>
              <w:jc w:val="center"/>
              <w:rPr>
                <w:rFonts w:ascii="宋体" w:hAnsi="宋体" w:cs="宋体"/>
                <w:kern w:val="0"/>
                <w:sz w:val="15"/>
                <w:szCs w:val="15"/>
              </w:rPr>
            </w:pPr>
          </w:p>
        </w:tc>
        <w:tc>
          <w:tcPr>
            <w:tcW w:w="1108" w:type="dxa"/>
            <w:tcBorders>
              <w:tl2br w:val="nil"/>
              <w:tr2bl w:val="nil"/>
            </w:tcBorders>
            <w:noWrap w:val="0"/>
            <w:vAlign w:val="center"/>
          </w:tcPr>
          <w:p>
            <w:pPr>
              <w:widowControl/>
              <w:jc w:val="center"/>
              <w:rPr>
                <w:rFonts w:ascii="宋体" w:hAnsi="宋体" w:cs="宋体"/>
                <w:kern w:val="0"/>
                <w:sz w:val="15"/>
                <w:szCs w:val="15"/>
              </w:rPr>
            </w:pPr>
            <w:r>
              <w:rPr>
                <w:rFonts w:hint="eastAsia" w:ascii="宋体" w:hAnsi="宋体" w:cs="宋体"/>
                <w:kern w:val="0"/>
                <w:sz w:val="15"/>
                <w:szCs w:val="15"/>
              </w:rPr>
              <w:t>甲基异柳磷</w:t>
            </w:r>
          </w:p>
        </w:tc>
        <w:tc>
          <w:tcPr>
            <w:tcW w:w="677" w:type="dxa"/>
            <w:tcBorders>
              <w:tl2br w:val="nil"/>
              <w:tr2bl w:val="nil"/>
            </w:tcBorders>
            <w:noWrap w:val="0"/>
            <w:vAlign w:val="center"/>
          </w:tcPr>
          <w:p>
            <w:pPr>
              <w:widowControl/>
              <w:jc w:val="center"/>
              <w:rPr>
                <w:kern w:val="0"/>
                <w:sz w:val="15"/>
                <w:szCs w:val="15"/>
              </w:rPr>
            </w:pPr>
            <w:r>
              <w:rPr>
                <w:kern w:val="0"/>
                <w:sz w:val="15"/>
                <w:szCs w:val="15"/>
              </w:rPr>
              <w:t>0.256</w:t>
            </w:r>
          </w:p>
        </w:tc>
        <w:tc>
          <w:tcPr>
            <w:tcW w:w="674" w:type="dxa"/>
            <w:tcBorders>
              <w:tl2br w:val="nil"/>
              <w:tr2bl w:val="nil"/>
            </w:tcBorders>
            <w:noWrap w:val="0"/>
            <w:vAlign w:val="center"/>
          </w:tcPr>
          <w:p>
            <w:pPr>
              <w:widowControl/>
              <w:jc w:val="center"/>
              <w:rPr>
                <w:kern w:val="0"/>
                <w:sz w:val="15"/>
                <w:szCs w:val="15"/>
              </w:rPr>
            </w:pPr>
            <w:r>
              <w:rPr>
                <w:kern w:val="0"/>
                <w:sz w:val="15"/>
                <w:szCs w:val="15"/>
              </w:rPr>
              <w:t>2.493</w:t>
            </w:r>
          </w:p>
        </w:tc>
        <w:tc>
          <w:tcPr>
            <w:tcW w:w="675" w:type="dxa"/>
            <w:tcBorders>
              <w:tl2br w:val="nil"/>
              <w:tr2bl w:val="nil"/>
            </w:tcBorders>
            <w:noWrap w:val="0"/>
            <w:vAlign w:val="center"/>
          </w:tcPr>
          <w:p>
            <w:pPr>
              <w:widowControl/>
              <w:jc w:val="center"/>
              <w:rPr>
                <w:kern w:val="0"/>
                <w:sz w:val="15"/>
                <w:szCs w:val="15"/>
              </w:rPr>
            </w:pPr>
            <w:r>
              <w:rPr>
                <w:kern w:val="0"/>
                <w:sz w:val="15"/>
                <w:szCs w:val="15"/>
              </w:rPr>
              <w:t>2.260</w:t>
            </w:r>
          </w:p>
        </w:tc>
        <w:tc>
          <w:tcPr>
            <w:tcW w:w="674" w:type="dxa"/>
            <w:tcBorders>
              <w:tl2br w:val="nil"/>
              <w:tr2bl w:val="nil"/>
            </w:tcBorders>
            <w:noWrap w:val="0"/>
            <w:vAlign w:val="center"/>
          </w:tcPr>
          <w:p>
            <w:pPr>
              <w:widowControl/>
              <w:jc w:val="center"/>
              <w:rPr>
                <w:kern w:val="0"/>
                <w:sz w:val="15"/>
                <w:szCs w:val="15"/>
              </w:rPr>
            </w:pPr>
            <w:r>
              <w:rPr>
                <w:kern w:val="0"/>
                <w:sz w:val="15"/>
                <w:szCs w:val="15"/>
              </w:rPr>
              <w:t>2.392</w:t>
            </w:r>
          </w:p>
        </w:tc>
        <w:tc>
          <w:tcPr>
            <w:tcW w:w="674" w:type="dxa"/>
            <w:tcBorders>
              <w:tl2br w:val="nil"/>
              <w:tr2bl w:val="nil"/>
            </w:tcBorders>
            <w:noWrap w:val="0"/>
            <w:vAlign w:val="center"/>
          </w:tcPr>
          <w:p>
            <w:pPr>
              <w:widowControl/>
              <w:jc w:val="center"/>
              <w:rPr>
                <w:kern w:val="0"/>
                <w:sz w:val="15"/>
                <w:szCs w:val="15"/>
              </w:rPr>
            </w:pPr>
            <w:r>
              <w:rPr>
                <w:kern w:val="0"/>
                <w:sz w:val="15"/>
                <w:szCs w:val="15"/>
              </w:rPr>
              <w:t>2.240</w:t>
            </w:r>
          </w:p>
        </w:tc>
        <w:tc>
          <w:tcPr>
            <w:tcW w:w="676" w:type="dxa"/>
            <w:tcBorders>
              <w:tl2br w:val="nil"/>
              <w:tr2bl w:val="nil"/>
            </w:tcBorders>
            <w:noWrap w:val="0"/>
            <w:vAlign w:val="center"/>
          </w:tcPr>
          <w:p>
            <w:pPr>
              <w:widowControl/>
              <w:jc w:val="center"/>
              <w:rPr>
                <w:kern w:val="0"/>
                <w:sz w:val="15"/>
                <w:szCs w:val="15"/>
              </w:rPr>
            </w:pPr>
            <w:r>
              <w:rPr>
                <w:kern w:val="0"/>
                <w:sz w:val="15"/>
                <w:szCs w:val="15"/>
              </w:rPr>
              <w:t>2.556</w:t>
            </w:r>
          </w:p>
        </w:tc>
        <w:tc>
          <w:tcPr>
            <w:tcW w:w="675" w:type="dxa"/>
            <w:tcBorders>
              <w:tl2br w:val="nil"/>
              <w:tr2bl w:val="nil"/>
            </w:tcBorders>
            <w:noWrap w:val="0"/>
            <w:vAlign w:val="center"/>
          </w:tcPr>
          <w:p>
            <w:pPr>
              <w:widowControl/>
              <w:jc w:val="center"/>
              <w:rPr>
                <w:kern w:val="0"/>
                <w:sz w:val="15"/>
                <w:szCs w:val="15"/>
              </w:rPr>
            </w:pPr>
            <w:r>
              <w:rPr>
                <w:kern w:val="0"/>
                <w:sz w:val="15"/>
                <w:szCs w:val="15"/>
              </w:rPr>
              <w:t>2.288</w:t>
            </w:r>
          </w:p>
        </w:tc>
        <w:tc>
          <w:tcPr>
            <w:tcW w:w="676" w:type="dxa"/>
            <w:tcBorders>
              <w:tl2br w:val="nil"/>
              <w:tr2bl w:val="nil"/>
            </w:tcBorders>
            <w:noWrap w:val="0"/>
            <w:vAlign w:val="center"/>
          </w:tcPr>
          <w:p>
            <w:pPr>
              <w:widowControl/>
              <w:jc w:val="center"/>
              <w:rPr>
                <w:kern w:val="0"/>
                <w:sz w:val="15"/>
                <w:szCs w:val="15"/>
              </w:rPr>
            </w:pPr>
            <w:r>
              <w:rPr>
                <w:kern w:val="0"/>
                <w:sz w:val="15"/>
                <w:szCs w:val="15"/>
              </w:rPr>
              <w:t>2.372</w:t>
            </w:r>
          </w:p>
        </w:tc>
        <w:tc>
          <w:tcPr>
            <w:tcW w:w="674" w:type="dxa"/>
            <w:tcBorders>
              <w:tl2br w:val="nil"/>
              <w:tr2bl w:val="nil"/>
            </w:tcBorders>
            <w:noWrap w:val="0"/>
            <w:vAlign w:val="center"/>
          </w:tcPr>
          <w:p>
            <w:pPr>
              <w:widowControl/>
              <w:jc w:val="center"/>
              <w:rPr>
                <w:kern w:val="0"/>
                <w:sz w:val="15"/>
                <w:szCs w:val="15"/>
              </w:rPr>
            </w:pPr>
            <w:r>
              <w:rPr>
                <w:kern w:val="0"/>
                <w:sz w:val="15"/>
                <w:szCs w:val="15"/>
              </w:rPr>
              <w:t>5.52</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6" w:hRule="atLeast"/>
          <w:jc w:val="center"/>
        </w:trPr>
        <w:tc>
          <w:tcPr>
            <w:tcW w:w="483" w:type="dxa"/>
            <w:vMerge w:val="continue"/>
            <w:tcBorders>
              <w:tl2br w:val="nil"/>
              <w:tr2bl w:val="nil"/>
            </w:tcBorders>
            <w:noWrap w:val="0"/>
            <w:vAlign w:val="center"/>
          </w:tcPr>
          <w:p>
            <w:pPr>
              <w:widowControl/>
              <w:jc w:val="center"/>
              <w:rPr>
                <w:rFonts w:ascii="宋体" w:hAnsi="宋体" w:cs="宋体"/>
                <w:kern w:val="0"/>
                <w:sz w:val="15"/>
                <w:szCs w:val="15"/>
              </w:rPr>
            </w:pPr>
          </w:p>
        </w:tc>
        <w:tc>
          <w:tcPr>
            <w:tcW w:w="614" w:type="dxa"/>
            <w:vMerge w:val="continue"/>
            <w:tcBorders>
              <w:tl2br w:val="nil"/>
              <w:tr2bl w:val="nil"/>
            </w:tcBorders>
            <w:noWrap w:val="0"/>
            <w:vAlign w:val="center"/>
          </w:tcPr>
          <w:p>
            <w:pPr>
              <w:widowControl/>
              <w:jc w:val="center"/>
              <w:rPr>
                <w:rFonts w:ascii="宋体" w:hAnsi="宋体" w:cs="宋体"/>
                <w:kern w:val="0"/>
                <w:sz w:val="15"/>
                <w:szCs w:val="15"/>
              </w:rPr>
            </w:pPr>
          </w:p>
        </w:tc>
        <w:tc>
          <w:tcPr>
            <w:tcW w:w="1108" w:type="dxa"/>
            <w:tcBorders>
              <w:tl2br w:val="nil"/>
              <w:tr2bl w:val="nil"/>
            </w:tcBorders>
            <w:noWrap w:val="0"/>
            <w:vAlign w:val="center"/>
          </w:tcPr>
          <w:p>
            <w:pPr>
              <w:widowControl/>
              <w:jc w:val="center"/>
              <w:rPr>
                <w:rFonts w:ascii="宋体" w:hAnsi="宋体" w:cs="宋体"/>
                <w:kern w:val="0"/>
                <w:sz w:val="15"/>
                <w:szCs w:val="15"/>
              </w:rPr>
            </w:pPr>
            <w:r>
              <w:rPr>
                <w:rFonts w:hint="eastAsia" w:ascii="宋体" w:hAnsi="宋体" w:cs="宋体"/>
                <w:kern w:val="0"/>
                <w:sz w:val="15"/>
                <w:szCs w:val="15"/>
              </w:rPr>
              <w:t>水胺硫磷</w:t>
            </w:r>
          </w:p>
        </w:tc>
        <w:tc>
          <w:tcPr>
            <w:tcW w:w="677" w:type="dxa"/>
            <w:tcBorders>
              <w:tl2br w:val="nil"/>
              <w:tr2bl w:val="nil"/>
            </w:tcBorders>
            <w:noWrap w:val="0"/>
            <w:vAlign w:val="center"/>
          </w:tcPr>
          <w:p>
            <w:pPr>
              <w:widowControl/>
              <w:jc w:val="center"/>
              <w:rPr>
                <w:kern w:val="0"/>
                <w:sz w:val="15"/>
                <w:szCs w:val="15"/>
              </w:rPr>
            </w:pPr>
            <w:r>
              <w:rPr>
                <w:kern w:val="0"/>
                <w:sz w:val="15"/>
                <w:szCs w:val="15"/>
              </w:rPr>
              <w:t>1.321</w:t>
            </w:r>
          </w:p>
        </w:tc>
        <w:tc>
          <w:tcPr>
            <w:tcW w:w="674" w:type="dxa"/>
            <w:tcBorders>
              <w:tl2br w:val="nil"/>
              <w:tr2bl w:val="nil"/>
            </w:tcBorders>
            <w:noWrap w:val="0"/>
            <w:vAlign w:val="center"/>
          </w:tcPr>
          <w:p>
            <w:pPr>
              <w:widowControl/>
              <w:jc w:val="center"/>
              <w:rPr>
                <w:kern w:val="0"/>
                <w:sz w:val="15"/>
                <w:szCs w:val="15"/>
              </w:rPr>
            </w:pPr>
            <w:r>
              <w:rPr>
                <w:kern w:val="0"/>
                <w:sz w:val="15"/>
                <w:szCs w:val="15"/>
              </w:rPr>
              <w:t>2.353</w:t>
            </w:r>
          </w:p>
        </w:tc>
        <w:tc>
          <w:tcPr>
            <w:tcW w:w="675" w:type="dxa"/>
            <w:tcBorders>
              <w:tl2br w:val="nil"/>
              <w:tr2bl w:val="nil"/>
            </w:tcBorders>
            <w:noWrap w:val="0"/>
            <w:vAlign w:val="center"/>
          </w:tcPr>
          <w:p>
            <w:pPr>
              <w:widowControl/>
              <w:jc w:val="center"/>
              <w:rPr>
                <w:kern w:val="0"/>
                <w:sz w:val="15"/>
                <w:szCs w:val="15"/>
              </w:rPr>
            </w:pPr>
            <w:r>
              <w:rPr>
                <w:kern w:val="0"/>
                <w:sz w:val="15"/>
                <w:szCs w:val="15"/>
              </w:rPr>
              <w:t>2.288</w:t>
            </w:r>
          </w:p>
        </w:tc>
        <w:tc>
          <w:tcPr>
            <w:tcW w:w="674" w:type="dxa"/>
            <w:tcBorders>
              <w:tl2br w:val="nil"/>
              <w:tr2bl w:val="nil"/>
            </w:tcBorders>
            <w:noWrap w:val="0"/>
            <w:vAlign w:val="center"/>
          </w:tcPr>
          <w:p>
            <w:pPr>
              <w:widowControl/>
              <w:jc w:val="center"/>
              <w:rPr>
                <w:kern w:val="0"/>
                <w:sz w:val="15"/>
                <w:szCs w:val="15"/>
              </w:rPr>
            </w:pPr>
            <w:r>
              <w:rPr>
                <w:kern w:val="0"/>
                <w:sz w:val="15"/>
                <w:szCs w:val="15"/>
              </w:rPr>
              <w:t>2.240</w:t>
            </w:r>
          </w:p>
        </w:tc>
        <w:tc>
          <w:tcPr>
            <w:tcW w:w="674" w:type="dxa"/>
            <w:tcBorders>
              <w:tl2br w:val="nil"/>
              <w:tr2bl w:val="nil"/>
            </w:tcBorders>
            <w:noWrap w:val="0"/>
            <w:vAlign w:val="center"/>
          </w:tcPr>
          <w:p>
            <w:pPr>
              <w:widowControl/>
              <w:jc w:val="center"/>
              <w:rPr>
                <w:kern w:val="0"/>
                <w:sz w:val="15"/>
                <w:szCs w:val="15"/>
              </w:rPr>
            </w:pPr>
            <w:r>
              <w:rPr>
                <w:kern w:val="0"/>
                <w:sz w:val="15"/>
                <w:szCs w:val="15"/>
              </w:rPr>
              <w:t>2.266</w:t>
            </w:r>
          </w:p>
        </w:tc>
        <w:tc>
          <w:tcPr>
            <w:tcW w:w="676" w:type="dxa"/>
            <w:tcBorders>
              <w:tl2br w:val="nil"/>
              <w:tr2bl w:val="nil"/>
            </w:tcBorders>
            <w:noWrap w:val="0"/>
            <w:vAlign w:val="center"/>
          </w:tcPr>
          <w:p>
            <w:pPr>
              <w:widowControl/>
              <w:jc w:val="center"/>
              <w:rPr>
                <w:kern w:val="0"/>
                <w:sz w:val="15"/>
                <w:szCs w:val="15"/>
              </w:rPr>
            </w:pPr>
            <w:r>
              <w:rPr>
                <w:kern w:val="0"/>
                <w:sz w:val="15"/>
                <w:szCs w:val="15"/>
              </w:rPr>
              <w:t>2.300</w:t>
            </w:r>
          </w:p>
        </w:tc>
        <w:tc>
          <w:tcPr>
            <w:tcW w:w="675" w:type="dxa"/>
            <w:tcBorders>
              <w:tl2br w:val="nil"/>
              <w:tr2bl w:val="nil"/>
            </w:tcBorders>
            <w:noWrap w:val="0"/>
            <w:vAlign w:val="center"/>
          </w:tcPr>
          <w:p>
            <w:pPr>
              <w:widowControl/>
              <w:jc w:val="center"/>
              <w:rPr>
                <w:kern w:val="0"/>
                <w:sz w:val="15"/>
                <w:szCs w:val="15"/>
              </w:rPr>
            </w:pPr>
            <w:r>
              <w:rPr>
                <w:kern w:val="0"/>
                <w:sz w:val="15"/>
                <w:szCs w:val="15"/>
              </w:rPr>
              <w:t>2.037</w:t>
            </w:r>
          </w:p>
        </w:tc>
        <w:tc>
          <w:tcPr>
            <w:tcW w:w="676" w:type="dxa"/>
            <w:tcBorders>
              <w:tl2br w:val="nil"/>
              <w:tr2bl w:val="nil"/>
            </w:tcBorders>
            <w:noWrap w:val="0"/>
            <w:vAlign w:val="center"/>
          </w:tcPr>
          <w:p>
            <w:pPr>
              <w:widowControl/>
              <w:jc w:val="center"/>
              <w:rPr>
                <w:kern w:val="0"/>
                <w:sz w:val="15"/>
                <w:szCs w:val="15"/>
              </w:rPr>
            </w:pPr>
            <w:r>
              <w:rPr>
                <w:kern w:val="0"/>
                <w:sz w:val="15"/>
                <w:szCs w:val="15"/>
              </w:rPr>
              <w:t>2.247</w:t>
            </w:r>
          </w:p>
        </w:tc>
        <w:tc>
          <w:tcPr>
            <w:tcW w:w="674" w:type="dxa"/>
            <w:tcBorders>
              <w:tl2br w:val="nil"/>
              <w:tr2bl w:val="nil"/>
            </w:tcBorders>
            <w:noWrap w:val="0"/>
            <w:vAlign w:val="center"/>
          </w:tcPr>
          <w:p>
            <w:pPr>
              <w:widowControl/>
              <w:jc w:val="center"/>
              <w:rPr>
                <w:kern w:val="0"/>
                <w:sz w:val="15"/>
                <w:szCs w:val="15"/>
              </w:rPr>
            </w:pPr>
            <w:r>
              <w:rPr>
                <w:kern w:val="0"/>
                <w:sz w:val="15"/>
                <w:szCs w:val="15"/>
              </w:rPr>
              <w:t>4.88</w:t>
            </w:r>
          </w:p>
        </w:tc>
      </w:tr>
    </w:tbl>
    <w:p>
      <w:pPr>
        <w:pStyle w:val="3"/>
        <w:rPr>
          <w:rFonts w:hint="eastAsia" w:ascii="仿宋_GB2312" w:eastAsia="仿宋_GB2312"/>
          <w:sz w:val="24"/>
          <w:szCs w:val="24"/>
          <w:lang w:val="en-US" w:eastAsia="zh-CN"/>
        </w:rPr>
      </w:pPr>
      <w:bookmarkStart w:id="99" w:name="_Toc8762"/>
      <w:bookmarkStart w:id="100" w:name="_Toc996_WPSOffice_Level2"/>
      <w:bookmarkStart w:id="101" w:name="_Toc19361_WPSOffice_Level2"/>
      <w:r>
        <w:rPr>
          <w:rFonts w:hint="eastAsia" w:ascii="仿宋_GB2312" w:eastAsia="仿宋_GB2312"/>
          <w:sz w:val="24"/>
          <w:szCs w:val="24"/>
          <w:lang w:val="en-US" w:eastAsia="zh-CN"/>
        </w:rPr>
        <w:t>4.8检出限</w:t>
      </w:r>
      <w:bookmarkEnd w:id="99"/>
      <w:bookmarkEnd w:id="100"/>
      <w:bookmarkEnd w:id="101"/>
    </w:p>
    <w:p>
      <w:pPr>
        <w:pStyle w:val="4"/>
        <w:rPr>
          <w:rFonts w:ascii="宋体" w:hAnsi="宋体"/>
          <w:sz w:val="24"/>
          <w:szCs w:val="24"/>
        </w:rPr>
      </w:pPr>
      <w:bookmarkStart w:id="102" w:name="_Toc6634"/>
      <w:r>
        <w:rPr>
          <w:rFonts w:ascii="宋体" w:hAnsi="宋体"/>
          <w:sz w:val="24"/>
          <w:szCs w:val="24"/>
        </w:rPr>
        <w:t>4.</w:t>
      </w:r>
      <w:r>
        <w:rPr>
          <w:rFonts w:hint="eastAsia" w:ascii="宋体" w:hAnsi="宋体"/>
          <w:sz w:val="24"/>
          <w:szCs w:val="24"/>
          <w:lang w:val="en-US" w:eastAsia="zh-CN"/>
        </w:rPr>
        <w:t>8</w:t>
      </w:r>
      <w:r>
        <w:rPr>
          <w:rFonts w:ascii="宋体" w:hAnsi="宋体"/>
          <w:sz w:val="24"/>
          <w:szCs w:val="24"/>
        </w:rPr>
        <w:t>.1仪器检出限</w:t>
      </w:r>
      <w:bookmarkEnd w:id="102"/>
    </w:p>
    <w:p>
      <w:pPr>
        <w:spacing w:line="520" w:lineRule="exact"/>
        <w:ind w:firstLine="470" w:firstLineChars="196"/>
        <w:rPr>
          <w:rFonts w:hint="eastAsia"/>
          <w:sz w:val="24"/>
          <w:szCs w:val="24"/>
          <w:lang w:val="en-US" w:eastAsia="zh-CN"/>
        </w:rPr>
      </w:pPr>
      <w:r>
        <w:rPr>
          <w:rFonts w:hint="eastAsia"/>
          <w:sz w:val="24"/>
          <w:szCs w:val="24"/>
          <w:lang w:val="en-US" w:eastAsia="zh-CN"/>
        </w:rPr>
        <w:t>根据GB/T 5009.1－2003色谱法（附录A　检验方法中技术参数和数据处理）根据公式计算检出限：</w:t>
      </w:r>
    </w:p>
    <w:p>
      <w:pPr>
        <w:snapToGrid w:val="0"/>
        <w:rPr>
          <w:rFonts w:hint="eastAsia"/>
          <w:snapToGrid w:val="0"/>
          <w:sz w:val="24"/>
          <w:szCs w:val="24"/>
        </w:rPr>
      </w:pPr>
    </w:p>
    <w:p>
      <w:pPr>
        <w:snapToGrid w:val="0"/>
        <w:ind w:firstLine="480" w:firstLineChars="200"/>
        <w:rPr>
          <w:rFonts w:hint="eastAsia"/>
          <w:snapToGrid w:val="0"/>
          <w:sz w:val="24"/>
          <w:szCs w:val="24"/>
        </w:rPr>
      </w:pPr>
      <w:r>
        <w:rPr>
          <w:snapToGrid w:val="0"/>
          <w:sz w:val="24"/>
          <w:szCs w:val="24"/>
        </w:rPr>
        <w:t xml:space="preserve">           最低相应值     </w:t>
      </w:r>
      <w:r>
        <w:rPr>
          <w:rFonts w:hint="eastAsia"/>
          <w:snapToGrid w:val="0"/>
          <w:sz w:val="24"/>
          <w:szCs w:val="24"/>
          <w:lang w:val="en-US" w:eastAsia="zh-CN"/>
        </w:rPr>
        <w:t xml:space="preserve"> </w:t>
      </w:r>
      <w:r>
        <w:rPr>
          <w:snapToGrid w:val="0"/>
          <w:sz w:val="24"/>
          <w:szCs w:val="24"/>
        </w:rPr>
        <w:t xml:space="preserve">S </w:t>
      </w:r>
    </w:p>
    <w:p>
      <w:pPr>
        <w:snapToGrid w:val="0"/>
        <w:ind w:firstLine="480" w:firstLineChars="200"/>
        <w:rPr>
          <w:rFonts w:hint="eastAsia"/>
          <w:snapToGrid w:val="0"/>
          <w:sz w:val="24"/>
          <w:szCs w:val="24"/>
        </w:rPr>
      </w:pPr>
      <w:r>
        <w:rPr>
          <w:sz w:val="24"/>
          <w:szCs w:val="24"/>
        </w:rPr>
        <mc:AlternateContent>
          <mc:Choice Requires="wps">
            <w:drawing>
              <wp:anchor distT="0" distB="0" distL="114300" distR="114300" simplePos="0" relativeHeight="251659264" behindDoc="0" locked="0" layoutInCell="1" allowOverlap="1">
                <wp:simplePos x="0" y="0"/>
                <wp:positionH relativeFrom="column">
                  <wp:posOffset>1133475</wp:posOffset>
                </wp:positionH>
                <wp:positionV relativeFrom="paragraph">
                  <wp:posOffset>78740</wp:posOffset>
                </wp:positionV>
                <wp:extent cx="800100" cy="0"/>
                <wp:effectExtent l="0" t="0" r="0" b="0"/>
                <wp:wrapNone/>
                <wp:docPr id="18" name="直接连接符 18"/>
                <wp:cNvGraphicFramePr/>
                <a:graphic xmlns:a="http://schemas.openxmlformats.org/drawingml/2006/main">
                  <a:graphicData uri="http://schemas.microsoft.com/office/word/2010/wordprocessingShape">
                    <wps:wsp>
                      <wps:cNvCnPr/>
                      <wps:spPr>
                        <a:xfrm>
                          <a:off x="0" y="0"/>
                          <a:ext cx="8001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89.25pt;margin-top:6.2pt;height:0pt;width:63pt;z-index:251659264;mso-width-relative:page;mso-height-relative:page;" filled="f" stroked="t" coordsize="21600,21600" o:gfxdata="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xBbuH1QAAAAkBAAAPAAAAAAAAAAEA&#10;IAAAACIAAABkcnMvZG93bnJldi54bWxQSwECFAAUAAAACACHTuJA29Ix6NkBAACXAwAADgAAAAAA&#10;AAABACAAAAAkAQAAZHJzL2Uyb0RvYy54bWxQSwUGAAAAAAYABgBZAQAAbwUAAAAA&#10;">
                <v:fill on="f" focussize="0,0"/>
                <v:stroke color="#000000" joinstyle="round"/>
                <v:imagedata o:title=""/>
                <o:lock v:ext="edit" aspectratio="f"/>
              </v:line>
            </w:pict>
          </mc:Fallback>
        </mc:AlternateContent>
      </w:r>
      <w:r>
        <w:rPr>
          <w:sz w:val="24"/>
          <w:szCs w:val="24"/>
        </w:rPr>
        <mc:AlternateContent>
          <mc:Choice Requires="wps">
            <w:drawing>
              <wp:anchor distT="0" distB="0" distL="114300" distR="114300" simplePos="0" relativeHeight="251658240" behindDoc="0" locked="0" layoutInCell="1" allowOverlap="1">
                <wp:simplePos x="0" y="0"/>
                <wp:positionH relativeFrom="column">
                  <wp:posOffset>2133600</wp:posOffset>
                </wp:positionH>
                <wp:positionV relativeFrom="paragraph">
                  <wp:posOffset>78740</wp:posOffset>
                </wp:positionV>
                <wp:extent cx="533400" cy="0"/>
                <wp:effectExtent l="0" t="0" r="0" b="0"/>
                <wp:wrapNone/>
                <wp:docPr id="19" name="直接连接符 19"/>
                <wp:cNvGraphicFramePr/>
                <a:graphic xmlns:a="http://schemas.openxmlformats.org/drawingml/2006/main">
                  <a:graphicData uri="http://schemas.microsoft.com/office/word/2010/wordprocessingShape">
                    <wps:wsp>
                      <wps:cNvCnPr/>
                      <wps:spPr>
                        <a:xfrm>
                          <a:off x="0" y="0"/>
                          <a:ext cx="5334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68pt;margin-top:6.2pt;height:0pt;width:42pt;z-index:251658240;mso-width-relative:page;mso-height-relative:page;" filled="f" stroked="t" coordsize="21600,21600" o:gfxdata="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NGR0erVAAAACQEAAA8AAAAAAAAA&#10;AQAgAAAAIgAAAGRycy9kb3ducmV2LnhtbFBLAQIUABQAAAAIAIdO4kAgvJ912wEAAJcDAAAOAAAA&#10;AAAAAAEAIAAAACQBAABkcnMvZTJvRG9jLnhtbFBLBQYAAAAABgAGAFkBAABxBQAAAAA=&#10;">
                <v:fill on="f" focussize="0,0"/>
                <v:stroke color="#000000" joinstyle="round"/>
                <v:imagedata o:title=""/>
                <o:lock v:ext="edit" aspectratio="f"/>
              </v:line>
            </w:pict>
          </mc:Fallback>
        </mc:AlternateContent>
      </w:r>
      <w:r>
        <w:rPr>
          <w:snapToGrid w:val="0"/>
          <w:sz w:val="24"/>
          <w:szCs w:val="24"/>
        </w:rPr>
        <w:t xml:space="preserve"> 检出限＝             </w:t>
      </w:r>
      <w:r>
        <w:rPr>
          <w:sz w:val="24"/>
          <w:szCs w:val="24"/>
        </w:rPr>
        <w:t>＝</w:t>
      </w:r>
      <w:r>
        <w:rPr>
          <w:snapToGrid w:val="0"/>
          <w:sz w:val="24"/>
          <w:szCs w:val="24"/>
        </w:rPr>
        <w:t xml:space="preserve">         </w:t>
      </w:r>
    </w:p>
    <w:p>
      <w:pPr>
        <w:snapToGrid w:val="0"/>
        <w:ind w:firstLine="480" w:firstLineChars="200"/>
        <w:rPr>
          <w:rFonts w:hint="eastAsia"/>
          <w:snapToGrid w:val="0"/>
          <w:sz w:val="24"/>
          <w:szCs w:val="24"/>
        </w:rPr>
      </w:pPr>
      <w:r>
        <w:rPr>
          <w:snapToGrid w:val="0"/>
          <w:sz w:val="24"/>
          <w:szCs w:val="24"/>
        </w:rPr>
        <w:t xml:space="preserve">                b          b </w:t>
      </w:r>
    </w:p>
    <w:p>
      <w:pPr>
        <w:snapToGrid w:val="0"/>
        <w:ind w:firstLine="300" w:firstLineChars="200"/>
        <w:rPr>
          <w:snapToGrid w:val="0"/>
          <w:sz w:val="15"/>
          <w:szCs w:val="15"/>
        </w:rPr>
      </w:pPr>
      <w:r>
        <w:rPr>
          <w:snapToGrid w:val="0"/>
          <w:sz w:val="15"/>
          <w:szCs w:val="15"/>
        </w:rPr>
        <w:t>式中：</w:t>
      </w:r>
    </w:p>
    <w:p>
      <w:pPr>
        <w:snapToGrid w:val="0"/>
        <w:ind w:firstLine="300" w:firstLineChars="200"/>
        <w:rPr>
          <w:snapToGrid w:val="0"/>
          <w:sz w:val="15"/>
          <w:szCs w:val="15"/>
        </w:rPr>
      </w:pPr>
      <w:r>
        <w:rPr>
          <w:snapToGrid w:val="0"/>
          <w:sz w:val="15"/>
          <w:szCs w:val="15"/>
        </w:rPr>
        <w:t>b</w:t>
      </w:r>
      <w:r>
        <w:rPr>
          <w:rFonts w:hint="eastAsia"/>
          <w:snapToGrid w:val="0"/>
          <w:sz w:val="15"/>
          <w:szCs w:val="15"/>
        </w:rPr>
        <w:t>——</w:t>
      </w:r>
      <w:r>
        <w:rPr>
          <w:snapToGrid w:val="0"/>
          <w:sz w:val="15"/>
          <w:szCs w:val="15"/>
        </w:rPr>
        <w:t>标准曲线回归方程中的斜率，响应值/</w:t>
      </w:r>
      <w:r>
        <w:rPr>
          <w:color w:val="000000"/>
          <w:sz w:val="15"/>
          <w:szCs w:val="15"/>
        </w:rPr>
        <w:t xml:space="preserve"> mg·L</w:t>
      </w:r>
      <w:r>
        <w:rPr>
          <w:color w:val="000000"/>
          <w:sz w:val="15"/>
          <w:szCs w:val="15"/>
          <w:vertAlign w:val="superscript"/>
        </w:rPr>
        <w:t>-1</w:t>
      </w:r>
      <w:r>
        <w:rPr>
          <w:snapToGrid w:val="0"/>
          <w:sz w:val="15"/>
          <w:szCs w:val="15"/>
        </w:rPr>
        <w:t>；</w:t>
      </w:r>
    </w:p>
    <w:p>
      <w:pPr>
        <w:snapToGrid w:val="0"/>
        <w:ind w:firstLine="300" w:firstLineChars="200"/>
        <w:rPr>
          <w:rFonts w:hint="eastAsia"/>
          <w:snapToGrid w:val="0"/>
          <w:sz w:val="15"/>
          <w:szCs w:val="15"/>
        </w:rPr>
      </w:pPr>
      <w:r>
        <w:rPr>
          <w:snapToGrid w:val="0"/>
          <w:sz w:val="15"/>
          <w:szCs w:val="15"/>
        </w:rPr>
        <w:t>S</w:t>
      </w:r>
      <w:r>
        <w:rPr>
          <w:rFonts w:hint="eastAsia"/>
          <w:snapToGrid w:val="0"/>
          <w:sz w:val="15"/>
          <w:szCs w:val="15"/>
        </w:rPr>
        <w:t>——</w:t>
      </w:r>
      <w:r>
        <w:rPr>
          <w:snapToGrid w:val="0"/>
          <w:sz w:val="15"/>
          <w:szCs w:val="15"/>
        </w:rPr>
        <w:t>为仪器噪音的3倍，即仪器能辨认的最小的物质信号，结果见表</w:t>
      </w:r>
      <w:r>
        <w:rPr>
          <w:rFonts w:hint="eastAsia"/>
          <w:snapToGrid w:val="0"/>
          <w:sz w:val="15"/>
          <w:szCs w:val="15"/>
        </w:rPr>
        <w:t>5</w:t>
      </w:r>
      <w:r>
        <w:rPr>
          <w:snapToGrid w:val="0"/>
          <w:sz w:val="15"/>
          <w:szCs w:val="15"/>
        </w:rPr>
        <w:t>。</w:t>
      </w:r>
    </w:p>
    <w:p>
      <w:pPr>
        <w:pStyle w:val="4"/>
        <w:rPr>
          <w:rFonts w:ascii="宋体" w:hAnsi="宋体"/>
          <w:sz w:val="24"/>
          <w:szCs w:val="24"/>
        </w:rPr>
      </w:pPr>
      <w:bookmarkStart w:id="103" w:name="_Toc6035"/>
      <w:r>
        <w:rPr>
          <w:rFonts w:ascii="宋体" w:hAnsi="宋体"/>
          <w:sz w:val="24"/>
          <w:szCs w:val="24"/>
        </w:rPr>
        <w:t>4.</w:t>
      </w:r>
      <w:r>
        <w:rPr>
          <w:rFonts w:hint="eastAsia" w:ascii="宋体" w:hAnsi="宋体"/>
          <w:sz w:val="24"/>
          <w:szCs w:val="24"/>
          <w:lang w:val="en-US" w:eastAsia="zh-CN"/>
        </w:rPr>
        <w:t>8</w:t>
      </w:r>
      <w:r>
        <w:rPr>
          <w:rFonts w:ascii="宋体" w:hAnsi="宋体"/>
          <w:sz w:val="24"/>
          <w:szCs w:val="24"/>
        </w:rPr>
        <w:t>.2方法检出限</w:t>
      </w:r>
      <w:bookmarkEnd w:id="103"/>
    </w:p>
    <w:p>
      <w:pPr>
        <w:spacing w:line="520" w:lineRule="exact"/>
        <w:ind w:firstLine="470" w:firstLineChars="196"/>
        <w:rPr>
          <w:rFonts w:hint="eastAsia"/>
          <w:sz w:val="24"/>
          <w:lang w:val="en-US" w:eastAsia="zh-CN"/>
        </w:rPr>
      </w:pPr>
      <w:r>
        <w:rPr>
          <w:rFonts w:hint="eastAsia"/>
          <w:sz w:val="24"/>
          <w:lang w:val="en-US" w:eastAsia="zh-CN"/>
        </w:rPr>
        <w:t>利用方法对一个添加样品进行的测定，得到相应色谱图。按照检出限计算方法（即3倍噪音高度）计算得到方法检出限为见表5。</w:t>
      </w:r>
    </w:p>
    <w:p>
      <w:pPr>
        <w:ind w:firstLine="422" w:firstLineChars="200"/>
        <w:jc w:val="center"/>
        <w:rPr>
          <w:rFonts w:hint="eastAsia"/>
          <w:sz w:val="24"/>
          <w:lang w:val="en-US" w:eastAsia="zh-CN"/>
        </w:rPr>
      </w:pPr>
      <w:r>
        <w:rPr>
          <w:rFonts w:hint="eastAsia"/>
          <w:b/>
          <w:bCs/>
          <w:lang w:val="en-US" w:eastAsia="zh-CN"/>
        </w:rPr>
        <w:t>表5检出限</w:t>
      </w:r>
    </w:p>
    <w:tbl>
      <w:tblPr>
        <w:tblStyle w:val="10"/>
        <w:tblpPr w:leftFromText="180" w:rightFromText="180" w:vertAnchor="text" w:horzAnchor="page" w:tblpXSpec="center" w:tblpY="265"/>
        <w:tblOverlap w:val="never"/>
        <w:tblW w:w="8420" w:type="dxa"/>
        <w:jc w:val="center"/>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29"/>
        <w:gridCol w:w="751"/>
        <w:gridCol w:w="675"/>
        <w:gridCol w:w="673"/>
        <w:gridCol w:w="674"/>
        <w:gridCol w:w="674"/>
        <w:gridCol w:w="674"/>
        <w:gridCol w:w="674"/>
        <w:gridCol w:w="674"/>
        <w:gridCol w:w="674"/>
        <w:gridCol w:w="674"/>
        <w:gridCol w:w="674"/>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5" w:hRule="atLeast"/>
          <w:jc w:val="center"/>
        </w:trPr>
        <w:tc>
          <w:tcPr>
            <w:tcW w:w="1680" w:type="dxa"/>
            <w:gridSpan w:val="2"/>
            <w:tcBorders>
              <w:top w:val="single" w:color="auto" w:sz="12" w:space="0"/>
              <w:bottom w:val="single" w:color="auto" w:sz="8" w:space="0"/>
            </w:tcBorders>
            <w:noWrap w:val="0"/>
            <w:vAlign w:val="center"/>
          </w:tcPr>
          <w:p>
            <w:pPr>
              <w:spacing w:line="240" w:lineRule="auto"/>
              <w:jc w:val="center"/>
              <w:rPr>
                <w:sz w:val="13"/>
                <w:szCs w:val="13"/>
              </w:rPr>
            </w:pPr>
          </w:p>
        </w:tc>
        <w:tc>
          <w:tcPr>
            <w:tcW w:w="675" w:type="dxa"/>
            <w:tcBorders>
              <w:top w:val="single" w:color="auto" w:sz="12" w:space="0"/>
              <w:bottom w:val="single" w:color="auto" w:sz="8" w:space="0"/>
            </w:tcBorders>
            <w:noWrap w:val="0"/>
            <w:vAlign w:val="center"/>
          </w:tcPr>
          <w:p>
            <w:pPr>
              <w:spacing w:line="240" w:lineRule="auto"/>
              <w:jc w:val="center"/>
              <w:rPr>
                <w:sz w:val="13"/>
                <w:szCs w:val="13"/>
              </w:rPr>
            </w:pPr>
            <w:r>
              <w:rPr>
                <w:sz w:val="13"/>
                <w:szCs w:val="13"/>
              </w:rPr>
              <w:t>甲胺磷</w:t>
            </w:r>
          </w:p>
        </w:tc>
        <w:tc>
          <w:tcPr>
            <w:tcW w:w="673" w:type="dxa"/>
            <w:tcBorders>
              <w:top w:val="single" w:color="auto" w:sz="12" w:space="0"/>
              <w:bottom w:val="single" w:color="auto" w:sz="8" w:space="0"/>
            </w:tcBorders>
            <w:noWrap w:val="0"/>
            <w:vAlign w:val="center"/>
          </w:tcPr>
          <w:p>
            <w:pPr>
              <w:spacing w:line="240" w:lineRule="auto"/>
              <w:jc w:val="center"/>
              <w:rPr>
                <w:sz w:val="13"/>
                <w:szCs w:val="13"/>
              </w:rPr>
            </w:pPr>
            <w:r>
              <w:rPr>
                <w:sz w:val="13"/>
                <w:szCs w:val="13"/>
              </w:rPr>
              <w:t>甲拌磷</w:t>
            </w:r>
          </w:p>
        </w:tc>
        <w:tc>
          <w:tcPr>
            <w:tcW w:w="674" w:type="dxa"/>
            <w:tcBorders>
              <w:top w:val="single" w:color="auto" w:sz="12" w:space="0"/>
              <w:bottom w:val="single" w:color="auto" w:sz="8" w:space="0"/>
            </w:tcBorders>
            <w:noWrap w:val="0"/>
            <w:vAlign w:val="center"/>
          </w:tcPr>
          <w:p>
            <w:pPr>
              <w:spacing w:line="240" w:lineRule="auto"/>
              <w:jc w:val="center"/>
              <w:rPr>
                <w:sz w:val="13"/>
                <w:szCs w:val="13"/>
              </w:rPr>
            </w:pPr>
            <w:r>
              <w:rPr>
                <w:sz w:val="13"/>
                <w:szCs w:val="13"/>
              </w:rPr>
              <w:t>治螟磷</w:t>
            </w:r>
          </w:p>
        </w:tc>
        <w:tc>
          <w:tcPr>
            <w:tcW w:w="674" w:type="dxa"/>
            <w:tcBorders>
              <w:top w:val="single" w:color="auto" w:sz="12" w:space="0"/>
              <w:bottom w:val="single" w:color="auto" w:sz="8" w:space="0"/>
            </w:tcBorders>
            <w:noWrap w:val="0"/>
            <w:vAlign w:val="center"/>
          </w:tcPr>
          <w:p>
            <w:pPr>
              <w:spacing w:line="240" w:lineRule="auto"/>
              <w:jc w:val="center"/>
              <w:rPr>
                <w:sz w:val="13"/>
                <w:szCs w:val="13"/>
              </w:rPr>
            </w:pPr>
            <w:r>
              <w:rPr>
                <w:sz w:val="13"/>
                <w:szCs w:val="13"/>
              </w:rPr>
              <w:t>氧乐果</w:t>
            </w:r>
          </w:p>
        </w:tc>
        <w:tc>
          <w:tcPr>
            <w:tcW w:w="674" w:type="dxa"/>
            <w:tcBorders>
              <w:top w:val="single" w:color="auto" w:sz="12" w:space="0"/>
              <w:bottom w:val="single" w:color="auto" w:sz="8" w:space="0"/>
            </w:tcBorders>
            <w:noWrap w:val="0"/>
            <w:vAlign w:val="center"/>
          </w:tcPr>
          <w:p>
            <w:pPr>
              <w:spacing w:line="240" w:lineRule="auto"/>
              <w:jc w:val="center"/>
              <w:rPr>
                <w:rFonts w:hint="eastAsia"/>
                <w:sz w:val="13"/>
                <w:szCs w:val="13"/>
              </w:rPr>
            </w:pPr>
            <w:r>
              <w:rPr>
                <w:sz w:val="13"/>
                <w:szCs w:val="13"/>
              </w:rPr>
              <w:t>特丁</w:t>
            </w:r>
          </w:p>
          <w:p>
            <w:pPr>
              <w:spacing w:line="240" w:lineRule="auto"/>
              <w:jc w:val="center"/>
              <w:rPr>
                <w:sz w:val="13"/>
                <w:szCs w:val="13"/>
              </w:rPr>
            </w:pPr>
            <w:r>
              <w:rPr>
                <w:sz w:val="13"/>
                <w:szCs w:val="13"/>
              </w:rPr>
              <w:t>硫磷</w:t>
            </w:r>
          </w:p>
        </w:tc>
        <w:tc>
          <w:tcPr>
            <w:tcW w:w="674" w:type="dxa"/>
            <w:tcBorders>
              <w:top w:val="single" w:color="auto" w:sz="12" w:space="0"/>
              <w:bottom w:val="single" w:color="auto" w:sz="8" w:space="0"/>
            </w:tcBorders>
            <w:noWrap w:val="0"/>
            <w:vAlign w:val="center"/>
          </w:tcPr>
          <w:p>
            <w:pPr>
              <w:spacing w:line="240" w:lineRule="auto"/>
              <w:jc w:val="center"/>
              <w:rPr>
                <w:sz w:val="13"/>
                <w:szCs w:val="13"/>
              </w:rPr>
            </w:pPr>
            <w:r>
              <w:rPr>
                <w:sz w:val="13"/>
                <w:szCs w:val="13"/>
              </w:rPr>
              <w:t>久效磷</w:t>
            </w:r>
          </w:p>
        </w:tc>
        <w:tc>
          <w:tcPr>
            <w:tcW w:w="674" w:type="dxa"/>
            <w:tcBorders>
              <w:top w:val="single" w:color="auto" w:sz="12" w:space="0"/>
              <w:bottom w:val="single" w:color="auto" w:sz="8" w:space="0"/>
            </w:tcBorders>
            <w:noWrap w:val="0"/>
            <w:vAlign w:val="center"/>
          </w:tcPr>
          <w:p>
            <w:pPr>
              <w:spacing w:line="240" w:lineRule="auto"/>
              <w:jc w:val="center"/>
              <w:rPr>
                <w:sz w:val="13"/>
                <w:szCs w:val="13"/>
              </w:rPr>
            </w:pPr>
            <w:r>
              <w:rPr>
                <w:sz w:val="13"/>
                <w:szCs w:val="13"/>
              </w:rPr>
              <w:t>甲基对硫磷</w:t>
            </w:r>
          </w:p>
        </w:tc>
        <w:tc>
          <w:tcPr>
            <w:tcW w:w="674" w:type="dxa"/>
            <w:tcBorders>
              <w:top w:val="single" w:color="auto" w:sz="12" w:space="0"/>
              <w:bottom w:val="single" w:color="auto" w:sz="8" w:space="0"/>
            </w:tcBorders>
            <w:noWrap w:val="0"/>
            <w:vAlign w:val="center"/>
          </w:tcPr>
          <w:p>
            <w:pPr>
              <w:spacing w:line="240" w:lineRule="auto"/>
              <w:jc w:val="center"/>
              <w:rPr>
                <w:sz w:val="13"/>
                <w:szCs w:val="13"/>
              </w:rPr>
            </w:pPr>
            <w:r>
              <w:rPr>
                <w:sz w:val="13"/>
                <w:szCs w:val="13"/>
              </w:rPr>
              <w:t>对硫磷</w:t>
            </w:r>
          </w:p>
        </w:tc>
        <w:tc>
          <w:tcPr>
            <w:tcW w:w="674" w:type="dxa"/>
            <w:tcBorders>
              <w:top w:val="single" w:color="auto" w:sz="12" w:space="0"/>
              <w:bottom w:val="single" w:color="auto" w:sz="8" w:space="0"/>
            </w:tcBorders>
            <w:noWrap w:val="0"/>
            <w:vAlign w:val="center"/>
          </w:tcPr>
          <w:p>
            <w:pPr>
              <w:spacing w:line="240" w:lineRule="auto"/>
              <w:jc w:val="center"/>
              <w:rPr>
                <w:sz w:val="13"/>
                <w:szCs w:val="13"/>
              </w:rPr>
            </w:pPr>
            <w:r>
              <w:rPr>
                <w:sz w:val="13"/>
                <w:szCs w:val="13"/>
              </w:rPr>
              <w:t>甲基异柳磷</w:t>
            </w:r>
          </w:p>
        </w:tc>
        <w:tc>
          <w:tcPr>
            <w:tcW w:w="674" w:type="dxa"/>
            <w:tcBorders>
              <w:top w:val="single" w:color="auto" w:sz="12" w:space="0"/>
              <w:bottom w:val="single" w:color="auto" w:sz="8" w:space="0"/>
            </w:tcBorders>
            <w:noWrap w:val="0"/>
            <w:vAlign w:val="center"/>
          </w:tcPr>
          <w:p>
            <w:pPr>
              <w:spacing w:line="240" w:lineRule="auto"/>
              <w:jc w:val="center"/>
              <w:rPr>
                <w:sz w:val="13"/>
                <w:szCs w:val="13"/>
              </w:rPr>
            </w:pPr>
            <w:r>
              <w:rPr>
                <w:sz w:val="13"/>
                <w:szCs w:val="13"/>
              </w:rPr>
              <w:t>水胺硫磷</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52" w:hRule="atLeast"/>
          <w:jc w:val="center"/>
        </w:trPr>
        <w:tc>
          <w:tcPr>
            <w:tcW w:w="929" w:type="dxa"/>
            <w:vMerge w:val="restart"/>
            <w:tcBorders>
              <w:top w:val="single" w:color="auto" w:sz="8" w:space="0"/>
              <w:bottom w:val="nil"/>
              <w:right w:val="nil"/>
            </w:tcBorders>
            <w:noWrap w:val="0"/>
            <w:vAlign w:val="center"/>
          </w:tcPr>
          <w:p>
            <w:pPr>
              <w:spacing w:line="240" w:lineRule="auto"/>
              <w:jc w:val="center"/>
              <w:rPr>
                <w:sz w:val="13"/>
                <w:szCs w:val="13"/>
              </w:rPr>
            </w:pPr>
            <w:r>
              <w:rPr>
                <w:sz w:val="13"/>
                <w:szCs w:val="13"/>
              </w:rPr>
              <w:t>仪器检出限</w:t>
            </w:r>
          </w:p>
          <w:p>
            <w:pPr>
              <w:spacing w:line="240" w:lineRule="auto"/>
              <w:jc w:val="center"/>
              <w:rPr>
                <w:sz w:val="13"/>
                <w:szCs w:val="13"/>
              </w:rPr>
            </w:pPr>
            <w:r>
              <w:rPr>
                <w:sz w:val="13"/>
                <w:szCs w:val="13"/>
              </w:rPr>
              <w:t>（</w:t>
            </w:r>
            <w:r>
              <w:rPr>
                <w:rFonts w:hint="eastAsia"/>
                <w:sz w:val="13"/>
                <w:szCs w:val="13"/>
              </w:rPr>
              <w:t>mg</w:t>
            </w:r>
            <w:r>
              <w:rPr>
                <w:sz w:val="13"/>
                <w:szCs w:val="13"/>
              </w:rPr>
              <w:t>/L）</w:t>
            </w:r>
          </w:p>
        </w:tc>
        <w:tc>
          <w:tcPr>
            <w:tcW w:w="751" w:type="dxa"/>
            <w:tcBorders>
              <w:top w:val="single" w:color="auto" w:sz="8" w:space="0"/>
              <w:left w:val="nil"/>
              <w:bottom w:val="nil"/>
              <w:right w:val="nil"/>
            </w:tcBorders>
            <w:noWrap w:val="0"/>
            <w:vAlign w:val="center"/>
          </w:tcPr>
          <w:p>
            <w:pPr>
              <w:spacing w:line="240" w:lineRule="auto"/>
              <w:jc w:val="center"/>
              <w:rPr>
                <w:rFonts w:hint="eastAsia"/>
                <w:sz w:val="13"/>
                <w:szCs w:val="13"/>
              </w:rPr>
            </w:pPr>
            <w:r>
              <w:rPr>
                <w:rFonts w:hint="eastAsia"/>
                <w:sz w:val="13"/>
                <w:szCs w:val="13"/>
              </w:rPr>
              <w:t>DB-1701</w:t>
            </w:r>
          </w:p>
        </w:tc>
        <w:tc>
          <w:tcPr>
            <w:tcW w:w="675" w:type="dxa"/>
            <w:tcBorders>
              <w:top w:val="single" w:color="auto" w:sz="8" w:space="0"/>
              <w:left w:val="nil"/>
              <w:bottom w:val="nil"/>
              <w:right w:val="nil"/>
            </w:tcBorders>
            <w:noWrap w:val="0"/>
            <w:vAlign w:val="center"/>
          </w:tcPr>
          <w:p>
            <w:pPr>
              <w:spacing w:line="240" w:lineRule="auto"/>
              <w:jc w:val="center"/>
              <w:rPr>
                <w:rFonts w:cs="宋体"/>
                <w:sz w:val="13"/>
                <w:szCs w:val="13"/>
              </w:rPr>
            </w:pPr>
            <w:r>
              <w:rPr>
                <w:rFonts w:hint="eastAsia"/>
                <w:sz w:val="13"/>
                <w:szCs w:val="13"/>
              </w:rPr>
              <w:t>24.67</w:t>
            </w:r>
          </w:p>
        </w:tc>
        <w:tc>
          <w:tcPr>
            <w:tcW w:w="673" w:type="dxa"/>
            <w:tcBorders>
              <w:top w:val="single" w:color="auto" w:sz="8" w:space="0"/>
              <w:left w:val="nil"/>
              <w:bottom w:val="nil"/>
              <w:right w:val="nil"/>
            </w:tcBorders>
            <w:noWrap w:val="0"/>
            <w:vAlign w:val="center"/>
          </w:tcPr>
          <w:p>
            <w:pPr>
              <w:spacing w:line="240" w:lineRule="auto"/>
              <w:jc w:val="center"/>
              <w:rPr>
                <w:sz w:val="13"/>
                <w:szCs w:val="13"/>
              </w:rPr>
            </w:pPr>
            <w:r>
              <w:rPr>
                <w:sz w:val="13"/>
                <w:szCs w:val="13"/>
              </w:rPr>
              <w:t>6.72</w:t>
            </w:r>
          </w:p>
        </w:tc>
        <w:tc>
          <w:tcPr>
            <w:tcW w:w="674" w:type="dxa"/>
            <w:tcBorders>
              <w:top w:val="single" w:color="auto" w:sz="8" w:space="0"/>
              <w:left w:val="nil"/>
              <w:bottom w:val="nil"/>
              <w:right w:val="nil"/>
            </w:tcBorders>
            <w:noWrap w:val="0"/>
            <w:vAlign w:val="center"/>
          </w:tcPr>
          <w:p>
            <w:pPr>
              <w:spacing w:line="240" w:lineRule="auto"/>
              <w:jc w:val="center"/>
              <w:rPr>
                <w:rFonts w:cs="宋体"/>
                <w:sz w:val="13"/>
                <w:szCs w:val="13"/>
              </w:rPr>
            </w:pPr>
            <w:r>
              <w:rPr>
                <w:rFonts w:hint="eastAsia"/>
                <w:sz w:val="13"/>
                <w:szCs w:val="13"/>
              </w:rPr>
              <w:t>8.46</w:t>
            </w:r>
          </w:p>
        </w:tc>
        <w:tc>
          <w:tcPr>
            <w:tcW w:w="674" w:type="dxa"/>
            <w:tcBorders>
              <w:top w:val="single" w:color="auto" w:sz="8" w:space="0"/>
              <w:left w:val="nil"/>
              <w:bottom w:val="nil"/>
              <w:right w:val="nil"/>
            </w:tcBorders>
            <w:noWrap w:val="0"/>
            <w:vAlign w:val="center"/>
          </w:tcPr>
          <w:p>
            <w:pPr>
              <w:spacing w:line="240" w:lineRule="auto"/>
              <w:jc w:val="center"/>
              <w:rPr>
                <w:rFonts w:cs="宋体"/>
                <w:sz w:val="13"/>
                <w:szCs w:val="13"/>
              </w:rPr>
            </w:pPr>
            <w:r>
              <w:rPr>
                <w:rFonts w:hint="eastAsia"/>
                <w:sz w:val="13"/>
                <w:szCs w:val="13"/>
              </w:rPr>
              <w:t>20.43</w:t>
            </w:r>
          </w:p>
        </w:tc>
        <w:tc>
          <w:tcPr>
            <w:tcW w:w="674" w:type="dxa"/>
            <w:tcBorders>
              <w:top w:val="single" w:color="auto" w:sz="8" w:space="0"/>
              <w:left w:val="nil"/>
              <w:bottom w:val="nil"/>
              <w:right w:val="nil"/>
            </w:tcBorders>
            <w:noWrap w:val="0"/>
            <w:vAlign w:val="center"/>
          </w:tcPr>
          <w:p>
            <w:pPr>
              <w:spacing w:line="240" w:lineRule="auto"/>
              <w:jc w:val="center"/>
              <w:rPr>
                <w:rFonts w:cs="宋体"/>
                <w:sz w:val="13"/>
                <w:szCs w:val="13"/>
              </w:rPr>
            </w:pPr>
            <w:r>
              <w:rPr>
                <w:rFonts w:hint="eastAsia"/>
                <w:sz w:val="13"/>
                <w:szCs w:val="13"/>
              </w:rPr>
              <w:t>6.49</w:t>
            </w:r>
          </w:p>
        </w:tc>
        <w:tc>
          <w:tcPr>
            <w:tcW w:w="674" w:type="dxa"/>
            <w:tcBorders>
              <w:top w:val="single" w:color="auto" w:sz="8" w:space="0"/>
              <w:left w:val="nil"/>
              <w:bottom w:val="nil"/>
              <w:right w:val="nil"/>
            </w:tcBorders>
            <w:noWrap w:val="0"/>
            <w:vAlign w:val="center"/>
          </w:tcPr>
          <w:p>
            <w:pPr>
              <w:spacing w:line="240" w:lineRule="auto"/>
              <w:jc w:val="center"/>
              <w:rPr>
                <w:rFonts w:cs="宋体"/>
                <w:sz w:val="13"/>
                <w:szCs w:val="13"/>
              </w:rPr>
            </w:pPr>
            <w:r>
              <w:rPr>
                <w:rFonts w:hint="eastAsia"/>
                <w:sz w:val="13"/>
                <w:szCs w:val="13"/>
              </w:rPr>
              <w:t>10.25</w:t>
            </w:r>
          </w:p>
        </w:tc>
        <w:tc>
          <w:tcPr>
            <w:tcW w:w="674" w:type="dxa"/>
            <w:tcBorders>
              <w:top w:val="single" w:color="auto" w:sz="8" w:space="0"/>
              <w:left w:val="nil"/>
              <w:bottom w:val="nil"/>
              <w:right w:val="nil"/>
            </w:tcBorders>
            <w:noWrap w:val="0"/>
            <w:vAlign w:val="center"/>
          </w:tcPr>
          <w:p>
            <w:pPr>
              <w:spacing w:line="240" w:lineRule="auto"/>
              <w:jc w:val="center"/>
              <w:rPr>
                <w:rFonts w:cs="宋体"/>
                <w:sz w:val="13"/>
                <w:szCs w:val="13"/>
              </w:rPr>
            </w:pPr>
            <w:r>
              <w:rPr>
                <w:rFonts w:hint="eastAsia"/>
                <w:sz w:val="13"/>
                <w:szCs w:val="13"/>
              </w:rPr>
              <w:t>4.95</w:t>
            </w:r>
          </w:p>
        </w:tc>
        <w:tc>
          <w:tcPr>
            <w:tcW w:w="674" w:type="dxa"/>
            <w:tcBorders>
              <w:top w:val="single" w:color="auto" w:sz="8" w:space="0"/>
              <w:left w:val="nil"/>
              <w:bottom w:val="nil"/>
              <w:right w:val="nil"/>
            </w:tcBorders>
            <w:noWrap w:val="0"/>
            <w:vAlign w:val="center"/>
          </w:tcPr>
          <w:p>
            <w:pPr>
              <w:spacing w:line="240" w:lineRule="auto"/>
              <w:jc w:val="center"/>
              <w:rPr>
                <w:rFonts w:cs="宋体"/>
                <w:sz w:val="13"/>
                <w:szCs w:val="13"/>
              </w:rPr>
            </w:pPr>
            <w:r>
              <w:rPr>
                <w:rFonts w:hint="eastAsia"/>
                <w:sz w:val="13"/>
                <w:szCs w:val="13"/>
              </w:rPr>
              <w:t>7.53</w:t>
            </w:r>
          </w:p>
        </w:tc>
        <w:tc>
          <w:tcPr>
            <w:tcW w:w="674" w:type="dxa"/>
            <w:tcBorders>
              <w:top w:val="single" w:color="auto" w:sz="8" w:space="0"/>
              <w:left w:val="nil"/>
              <w:bottom w:val="nil"/>
              <w:right w:val="nil"/>
            </w:tcBorders>
            <w:noWrap w:val="0"/>
            <w:vAlign w:val="center"/>
          </w:tcPr>
          <w:p>
            <w:pPr>
              <w:spacing w:line="240" w:lineRule="auto"/>
              <w:jc w:val="center"/>
              <w:rPr>
                <w:rFonts w:cs="宋体"/>
                <w:sz w:val="13"/>
                <w:szCs w:val="13"/>
              </w:rPr>
            </w:pPr>
            <w:r>
              <w:rPr>
                <w:rFonts w:hint="eastAsia"/>
                <w:sz w:val="13"/>
                <w:szCs w:val="13"/>
              </w:rPr>
              <w:t>8.50</w:t>
            </w:r>
          </w:p>
        </w:tc>
        <w:tc>
          <w:tcPr>
            <w:tcW w:w="674" w:type="dxa"/>
            <w:tcBorders>
              <w:top w:val="single" w:color="auto" w:sz="8" w:space="0"/>
              <w:left w:val="nil"/>
              <w:bottom w:val="nil"/>
            </w:tcBorders>
            <w:noWrap w:val="0"/>
            <w:vAlign w:val="center"/>
          </w:tcPr>
          <w:p>
            <w:pPr>
              <w:spacing w:line="240" w:lineRule="auto"/>
              <w:jc w:val="center"/>
              <w:rPr>
                <w:rFonts w:cs="宋体"/>
                <w:sz w:val="13"/>
                <w:szCs w:val="13"/>
              </w:rPr>
            </w:pPr>
            <w:r>
              <w:rPr>
                <w:rFonts w:hint="eastAsia"/>
                <w:sz w:val="13"/>
                <w:szCs w:val="13"/>
              </w:rPr>
              <w:t>6.82</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5" w:hRule="atLeast"/>
          <w:jc w:val="center"/>
        </w:trPr>
        <w:tc>
          <w:tcPr>
            <w:tcW w:w="929" w:type="dxa"/>
            <w:vMerge w:val="continue"/>
            <w:tcBorders>
              <w:top w:val="nil"/>
              <w:bottom w:val="nil"/>
              <w:right w:val="nil"/>
            </w:tcBorders>
            <w:noWrap w:val="0"/>
            <w:vAlign w:val="center"/>
          </w:tcPr>
          <w:p>
            <w:pPr>
              <w:spacing w:line="240" w:lineRule="auto"/>
              <w:jc w:val="center"/>
              <w:rPr>
                <w:sz w:val="13"/>
                <w:szCs w:val="13"/>
              </w:rPr>
            </w:pPr>
          </w:p>
        </w:tc>
        <w:tc>
          <w:tcPr>
            <w:tcW w:w="751" w:type="dxa"/>
            <w:tcBorders>
              <w:top w:val="nil"/>
              <w:left w:val="nil"/>
              <w:bottom w:val="nil"/>
              <w:right w:val="nil"/>
            </w:tcBorders>
            <w:noWrap w:val="0"/>
            <w:vAlign w:val="center"/>
          </w:tcPr>
          <w:p>
            <w:pPr>
              <w:spacing w:line="240" w:lineRule="auto"/>
              <w:jc w:val="center"/>
              <w:rPr>
                <w:rFonts w:hint="eastAsia"/>
                <w:sz w:val="13"/>
                <w:szCs w:val="13"/>
              </w:rPr>
            </w:pPr>
            <w:r>
              <w:rPr>
                <w:rFonts w:hint="eastAsia"/>
                <w:sz w:val="13"/>
                <w:szCs w:val="13"/>
              </w:rPr>
              <w:t>DB-5</w:t>
            </w:r>
          </w:p>
        </w:tc>
        <w:tc>
          <w:tcPr>
            <w:tcW w:w="675" w:type="dxa"/>
            <w:tcBorders>
              <w:top w:val="nil"/>
              <w:left w:val="nil"/>
              <w:bottom w:val="nil"/>
              <w:right w:val="nil"/>
            </w:tcBorders>
            <w:noWrap w:val="0"/>
            <w:vAlign w:val="center"/>
          </w:tcPr>
          <w:p>
            <w:pPr>
              <w:spacing w:line="240" w:lineRule="auto"/>
              <w:jc w:val="center"/>
              <w:rPr>
                <w:rFonts w:cs="宋体"/>
                <w:sz w:val="13"/>
                <w:szCs w:val="13"/>
              </w:rPr>
            </w:pPr>
            <w:r>
              <w:rPr>
                <w:rFonts w:hint="eastAsia"/>
                <w:sz w:val="13"/>
                <w:szCs w:val="13"/>
              </w:rPr>
              <w:t>6.61</w:t>
            </w:r>
          </w:p>
        </w:tc>
        <w:tc>
          <w:tcPr>
            <w:tcW w:w="673" w:type="dxa"/>
            <w:tcBorders>
              <w:top w:val="nil"/>
              <w:left w:val="nil"/>
              <w:bottom w:val="nil"/>
              <w:right w:val="nil"/>
            </w:tcBorders>
            <w:noWrap w:val="0"/>
            <w:vAlign w:val="center"/>
          </w:tcPr>
          <w:p>
            <w:pPr>
              <w:spacing w:line="240" w:lineRule="auto"/>
              <w:jc w:val="center"/>
              <w:rPr>
                <w:rFonts w:cs="宋体"/>
                <w:sz w:val="13"/>
                <w:szCs w:val="13"/>
              </w:rPr>
            </w:pPr>
            <w:r>
              <w:rPr>
                <w:rFonts w:hint="eastAsia"/>
                <w:sz w:val="13"/>
                <w:szCs w:val="13"/>
              </w:rPr>
              <w:t>2.72</w:t>
            </w:r>
          </w:p>
        </w:tc>
        <w:tc>
          <w:tcPr>
            <w:tcW w:w="674" w:type="dxa"/>
            <w:tcBorders>
              <w:top w:val="nil"/>
              <w:left w:val="nil"/>
              <w:bottom w:val="nil"/>
              <w:right w:val="nil"/>
            </w:tcBorders>
            <w:noWrap w:val="0"/>
            <w:vAlign w:val="center"/>
          </w:tcPr>
          <w:p>
            <w:pPr>
              <w:spacing w:line="240" w:lineRule="auto"/>
              <w:jc w:val="center"/>
              <w:rPr>
                <w:rFonts w:cs="宋体"/>
                <w:sz w:val="13"/>
                <w:szCs w:val="13"/>
              </w:rPr>
            </w:pPr>
            <w:r>
              <w:rPr>
                <w:rFonts w:hint="eastAsia"/>
                <w:sz w:val="13"/>
                <w:szCs w:val="13"/>
              </w:rPr>
              <w:t>3.87</w:t>
            </w:r>
          </w:p>
        </w:tc>
        <w:tc>
          <w:tcPr>
            <w:tcW w:w="674" w:type="dxa"/>
            <w:tcBorders>
              <w:top w:val="nil"/>
              <w:left w:val="nil"/>
              <w:bottom w:val="nil"/>
              <w:right w:val="nil"/>
            </w:tcBorders>
            <w:noWrap w:val="0"/>
            <w:vAlign w:val="center"/>
          </w:tcPr>
          <w:p>
            <w:pPr>
              <w:spacing w:line="240" w:lineRule="auto"/>
              <w:jc w:val="center"/>
              <w:rPr>
                <w:rFonts w:cs="宋体"/>
                <w:sz w:val="13"/>
                <w:szCs w:val="13"/>
              </w:rPr>
            </w:pPr>
            <w:r>
              <w:rPr>
                <w:rFonts w:hint="eastAsia"/>
                <w:sz w:val="13"/>
                <w:szCs w:val="13"/>
              </w:rPr>
              <w:t>9.92</w:t>
            </w:r>
          </w:p>
        </w:tc>
        <w:tc>
          <w:tcPr>
            <w:tcW w:w="674" w:type="dxa"/>
            <w:tcBorders>
              <w:top w:val="nil"/>
              <w:left w:val="nil"/>
              <w:bottom w:val="nil"/>
              <w:right w:val="nil"/>
            </w:tcBorders>
            <w:noWrap w:val="0"/>
            <w:vAlign w:val="center"/>
          </w:tcPr>
          <w:p>
            <w:pPr>
              <w:spacing w:line="240" w:lineRule="auto"/>
              <w:jc w:val="center"/>
              <w:rPr>
                <w:rFonts w:cs="宋体"/>
                <w:sz w:val="13"/>
                <w:szCs w:val="13"/>
              </w:rPr>
            </w:pPr>
            <w:r>
              <w:rPr>
                <w:rFonts w:hint="eastAsia"/>
                <w:sz w:val="13"/>
                <w:szCs w:val="13"/>
              </w:rPr>
              <w:t>2.41</w:t>
            </w:r>
          </w:p>
        </w:tc>
        <w:tc>
          <w:tcPr>
            <w:tcW w:w="674" w:type="dxa"/>
            <w:tcBorders>
              <w:top w:val="nil"/>
              <w:left w:val="nil"/>
              <w:bottom w:val="nil"/>
              <w:right w:val="nil"/>
            </w:tcBorders>
            <w:noWrap w:val="0"/>
            <w:vAlign w:val="center"/>
          </w:tcPr>
          <w:p>
            <w:pPr>
              <w:spacing w:line="240" w:lineRule="auto"/>
              <w:jc w:val="center"/>
              <w:rPr>
                <w:rFonts w:cs="宋体"/>
                <w:sz w:val="13"/>
                <w:szCs w:val="13"/>
              </w:rPr>
            </w:pPr>
            <w:r>
              <w:rPr>
                <w:rFonts w:hint="eastAsia"/>
                <w:sz w:val="13"/>
                <w:szCs w:val="13"/>
              </w:rPr>
              <w:t>4.32</w:t>
            </w:r>
          </w:p>
        </w:tc>
        <w:tc>
          <w:tcPr>
            <w:tcW w:w="674" w:type="dxa"/>
            <w:tcBorders>
              <w:top w:val="nil"/>
              <w:left w:val="nil"/>
              <w:bottom w:val="nil"/>
              <w:right w:val="nil"/>
            </w:tcBorders>
            <w:noWrap w:val="0"/>
            <w:vAlign w:val="center"/>
          </w:tcPr>
          <w:p>
            <w:pPr>
              <w:spacing w:line="240" w:lineRule="auto"/>
              <w:jc w:val="center"/>
              <w:rPr>
                <w:rFonts w:cs="宋体"/>
                <w:sz w:val="13"/>
                <w:szCs w:val="13"/>
              </w:rPr>
            </w:pPr>
            <w:r>
              <w:rPr>
                <w:rFonts w:hint="eastAsia"/>
                <w:sz w:val="13"/>
                <w:szCs w:val="13"/>
              </w:rPr>
              <w:t>1.50</w:t>
            </w:r>
          </w:p>
        </w:tc>
        <w:tc>
          <w:tcPr>
            <w:tcW w:w="674" w:type="dxa"/>
            <w:tcBorders>
              <w:top w:val="nil"/>
              <w:left w:val="nil"/>
              <w:bottom w:val="nil"/>
              <w:right w:val="nil"/>
            </w:tcBorders>
            <w:noWrap w:val="0"/>
            <w:vAlign w:val="center"/>
          </w:tcPr>
          <w:p>
            <w:pPr>
              <w:spacing w:line="240" w:lineRule="auto"/>
              <w:jc w:val="center"/>
              <w:rPr>
                <w:rFonts w:cs="宋体"/>
                <w:sz w:val="13"/>
                <w:szCs w:val="13"/>
              </w:rPr>
            </w:pPr>
            <w:r>
              <w:rPr>
                <w:rFonts w:hint="eastAsia"/>
                <w:sz w:val="13"/>
                <w:szCs w:val="13"/>
              </w:rPr>
              <w:t>2.08</w:t>
            </w:r>
          </w:p>
        </w:tc>
        <w:tc>
          <w:tcPr>
            <w:tcW w:w="674" w:type="dxa"/>
            <w:tcBorders>
              <w:top w:val="nil"/>
              <w:left w:val="nil"/>
              <w:bottom w:val="nil"/>
              <w:right w:val="nil"/>
            </w:tcBorders>
            <w:noWrap w:val="0"/>
            <w:vAlign w:val="center"/>
          </w:tcPr>
          <w:p>
            <w:pPr>
              <w:spacing w:line="240" w:lineRule="auto"/>
              <w:jc w:val="center"/>
              <w:rPr>
                <w:rFonts w:cs="宋体"/>
                <w:sz w:val="13"/>
                <w:szCs w:val="13"/>
              </w:rPr>
            </w:pPr>
            <w:r>
              <w:rPr>
                <w:rFonts w:hint="eastAsia"/>
                <w:sz w:val="13"/>
                <w:szCs w:val="13"/>
              </w:rPr>
              <w:t>3.64</w:t>
            </w:r>
          </w:p>
        </w:tc>
        <w:tc>
          <w:tcPr>
            <w:tcW w:w="674" w:type="dxa"/>
            <w:tcBorders>
              <w:top w:val="nil"/>
              <w:left w:val="nil"/>
              <w:bottom w:val="nil"/>
            </w:tcBorders>
            <w:noWrap w:val="0"/>
            <w:vAlign w:val="center"/>
          </w:tcPr>
          <w:p>
            <w:pPr>
              <w:spacing w:line="240" w:lineRule="auto"/>
              <w:jc w:val="center"/>
              <w:rPr>
                <w:rFonts w:cs="宋体"/>
                <w:sz w:val="13"/>
                <w:szCs w:val="13"/>
              </w:rPr>
            </w:pPr>
            <w:r>
              <w:rPr>
                <w:rFonts w:hint="eastAsia"/>
                <w:sz w:val="13"/>
                <w:szCs w:val="13"/>
              </w:rPr>
              <w:t>1.31</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6" w:hRule="atLeast"/>
          <w:jc w:val="center"/>
        </w:trPr>
        <w:tc>
          <w:tcPr>
            <w:tcW w:w="929" w:type="dxa"/>
            <w:vMerge w:val="restart"/>
            <w:tcBorders>
              <w:top w:val="nil"/>
              <w:bottom w:val="nil"/>
              <w:right w:val="nil"/>
            </w:tcBorders>
            <w:noWrap w:val="0"/>
            <w:vAlign w:val="center"/>
          </w:tcPr>
          <w:p>
            <w:pPr>
              <w:spacing w:line="240" w:lineRule="auto"/>
              <w:jc w:val="center"/>
              <w:rPr>
                <w:sz w:val="13"/>
                <w:szCs w:val="13"/>
              </w:rPr>
            </w:pPr>
            <w:r>
              <w:rPr>
                <w:sz w:val="13"/>
                <w:szCs w:val="13"/>
              </w:rPr>
              <w:t>方法检出限</w:t>
            </w:r>
          </w:p>
          <w:p>
            <w:pPr>
              <w:spacing w:line="240" w:lineRule="auto"/>
              <w:jc w:val="center"/>
              <w:rPr>
                <w:sz w:val="13"/>
                <w:szCs w:val="13"/>
              </w:rPr>
            </w:pPr>
            <w:r>
              <w:rPr>
                <w:sz w:val="13"/>
                <w:szCs w:val="13"/>
              </w:rPr>
              <w:t>（</w:t>
            </w:r>
            <w:r>
              <w:rPr>
                <w:rFonts w:hint="eastAsia"/>
                <w:sz w:val="13"/>
                <w:szCs w:val="13"/>
              </w:rPr>
              <w:t>%</w:t>
            </w:r>
            <w:r>
              <w:rPr>
                <w:sz w:val="13"/>
                <w:szCs w:val="13"/>
              </w:rPr>
              <w:t>）</w:t>
            </w:r>
          </w:p>
        </w:tc>
        <w:tc>
          <w:tcPr>
            <w:tcW w:w="751" w:type="dxa"/>
            <w:tcBorders>
              <w:top w:val="nil"/>
              <w:left w:val="nil"/>
              <w:bottom w:val="nil"/>
              <w:right w:val="nil"/>
            </w:tcBorders>
            <w:noWrap w:val="0"/>
            <w:vAlign w:val="center"/>
          </w:tcPr>
          <w:p>
            <w:pPr>
              <w:spacing w:line="240" w:lineRule="auto"/>
              <w:jc w:val="center"/>
              <w:rPr>
                <w:rFonts w:hint="eastAsia"/>
                <w:sz w:val="13"/>
                <w:szCs w:val="13"/>
              </w:rPr>
            </w:pPr>
            <w:r>
              <w:rPr>
                <w:rFonts w:hint="eastAsia"/>
                <w:sz w:val="13"/>
                <w:szCs w:val="13"/>
              </w:rPr>
              <w:t>DB-1701</w:t>
            </w:r>
          </w:p>
        </w:tc>
        <w:tc>
          <w:tcPr>
            <w:tcW w:w="675" w:type="dxa"/>
            <w:tcBorders>
              <w:top w:val="nil"/>
              <w:left w:val="nil"/>
              <w:bottom w:val="nil"/>
              <w:right w:val="nil"/>
            </w:tcBorders>
            <w:noWrap w:val="0"/>
            <w:vAlign w:val="center"/>
          </w:tcPr>
          <w:p>
            <w:pPr>
              <w:spacing w:line="240" w:lineRule="auto"/>
              <w:jc w:val="center"/>
              <w:rPr>
                <w:rFonts w:cs="宋体"/>
                <w:sz w:val="13"/>
                <w:szCs w:val="13"/>
              </w:rPr>
            </w:pPr>
            <w:r>
              <w:rPr>
                <w:rFonts w:hint="eastAsia"/>
                <w:sz w:val="13"/>
                <w:szCs w:val="13"/>
              </w:rPr>
              <w:t>0.054</w:t>
            </w:r>
          </w:p>
        </w:tc>
        <w:tc>
          <w:tcPr>
            <w:tcW w:w="673" w:type="dxa"/>
            <w:tcBorders>
              <w:top w:val="nil"/>
              <w:left w:val="nil"/>
              <w:bottom w:val="nil"/>
              <w:right w:val="nil"/>
            </w:tcBorders>
            <w:noWrap w:val="0"/>
            <w:vAlign w:val="center"/>
          </w:tcPr>
          <w:p>
            <w:pPr>
              <w:spacing w:line="240" w:lineRule="auto"/>
              <w:jc w:val="center"/>
              <w:rPr>
                <w:rFonts w:cs="宋体"/>
                <w:sz w:val="13"/>
                <w:szCs w:val="13"/>
              </w:rPr>
            </w:pPr>
            <w:r>
              <w:rPr>
                <w:rFonts w:hint="eastAsia"/>
                <w:sz w:val="13"/>
                <w:szCs w:val="13"/>
              </w:rPr>
              <w:t>0.015</w:t>
            </w:r>
          </w:p>
        </w:tc>
        <w:tc>
          <w:tcPr>
            <w:tcW w:w="674" w:type="dxa"/>
            <w:tcBorders>
              <w:top w:val="nil"/>
              <w:left w:val="nil"/>
              <w:bottom w:val="nil"/>
              <w:right w:val="nil"/>
            </w:tcBorders>
            <w:noWrap w:val="0"/>
            <w:vAlign w:val="center"/>
          </w:tcPr>
          <w:p>
            <w:pPr>
              <w:spacing w:line="240" w:lineRule="auto"/>
              <w:jc w:val="center"/>
              <w:rPr>
                <w:rFonts w:cs="宋体"/>
                <w:sz w:val="13"/>
                <w:szCs w:val="13"/>
              </w:rPr>
            </w:pPr>
            <w:r>
              <w:rPr>
                <w:rFonts w:hint="eastAsia"/>
                <w:sz w:val="13"/>
                <w:szCs w:val="13"/>
              </w:rPr>
              <w:t>0.018</w:t>
            </w:r>
          </w:p>
        </w:tc>
        <w:tc>
          <w:tcPr>
            <w:tcW w:w="674" w:type="dxa"/>
            <w:tcBorders>
              <w:top w:val="nil"/>
              <w:left w:val="nil"/>
              <w:bottom w:val="nil"/>
              <w:right w:val="nil"/>
            </w:tcBorders>
            <w:noWrap w:val="0"/>
            <w:vAlign w:val="center"/>
          </w:tcPr>
          <w:p>
            <w:pPr>
              <w:spacing w:line="240" w:lineRule="auto"/>
              <w:jc w:val="center"/>
              <w:rPr>
                <w:rFonts w:cs="宋体"/>
                <w:sz w:val="13"/>
                <w:szCs w:val="13"/>
              </w:rPr>
            </w:pPr>
            <w:r>
              <w:rPr>
                <w:rFonts w:hint="eastAsia"/>
                <w:sz w:val="13"/>
                <w:szCs w:val="13"/>
              </w:rPr>
              <w:t>0.045</w:t>
            </w:r>
          </w:p>
        </w:tc>
        <w:tc>
          <w:tcPr>
            <w:tcW w:w="674" w:type="dxa"/>
            <w:tcBorders>
              <w:top w:val="nil"/>
              <w:left w:val="nil"/>
              <w:bottom w:val="nil"/>
              <w:right w:val="nil"/>
            </w:tcBorders>
            <w:noWrap w:val="0"/>
            <w:vAlign w:val="center"/>
          </w:tcPr>
          <w:p>
            <w:pPr>
              <w:spacing w:line="240" w:lineRule="auto"/>
              <w:jc w:val="center"/>
              <w:rPr>
                <w:rFonts w:cs="宋体"/>
                <w:sz w:val="13"/>
                <w:szCs w:val="13"/>
              </w:rPr>
            </w:pPr>
            <w:r>
              <w:rPr>
                <w:rFonts w:hint="eastAsia"/>
                <w:sz w:val="13"/>
                <w:szCs w:val="13"/>
              </w:rPr>
              <w:t>0.014</w:t>
            </w:r>
          </w:p>
        </w:tc>
        <w:tc>
          <w:tcPr>
            <w:tcW w:w="674" w:type="dxa"/>
            <w:tcBorders>
              <w:top w:val="nil"/>
              <w:left w:val="nil"/>
              <w:bottom w:val="nil"/>
              <w:right w:val="nil"/>
            </w:tcBorders>
            <w:noWrap w:val="0"/>
            <w:vAlign w:val="center"/>
          </w:tcPr>
          <w:p>
            <w:pPr>
              <w:spacing w:line="240" w:lineRule="auto"/>
              <w:jc w:val="center"/>
              <w:rPr>
                <w:rFonts w:cs="宋体"/>
                <w:sz w:val="13"/>
                <w:szCs w:val="13"/>
              </w:rPr>
            </w:pPr>
            <w:r>
              <w:rPr>
                <w:rFonts w:hint="eastAsia"/>
                <w:sz w:val="13"/>
                <w:szCs w:val="13"/>
              </w:rPr>
              <w:t>0.022</w:t>
            </w:r>
          </w:p>
        </w:tc>
        <w:tc>
          <w:tcPr>
            <w:tcW w:w="674" w:type="dxa"/>
            <w:tcBorders>
              <w:top w:val="nil"/>
              <w:left w:val="nil"/>
              <w:bottom w:val="nil"/>
              <w:right w:val="nil"/>
            </w:tcBorders>
            <w:noWrap w:val="0"/>
            <w:vAlign w:val="center"/>
          </w:tcPr>
          <w:p>
            <w:pPr>
              <w:spacing w:line="240" w:lineRule="auto"/>
              <w:jc w:val="center"/>
              <w:rPr>
                <w:rFonts w:cs="宋体"/>
                <w:sz w:val="13"/>
                <w:szCs w:val="13"/>
              </w:rPr>
            </w:pPr>
            <w:r>
              <w:rPr>
                <w:rFonts w:hint="eastAsia"/>
                <w:sz w:val="13"/>
                <w:szCs w:val="13"/>
              </w:rPr>
              <w:t>0.0085</w:t>
            </w:r>
          </w:p>
        </w:tc>
        <w:tc>
          <w:tcPr>
            <w:tcW w:w="674" w:type="dxa"/>
            <w:tcBorders>
              <w:top w:val="nil"/>
              <w:left w:val="nil"/>
              <w:bottom w:val="nil"/>
              <w:right w:val="nil"/>
            </w:tcBorders>
            <w:noWrap w:val="0"/>
            <w:vAlign w:val="center"/>
          </w:tcPr>
          <w:p>
            <w:pPr>
              <w:spacing w:line="240" w:lineRule="auto"/>
              <w:jc w:val="center"/>
              <w:rPr>
                <w:rFonts w:cs="宋体"/>
                <w:sz w:val="13"/>
                <w:szCs w:val="13"/>
              </w:rPr>
            </w:pPr>
            <w:r>
              <w:rPr>
                <w:rFonts w:hint="eastAsia"/>
                <w:sz w:val="13"/>
                <w:szCs w:val="13"/>
              </w:rPr>
              <w:t>0.011</w:t>
            </w:r>
          </w:p>
        </w:tc>
        <w:tc>
          <w:tcPr>
            <w:tcW w:w="674" w:type="dxa"/>
            <w:tcBorders>
              <w:top w:val="nil"/>
              <w:left w:val="nil"/>
              <w:bottom w:val="nil"/>
              <w:right w:val="nil"/>
            </w:tcBorders>
            <w:noWrap w:val="0"/>
            <w:vAlign w:val="center"/>
          </w:tcPr>
          <w:p>
            <w:pPr>
              <w:spacing w:line="240" w:lineRule="auto"/>
              <w:jc w:val="center"/>
              <w:rPr>
                <w:rFonts w:cs="宋体"/>
                <w:sz w:val="13"/>
                <w:szCs w:val="13"/>
              </w:rPr>
            </w:pPr>
            <w:r>
              <w:rPr>
                <w:rFonts w:hint="eastAsia"/>
                <w:sz w:val="13"/>
                <w:szCs w:val="13"/>
              </w:rPr>
              <w:t>0.013</w:t>
            </w:r>
          </w:p>
        </w:tc>
        <w:tc>
          <w:tcPr>
            <w:tcW w:w="674" w:type="dxa"/>
            <w:tcBorders>
              <w:top w:val="nil"/>
              <w:left w:val="nil"/>
              <w:bottom w:val="nil"/>
            </w:tcBorders>
            <w:noWrap w:val="0"/>
            <w:vAlign w:val="center"/>
          </w:tcPr>
          <w:p>
            <w:pPr>
              <w:spacing w:line="240" w:lineRule="auto"/>
              <w:jc w:val="center"/>
              <w:rPr>
                <w:rFonts w:cs="宋体"/>
                <w:sz w:val="13"/>
                <w:szCs w:val="13"/>
              </w:rPr>
            </w:pPr>
            <w:r>
              <w:rPr>
                <w:rFonts w:hint="eastAsia"/>
                <w:sz w:val="13"/>
                <w:szCs w:val="13"/>
              </w:rPr>
              <w:t>0.010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0" w:hRule="atLeast"/>
          <w:jc w:val="center"/>
        </w:trPr>
        <w:tc>
          <w:tcPr>
            <w:tcW w:w="929" w:type="dxa"/>
            <w:vMerge w:val="continue"/>
            <w:tcBorders>
              <w:top w:val="nil"/>
              <w:bottom w:val="single" w:color="auto" w:sz="12" w:space="0"/>
              <w:right w:val="nil"/>
            </w:tcBorders>
            <w:noWrap w:val="0"/>
            <w:vAlign w:val="center"/>
          </w:tcPr>
          <w:p>
            <w:pPr>
              <w:spacing w:line="240" w:lineRule="auto"/>
              <w:jc w:val="center"/>
              <w:rPr>
                <w:sz w:val="13"/>
                <w:szCs w:val="13"/>
              </w:rPr>
            </w:pPr>
          </w:p>
        </w:tc>
        <w:tc>
          <w:tcPr>
            <w:tcW w:w="751" w:type="dxa"/>
            <w:tcBorders>
              <w:top w:val="nil"/>
              <w:left w:val="nil"/>
              <w:bottom w:val="single" w:color="auto" w:sz="12" w:space="0"/>
              <w:right w:val="nil"/>
            </w:tcBorders>
            <w:noWrap w:val="0"/>
            <w:vAlign w:val="center"/>
          </w:tcPr>
          <w:p>
            <w:pPr>
              <w:spacing w:line="240" w:lineRule="auto"/>
              <w:jc w:val="center"/>
              <w:rPr>
                <w:rFonts w:hint="eastAsia"/>
                <w:sz w:val="13"/>
                <w:szCs w:val="13"/>
              </w:rPr>
            </w:pPr>
            <w:r>
              <w:rPr>
                <w:rFonts w:hint="eastAsia"/>
                <w:sz w:val="13"/>
                <w:szCs w:val="13"/>
              </w:rPr>
              <w:t>DB-5</w:t>
            </w:r>
          </w:p>
        </w:tc>
        <w:tc>
          <w:tcPr>
            <w:tcW w:w="675" w:type="dxa"/>
            <w:tcBorders>
              <w:top w:val="nil"/>
              <w:left w:val="nil"/>
              <w:bottom w:val="single" w:color="auto" w:sz="12" w:space="0"/>
              <w:right w:val="nil"/>
            </w:tcBorders>
            <w:noWrap w:val="0"/>
            <w:vAlign w:val="center"/>
          </w:tcPr>
          <w:p>
            <w:pPr>
              <w:spacing w:line="240" w:lineRule="auto"/>
              <w:jc w:val="center"/>
              <w:rPr>
                <w:rFonts w:cs="宋体"/>
                <w:sz w:val="13"/>
                <w:szCs w:val="13"/>
              </w:rPr>
            </w:pPr>
            <w:r>
              <w:rPr>
                <w:rFonts w:hint="eastAsia"/>
                <w:sz w:val="13"/>
                <w:szCs w:val="13"/>
              </w:rPr>
              <w:t>0.013</w:t>
            </w:r>
          </w:p>
        </w:tc>
        <w:tc>
          <w:tcPr>
            <w:tcW w:w="673" w:type="dxa"/>
            <w:tcBorders>
              <w:top w:val="nil"/>
              <w:left w:val="nil"/>
              <w:bottom w:val="single" w:color="auto" w:sz="12" w:space="0"/>
              <w:right w:val="nil"/>
            </w:tcBorders>
            <w:noWrap w:val="0"/>
            <w:vAlign w:val="center"/>
          </w:tcPr>
          <w:p>
            <w:pPr>
              <w:spacing w:line="240" w:lineRule="auto"/>
              <w:jc w:val="center"/>
              <w:rPr>
                <w:rFonts w:cs="宋体"/>
                <w:sz w:val="13"/>
                <w:szCs w:val="13"/>
              </w:rPr>
            </w:pPr>
            <w:r>
              <w:rPr>
                <w:rFonts w:hint="eastAsia"/>
                <w:sz w:val="13"/>
                <w:szCs w:val="13"/>
              </w:rPr>
              <w:t>0.0054</w:t>
            </w:r>
          </w:p>
        </w:tc>
        <w:tc>
          <w:tcPr>
            <w:tcW w:w="674" w:type="dxa"/>
            <w:tcBorders>
              <w:top w:val="nil"/>
              <w:left w:val="nil"/>
              <w:bottom w:val="single" w:color="auto" w:sz="12" w:space="0"/>
              <w:right w:val="nil"/>
            </w:tcBorders>
            <w:noWrap w:val="0"/>
            <w:vAlign w:val="center"/>
          </w:tcPr>
          <w:p>
            <w:pPr>
              <w:spacing w:line="240" w:lineRule="auto"/>
              <w:jc w:val="center"/>
              <w:rPr>
                <w:rFonts w:cs="宋体"/>
                <w:sz w:val="13"/>
                <w:szCs w:val="13"/>
              </w:rPr>
            </w:pPr>
            <w:r>
              <w:rPr>
                <w:rFonts w:hint="eastAsia"/>
                <w:sz w:val="13"/>
                <w:szCs w:val="13"/>
              </w:rPr>
              <w:t>0.0077</w:t>
            </w:r>
          </w:p>
        </w:tc>
        <w:tc>
          <w:tcPr>
            <w:tcW w:w="674" w:type="dxa"/>
            <w:tcBorders>
              <w:top w:val="nil"/>
              <w:left w:val="nil"/>
              <w:bottom w:val="single" w:color="auto" w:sz="12" w:space="0"/>
              <w:right w:val="nil"/>
            </w:tcBorders>
            <w:noWrap w:val="0"/>
            <w:vAlign w:val="center"/>
          </w:tcPr>
          <w:p>
            <w:pPr>
              <w:spacing w:line="240" w:lineRule="auto"/>
              <w:jc w:val="center"/>
              <w:rPr>
                <w:rFonts w:cs="宋体"/>
                <w:sz w:val="13"/>
                <w:szCs w:val="13"/>
              </w:rPr>
            </w:pPr>
            <w:r>
              <w:rPr>
                <w:rFonts w:hint="eastAsia"/>
                <w:sz w:val="13"/>
                <w:szCs w:val="13"/>
              </w:rPr>
              <w:t>0.020</w:t>
            </w:r>
          </w:p>
        </w:tc>
        <w:tc>
          <w:tcPr>
            <w:tcW w:w="674" w:type="dxa"/>
            <w:tcBorders>
              <w:top w:val="nil"/>
              <w:left w:val="nil"/>
              <w:bottom w:val="single" w:color="auto" w:sz="12" w:space="0"/>
              <w:right w:val="nil"/>
            </w:tcBorders>
            <w:noWrap w:val="0"/>
            <w:vAlign w:val="center"/>
          </w:tcPr>
          <w:p>
            <w:pPr>
              <w:spacing w:line="240" w:lineRule="auto"/>
              <w:jc w:val="center"/>
              <w:rPr>
                <w:rFonts w:cs="宋体"/>
                <w:sz w:val="13"/>
                <w:szCs w:val="13"/>
              </w:rPr>
            </w:pPr>
            <w:r>
              <w:rPr>
                <w:rFonts w:hint="eastAsia"/>
                <w:sz w:val="13"/>
                <w:szCs w:val="13"/>
              </w:rPr>
              <w:t>0.0048</w:t>
            </w:r>
          </w:p>
        </w:tc>
        <w:tc>
          <w:tcPr>
            <w:tcW w:w="674" w:type="dxa"/>
            <w:tcBorders>
              <w:top w:val="nil"/>
              <w:left w:val="nil"/>
              <w:bottom w:val="single" w:color="auto" w:sz="12" w:space="0"/>
              <w:right w:val="nil"/>
            </w:tcBorders>
            <w:noWrap w:val="0"/>
            <w:vAlign w:val="center"/>
          </w:tcPr>
          <w:p>
            <w:pPr>
              <w:spacing w:line="240" w:lineRule="auto"/>
              <w:jc w:val="center"/>
              <w:rPr>
                <w:rFonts w:cs="宋体"/>
                <w:sz w:val="13"/>
                <w:szCs w:val="13"/>
              </w:rPr>
            </w:pPr>
            <w:r>
              <w:rPr>
                <w:rFonts w:hint="eastAsia"/>
                <w:sz w:val="13"/>
                <w:szCs w:val="13"/>
              </w:rPr>
              <w:t>0.0086</w:t>
            </w:r>
          </w:p>
        </w:tc>
        <w:tc>
          <w:tcPr>
            <w:tcW w:w="674" w:type="dxa"/>
            <w:tcBorders>
              <w:top w:val="nil"/>
              <w:left w:val="nil"/>
              <w:bottom w:val="single" w:color="auto" w:sz="12" w:space="0"/>
              <w:right w:val="nil"/>
            </w:tcBorders>
            <w:noWrap w:val="0"/>
            <w:vAlign w:val="center"/>
          </w:tcPr>
          <w:p>
            <w:pPr>
              <w:spacing w:line="240" w:lineRule="auto"/>
              <w:jc w:val="center"/>
              <w:rPr>
                <w:rFonts w:cs="宋体"/>
                <w:sz w:val="13"/>
                <w:szCs w:val="13"/>
              </w:rPr>
            </w:pPr>
            <w:r>
              <w:rPr>
                <w:rFonts w:hint="eastAsia"/>
                <w:sz w:val="13"/>
                <w:szCs w:val="13"/>
              </w:rPr>
              <w:t>0.0030</w:t>
            </w:r>
          </w:p>
        </w:tc>
        <w:tc>
          <w:tcPr>
            <w:tcW w:w="674" w:type="dxa"/>
            <w:tcBorders>
              <w:top w:val="nil"/>
              <w:left w:val="nil"/>
              <w:bottom w:val="single" w:color="auto" w:sz="12" w:space="0"/>
              <w:right w:val="nil"/>
            </w:tcBorders>
            <w:noWrap w:val="0"/>
            <w:vAlign w:val="center"/>
          </w:tcPr>
          <w:p>
            <w:pPr>
              <w:spacing w:line="240" w:lineRule="auto"/>
              <w:jc w:val="center"/>
              <w:rPr>
                <w:rFonts w:cs="宋体"/>
                <w:sz w:val="13"/>
                <w:szCs w:val="13"/>
              </w:rPr>
            </w:pPr>
            <w:r>
              <w:rPr>
                <w:rFonts w:hint="eastAsia"/>
                <w:sz w:val="13"/>
                <w:szCs w:val="13"/>
              </w:rPr>
              <w:t>0.0042</w:t>
            </w:r>
          </w:p>
        </w:tc>
        <w:tc>
          <w:tcPr>
            <w:tcW w:w="674" w:type="dxa"/>
            <w:tcBorders>
              <w:top w:val="nil"/>
              <w:left w:val="nil"/>
              <w:bottom w:val="single" w:color="auto" w:sz="12" w:space="0"/>
              <w:right w:val="nil"/>
            </w:tcBorders>
            <w:noWrap w:val="0"/>
            <w:vAlign w:val="center"/>
          </w:tcPr>
          <w:p>
            <w:pPr>
              <w:spacing w:line="240" w:lineRule="auto"/>
              <w:jc w:val="center"/>
              <w:rPr>
                <w:rFonts w:cs="宋体"/>
                <w:sz w:val="13"/>
                <w:szCs w:val="13"/>
              </w:rPr>
            </w:pPr>
            <w:r>
              <w:rPr>
                <w:rFonts w:hint="eastAsia"/>
                <w:sz w:val="13"/>
                <w:szCs w:val="13"/>
              </w:rPr>
              <w:t>0.0073</w:t>
            </w:r>
          </w:p>
        </w:tc>
        <w:tc>
          <w:tcPr>
            <w:tcW w:w="674" w:type="dxa"/>
            <w:tcBorders>
              <w:top w:val="nil"/>
              <w:left w:val="nil"/>
              <w:bottom w:val="single" w:color="auto" w:sz="12" w:space="0"/>
            </w:tcBorders>
            <w:noWrap w:val="0"/>
            <w:vAlign w:val="center"/>
          </w:tcPr>
          <w:p>
            <w:pPr>
              <w:spacing w:line="240" w:lineRule="auto"/>
              <w:jc w:val="center"/>
              <w:rPr>
                <w:rFonts w:cs="宋体"/>
                <w:sz w:val="13"/>
                <w:szCs w:val="13"/>
              </w:rPr>
            </w:pPr>
            <w:r>
              <w:rPr>
                <w:rFonts w:hint="eastAsia"/>
                <w:sz w:val="13"/>
                <w:szCs w:val="13"/>
              </w:rPr>
              <w:t>0.0026</w:t>
            </w:r>
          </w:p>
        </w:tc>
      </w:tr>
    </w:tbl>
    <w:p>
      <w:pPr>
        <w:pStyle w:val="3"/>
        <w:rPr>
          <w:rFonts w:hint="eastAsia" w:ascii="仿宋_GB2312" w:eastAsia="仿宋_GB2312"/>
          <w:sz w:val="24"/>
          <w:szCs w:val="24"/>
          <w:lang w:val="en-US" w:eastAsia="zh-CN"/>
        </w:rPr>
      </w:pPr>
      <w:bookmarkStart w:id="104" w:name="_Toc13422_WPSOffice_Level2"/>
      <w:bookmarkStart w:id="105" w:name="_Toc27331_WPSOffice_Level2"/>
      <w:r>
        <w:rPr>
          <w:rFonts w:hint="eastAsia" w:ascii="仿宋_GB2312" w:eastAsia="仿宋_GB2312"/>
          <w:sz w:val="24"/>
          <w:szCs w:val="24"/>
          <w:lang w:val="en-US" w:eastAsia="zh-CN"/>
        </w:rPr>
        <w:t>4.9内标物的选择和使用</w:t>
      </w:r>
      <w:bookmarkEnd w:id="104"/>
      <w:bookmarkEnd w:id="105"/>
    </w:p>
    <w:p>
      <w:pPr>
        <w:spacing w:line="520" w:lineRule="exact"/>
        <w:ind w:firstLine="470" w:firstLineChars="196"/>
        <w:rPr>
          <w:rFonts w:hint="eastAsia"/>
          <w:sz w:val="24"/>
          <w:lang w:val="en-US" w:eastAsia="zh-CN"/>
        </w:rPr>
      </w:pPr>
      <w:r>
        <w:rPr>
          <w:rFonts w:hint="eastAsia"/>
          <w:sz w:val="24"/>
          <w:lang w:val="en-US" w:eastAsia="zh-CN"/>
        </w:rPr>
        <w:t>内标物的选择主要是按照内标物与待测物不发生反应、内标物保留时间上没有杂质的检出。由于本方法是多农药成分分析，农药在4～16 min都有检出，选用了邻苯二甲酸二乙酯、邻苯二甲酸二戊酯2种物质作为内标。在实际样品的检测中，应该先称取一定质量试样，在没有加入内标的情况下对农药进行初检测，分析在内标物出峰保留时间上是否有杂质出现，再选择使用合适的内标物。</w:t>
      </w:r>
    </w:p>
    <w:p>
      <w:pPr>
        <w:pStyle w:val="3"/>
        <w:rPr>
          <w:rFonts w:hint="eastAsia" w:ascii="仿宋_GB2312" w:eastAsia="仿宋_GB2312"/>
          <w:sz w:val="24"/>
          <w:szCs w:val="24"/>
          <w:lang w:val="en-US" w:eastAsia="zh-CN"/>
        </w:rPr>
      </w:pPr>
      <w:bookmarkStart w:id="106" w:name="_Toc23214_WPSOffice_Level2"/>
      <w:bookmarkStart w:id="107" w:name="_Toc7478_WPSOffice_Level2"/>
      <w:r>
        <w:rPr>
          <w:rFonts w:hint="eastAsia" w:ascii="仿宋_GB2312" w:eastAsia="仿宋_GB2312"/>
          <w:sz w:val="24"/>
          <w:szCs w:val="24"/>
          <w:lang w:val="en-US" w:eastAsia="zh-CN"/>
        </w:rPr>
        <w:t>4.10方法的实用性</w:t>
      </w:r>
      <w:bookmarkEnd w:id="106"/>
      <w:bookmarkEnd w:id="107"/>
    </w:p>
    <w:p>
      <w:pPr>
        <w:spacing w:line="520" w:lineRule="exact"/>
        <w:ind w:firstLine="470" w:firstLineChars="196"/>
        <w:rPr>
          <w:rFonts w:hint="eastAsia"/>
          <w:sz w:val="24"/>
          <w:lang w:val="en-US" w:eastAsia="zh-CN"/>
        </w:rPr>
      </w:pPr>
      <w:r>
        <w:rPr>
          <w:rFonts w:hint="eastAsia"/>
          <w:sz w:val="24"/>
          <w:lang w:val="en-US" w:eastAsia="zh-CN"/>
        </w:rPr>
        <w:t>利用上述方法对市场常用的乳油型农药进行检测分析，方法在大部分农药中有很好的效果，但对含有马拉硫磷或毒死蜱有效成分的农药不适用，主要是因为马拉硫磷和禁用农药对硫磷具有相同的保留时间，毒死蜱和禁用农药甲基对硫磷具有相同的保留时间，从保留时间上就无法准确的定性定量，方法存在一定的局限性。</w:t>
      </w:r>
    </w:p>
    <w:p>
      <w:pPr>
        <w:spacing w:line="520" w:lineRule="exact"/>
        <w:ind w:firstLine="470" w:firstLineChars="196"/>
        <w:rPr>
          <w:rFonts w:hint="eastAsia"/>
          <w:sz w:val="24"/>
          <w:lang w:val="en-US" w:eastAsia="zh-CN"/>
        </w:rPr>
      </w:pPr>
    </w:p>
    <w:p>
      <w:pPr>
        <w:pStyle w:val="2"/>
        <w:spacing w:line="240" w:lineRule="auto"/>
        <w:rPr>
          <w:rFonts w:hint="eastAsia" w:ascii="仿宋" w:hAnsi="仿宋" w:eastAsia="仿宋" w:cs="仿宋"/>
          <w:sz w:val="24"/>
          <w:szCs w:val="24"/>
          <w:lang w:val="en-US" w:eastAsia="zh-CN"/>
        </w:rPr>
      </w:pPr>
      <w:bookmarkStart w:id="108" w:name="_Toc23015"/>
      <w:r>
        <w:rPr>
          <w:rFonts w:hint="eastAsia" w:ascii="仿宋" w:hAnsi="仿宋" w:eastAsia="仿宋" w:cs="仿宋"/>
          <w:sz w:val="24"/>
          <w:szCs w:val="24"/>
          <w:lang w:val="en-US" w:eastAsia="zh-CN"/>
        </w:rPr>
        <w:t>5 对《乳油类农药中隐性禁用有机磷的检测 气相色谱分析法》标准的基本评价</w:t>
      </w:r>
      <w:bookmarkEnd w:id="108"/>
    </w:p>
    <w:p>
      <w:pPr>
        <w:spacing w:line="520" w:lineRule="exact"/>
        <w:ind w:firstLine="470" w:firstLineChars="196"/>
        <w:rPr>
          <w:rFonts w:hint="eastAsia"/>
          <w:sz w:val="24"/>
          <w:lang w:val="en-US" w:eastAsia="zh-CN"/>
        </w:rPr>
      </w:pPr>
      <w:r>
        <w:rPr>
          <w:rFonts w:hint="eastAsia"/>
          <w:sz w:val="24"/>
          <w:lang w:val="en-US" w:eastAsia="zh-CN"/>
        </w:rPr>
        <w:t>本方法是利用有机物在火焰离子化检测器上的响应进行测定。利用农药在大口径玻璃石英毛细柱，在程序升温条件下可以很好分离。另外气相色谱仪目前在我省已经非常普及，有利于标准的推广和普及。</w:t>
      </w:r>
    </w:p>
    <w:p>
      <w:pPr>
        <w:pStyle w:val="2"/>
        <w:spacing w:line="240" w:lineRule="auto"/>
        <w:rPr>
          <w:rFonts w:hint="eastAsia" w:ascii="仿宋" w:hAnsi="仿宋" w:eastAsia="仿宋" w:cs="仿宋"/>
          <w:sz w:val="24"/>
          <w:szCs w:val="24"/>
          <w:lang w:val="en-US" w:eastAsia="zh-CN"/>
        </w:rPr>
      </w:pPr>
      <w:bookmarkStart w:id="109" w:name="_Toc7299"/>
      <w:bookmarkStart w:id="110" w:name="_Toc2001_WPSOffice_Level1"/>
      <w:bookmarkStart w:id="111" w:name="_Toc14190_WPSOffice_Level1"/>
      <w:r>
        <w:rPr>
          <w:rFonts w:hint="eastAsia" w:ascii="仿宋" w:hAnsi="仿宋" w:eastAsia="仿宋" w:cs="仿宋"/>
          <w:sz w:val="24"/>
          <w:szCs w:val="24"/>
          <w:lang w:val="en-US" w:eastAsia="zh-CN"/>
        </w:rPr>
        <w:t>6与有关的现行法律、法规和强制性标准的关系</w:t>
      </w:r>
      <w:bookmarkEnd w:id="109"/>
      <w:bookmarkEnd w:id="110"/>
      <w:bookmarkEnd w:id="111"/>
    </w:p>
    <w:p>
      <w:pPr>
        <w:spacing w:line="520" w:lineRule="exact"/>
        <w:ind w:firstLine="470" w:firstLineChars="196"/>
        <w:rPr>
          <w:rFonts w:hint="eastAsia"/>
          <w:sz w:val="24"/>
          <w:lang w:val="en-US" w:eastAsia="zh-CN"/>
        </w:rPr>
      </w:pPr>
      <w:r>
        <w:rPr>
          <w:rFonts w:hint="eastAsia"/>
          <w:sz w:val="24"/>
          <w:lang w:val="en-US" w:eastAsia="zh-CN"/>
        </w:rPr>
        <w:t>在标准的制订过程中严格贯彻国家有关方针、政策、法律和规章，严格执行强制性国家标准和行业标准。与相关的各种基础标准相衔接，遵循了政策性和协调同一性的原则。</w:t>
      </w:r>
    </w:p>
    <w:p>
      <w:pPr>
        <w:pStyle w:val="2"/>
        <w:spacing w:line="240" w:lineRule="auto"/>
        <w:rPr>
          <w:rFonts w:hint="eastAsia" w:ascii="仿宋" w:hAnsi="仿宋" w:eastAsia="仿宋" w:cs="仿宋"/>
          <w:sz w:val="24"/>
          <w:szCs w:val="24"/>
          <w:lang w:val="en-US" w:eastAsia="zh-CN"/>
        </w:rPr>
      </w:pPr>
      <w:bookmarkStart w:id="112" w:name="_Toc28946"/>
      <w:bookmarkStart w:id="113" w:name="_Toc21801_WPSOffice_Level1"/>
      <w:bookmarkStart w:id="114" w:name="_Toc13455_WPSOffice_Level1"/>
      <w:r>
        <w:rPr>
          <w:rFonts w:hint="eastAsia" w:ascii="仿宋" w:hAnsi="仿宋" w:eastAsia="仿宋" w:cs="仿宋"/>
          <w:sz w:val="24"/>
          <w:szCs w:val="24"/>
          <w:lang w:val="en-US" w:eastAsia="zh-CN"/>
        </w:rPr>
        <w:t>7作为强制性标准或推荐性标准的建议</w:t>
      </w:r>
      <w:bookmarkEnd w:id="112"/>
      <w:bookmarkEnd w:id="113"/>
      <w:bookmarkEnd w:id="114"/>
    </w:p>
    <w:p>
      <w:pPr>
        <w:spacing w:line="520" w:lineRule="exact"/>
        <w:ind w:firstLine="470" w:firstLineChars="196"/>
        <w:rPr>
          <w:rFonts w:hint="eastAsia"/>
          <w:sz w:val="24"/>
          <w:lang w:val="en-US" w:eastAsia="zh-CN"/>
        </w:rPr>
      </w:pPr>
      <w:r>
        <w:rPr>
          <w:rFonts w:hint="eastAsia"/>
          <w:sz w:val="24"/>
          <w:lang w:val="en-US" w:eastAsia="zh-CN"/>
        </w:rPr>
        <w:t>建议将《乳油类农药中隐性禁用有机磷的检测 气相色谱分析法》作为推荐性贵州省地方标准颁布实施。</w:t>
      </w:r>
    </w:p>
    <w:p>
      <w:pPr>
        <w:pStyle w:val="2"/>
        <w:spacing w:line="240" w:lineRule="auto"/>
        <w:rPr>
          <w:rFonts w:hint="eastAsia" w:ascii="仿宋" w:hAnsi="仿宋" w:eastAsia="仿宋" w:cs="仿宋"/>
          <w:sz w:val="24"/>
          <w:szCs w:val="24"/>
          <w:lang w:val="en-US" w:eastAsia="zh-CN"/>
        </w:rPr>
      </w:pPr>
      <w:bookmarkStart w:id="115" w:name="_Toc28525"/>
      <w:bookmarkStart w:id="116" w:name="_Toc23436_WPSOffice_Level1"/>
      <w:bookmarkStart w:id="117" w:name="_Toc29324_WPSOffice_Level1"/>
      <w:r>
        <w:rPr>
          <w:rFonts w:hint="eastAsia" w:ascii="仿宋" w:hAnsi="仿宋" w:eastAsia="仿宋" w:cs="仿宋"/>
          <w:sz w:val="24"/>
          <w:szCs w:val="24"/>
          <w:lang w:val="en-US" w:eastAsia="zh-CN"/>
        </w:rPr>
        <w:t>8专利及涉及知识产权情况</w:t>
      </w:r>
      <w:bookmarkEnd w:id="115"/>
      <w:bookmarkEnd w:id="116"/>
      <w:bookmarkEnd w:id="117"/>
    </w:p>
    <w:p>
      <w:pPr>
        <w:spacing w:line="520" w:lineRule="exact"/>
        <w:ind w:firstLine="470" w:firstLineChars="196"/>
        <w:rPr>
          <w:rFonts w:hint="eastAsia"/>
          <w:sz w:val="24"/>
          <w:lang w:val="en-US" w:eastAsia="zh-CN"/>
        </w:rPr>
      </w:pPr>
      <w:r>
        <w:rPr>
          <w:rFonts w:hint="eastAsia"/>
          <w:sz w:val="24"/>
          <w:lang w:val="en-US" w:eastAsia="zh-CN"/>
        </w:rPr>
        <w:t>本标准的制定内容未涉及专利的知识产权；</w:t>
      </w:r>
    </w:p>
    <w:p>
      <w:pPr>
        <w:spacing w:line="520" w:lineRule="exact"/>
        <w:ind w:firstLine="470" w:firstLineChars="196"/>
        <w:rPr>
          <w:rFonts w:hint="eastAsia"/>
          <w:sz w:val="24"/>
          <w:lang w:val="en-US" w:eastAsia="zh-CN"/>
        </w:rPr>
      </w:pPr>
      <w:r>
        <w:rPr>
          <w:rFonts w:hint="eastAsia"/>
          <w:sz w:val="24"/>
          <w:lang w:val="en-US" w:eastAsia="zh-CN"/>
        </w:rPr>
        <w:t>该方法已申请专利《一种同时检测农药中32种隐性添加农药成分的方法》，申请公布号CN107515267A、申请公布日：2017.12.26、申请号：2017109664868；</w:t>
      </w:r>
    </w:p>
    <w:p>
      <w:pPr>
        <w:spacing w:line="520" w:lineRule="exact"/>
        <w:ind w:firstLine="470" w:firstLineChars="196"/>
        <w:rPr>
          <w:rFonts w:hint="eastAsia"/>
          <w:sz w:val="24"/>
          <w:lang w:val="en-US" w:eastAsia="zh-CN"/>
        </w:rPr>
      </w:pPr>
      <w:r>
        <w:rPr>
          <w:rFonts w:hint="eastAsia"/>
          <w:sz w:val="24"/>
          <w:lang w:val="en-US" w:eastAsia="zh-CN"/>
        </w:rPr>
        <w:t>公开发表论文：乳油型农药中多种禁止使用农药成分的同时检测》[农药, 2012, 51(01): 44-46]；三气相色谱-三重四级杆质谱法同时测定农药中32种隐性添加成分》[食品安全质量检测学报2018,10(13:3219-3225)]</w:t>
      </w:r>
    </w:p>
    <w:p>
      <w:pPr>
        <w:pStyle w:val="2"/>
        <w:spacing w:line="240" w:lineRule="auto"/>
        <w:rPr>
          <w:rFonts w:hint="eastAsia" w:ascii="仿宋" w:hAnsi="仿宋" w:eastAsia="仿宋" w:cs="仿宋"/>
          <w:sz w:val="24"/>
          <w:szCs w:val="24"/>
          <w:lang w:val="en-US" w:eastAsia="zh-CN"/>
        </w:rPr>
      </w:pPr>
      <w:bookmarkStart w:id="118" w:name="_Toc19636"/>
      <w:bookmarkStart w:id="119" w:name="_Toc8207_WPSOffice_Level1"/>
      <w:bookmarkStart w:id="120" w:name="_Toc31657_WPSOffice_Level1"/>
      <w:r>
        <w:rPr>
          <w:rFonts w:hint="eastAsia" w:ascii="仿宋" w:hAnsi="仿宋" w:eastAsia="仿宋" w:cs="仿宋"/>
          <w:sz w:val="24"/>
          <w:szCs w:val="24"/>
          <w:lang w:val="en-US" w:eastAsia="zh-CN"/>
        </w:rPr>
        <w:t>9</w:t>
      </w:r>
      <w:r>
        <w:rPr>
          <w:rFonts w:hint="eastAsia" w:ascii="仿宋" w:hAnsi="仿宋" w:eastAsia="仿宋" w:cs="仿宋"/>
          <w:sz w:val="24"/>
          <w:szCs w:val="24"/>
          <w:lang w:val="en-US" w:eastAsia="zh-CN"/>
        </w:rPr>
        <w:t xml:space="preserve"> 重大分歧意见的处理经过</w:t>
      </w:r>
      <w:bookmarkEnd w:id="118"/>
      <w:bookmarkEnd w:id="119"/>
      <w:bookmarkEnd w:id="120"/>
    </w:p>
    <w:p>
      <w:pPr>
        <w:spacing w:line="520" w:lineRule="exact"/>
        <w:ind w:firstLine="470" w:firstLineChars="196"/>
        <w:rPr>
          <w:rFonts w:hint="eastAsia"/>
          <w:sz w:val="24"/>
          <w:lang w:val="en-US" w:eastAsia="zh-CN"/>
        </w:rPr>
      </w:pPr>
      <w:r>
        <w:rPr>
          <w:rFonts w:hint="eastAsia"/>
          <w:sz w:val="24"/>
          <w:lang w:val="en-US" w:eastAsia="zh-CN"/>
        </w:rPr>
        <w:t>本标准在标准的起草过程充分征求政府监管部门及相关单位和专家意见和建议，通过共同讨论、协商，达成致。没有重大分歧意见。</w:t>
      </w:r>
    </w:p>
    <w:p>
      <w:pPr>
        <w:pStyle w:val="2"/>
        <w:spacing w:line="240" w:lineRule="auto"/>
        <w:rPr>
          <w:rFonts w:hint="eastAsia" w:ascii="仿宋" w:hAnsi="仿宋" w:eastAsia="仿宋" w:cs="仿宋"/>
          <w:sz w:val="24"/>
          <w:szCs w:val="24"/>
          <w:lang w:val="en-US" w:eastAsia="zh-CN"/>
        </w:rPr>
      </w:pPr>
      <w:bookmarkStart w:id="121" w:name="_Toc1673"/>
      <w:bookmarkStart w:id="122" w:name="_Toc8882_WPSOffice_Level1"/>
      <w:bookmarkStart w:id="123" w:name="_Toc11657_WPSOffice_Level1"/>
      <w:r>
        <w:rPr>
          <w:rFonts w:hint="eastAsia" w:ascii="仿宋" w:hAnsi="仿宋" w:eastAsia="仿宋" w:cs="仿宋"/>
          <w:sz w:val="24"/>
          <w:szCs w:val="24"/>
          <w:lang w:val="en-US" w:eastAsia="zh-CN"/>
        </w:rPr>
        <w:t>10贯彻标准的要求和措施建议</w:t>
      </w:r>
      <w:bookmarkEnd w:id="121"/>
      <w:bookmarkEnd w:id="122"/>
      <w:bookmarkEnd w:id="123"/>
    </w:p>
    <w:p>
      <w:pPr>
        <w:spacing w:line="520" w:lineRule="exact"/>
        <w:ind w:firstLine="470" w:firstLineChars="196"/>
        <w:rPr>
          <w:rFonts w:hint="eastAsia"/>
          <w:sz w:val="24"/>
          <w:lang w:val="en-US" w:eastAsia="zh-CN"/>
        </w:rPr>
      </w:pPr>
      <w:r>
        <w:rPr>
          <w:rFonts w:hint="eastAsia"/>
          <w:sz w:val="24"/>
          <w:lang w:val="en-US" w:eastAsia="zh-CN"/>
        </w:rPr>
        <w:t>8.1在目前各级政府非常重视食品安全的前提下，在各级政府部门的农资产品的抽查、检查中应积极利用和创造各种渠道宣贯本标准。</w:t>
      </w:r>
    </w:p>
    <w:p>
      <w:pPr>
        <w:spacing w:line="520" w:lineRule="exact"/>
        <w:ind w:firstLine="470" w:firstLineChars="196"/>
        <w:rPr>
          <w:sz w:val="28"/>
          <w:szCs w:val="28"/>
        </w:rPr>
      </w:pPr>
      <w:r>
        <w:rPr>
          <w:rFonts w:hint="eastAsia"/>
          <w:sz w:val="24"/>
          <w:lang w:val="en-US" w:eastAsia="zh-CN"/>
        </w:rPr>
        <w:t>8.2举办质量监督检验、科研、生产等相关人员参加的标准宣贯培</w:t>
      </w:r>
      <w:r>
        <w:rPr>
          <w:sz w:val="28"/>
          <w:szCs w:val="28"/>
        </w:rPr>
        <w:t>训班。</w:t>
      </w:r>
    </w:p>
    <w:p>
      <w:pPr>
        <w:pStyle w:val="2"/>
        <w:spacing w:line="240" w:lineRule="auto"/>
        <w:rPr>
          <w:rFonts w:hint="eastAsia" w:ascii="仿宋" w:hAnsi="仿宋" w:eastAsia="仿宋" w:cs="仿宋"/>
          <w:sz w:val="24"/>
          <w:szCs w:val="24"/>
          <w:lang w:val="en-US" w:eastAsia="zh-CN"/>
        </w:rPr>
      </w:pPr>
      <w:bookmarkStart w:id="124" w:name="_Toc5114"/>
      <w:bookmarkStart w:id="125" w:name="_Toc25782_WPSOffice_Level1"/>
      <w:bookmarkStart w:id="126" w:name="_Toc11507_WPSOffice_Level1"/>
      <w:r>
        <w:rPr>
          <w:rFonts w:hint="eastAsia" w:ascii="仿宋" w:hAnsi="仿宋" w:eastAsia="仿宋" w:cs="仿宋"/>
          <w:sz w:val="24"/>
          <w:szCs w:val="24"/>
          <w:lang w:val="en-US" w:eastAsia="zh-CN"/>
        </w:rPr>
        <w:t>11 废止现行有关标准的建议</w:t>
      </w:r>
      <w:bookmarkEnd w:id="124"/>
      <w:bookmarkEnd w:id="125"/>
      <w:bookmarkEnd w:id="126"/>
    </w:p>
    <w:p>
      <w:pPr>
        <w:spacing w:line="520" w:lineRule="exact"/>
        <w:ind w:firstLine="470" w:firstLineChars="196"/>
        <w:rPr>
          <w:rFonts w:hint="eastAsia"/>
          <w:sz w:val="24"/>
          <w:lang w:val="en-US" w:eastAsia="zh-CN"/>
        </w:rPr>
      </w:pPr>
      <w:r>
        <w:rPr>
          <w:rFonts w:hint="eastAsia"/>
          <w:sz w:val="24"/>
          <w:lang w:val="en-US" w:eastAsia="zh-CN"/>
        </w:rPr>
        <w:t>本标准为首次制定，无废止现行有关标准的建议。</w:t>
      </w:r>
    </w:p>
    <w:p>
      <w:pPr>
        <w:pStyle w:val="2"/>
        <w:spacing w:line="240" w:lineRule="auto"/>
        <w:rPr>
          <w:rFonts w:hint="eastAsia" w:ascii="仿宋" w:hAnsi="仿宋" w:eastAsia="仿宋" w:cs="仿宋"/>
          <w:sz w:val="24"/>
          <w:szCs w:val="24"/>
          <w:lang w:val="en-US" w:eastAsia="zh-CN"/>
        </w:rPr>
      </w:pPr>
      <w:bookmarkStart w:id="127" w:name="_Toc20885_WPSOffice_Level1"/>
      <w:bookmarkStart w:id="128" w:name="_Toc14727_WPSOffice_Level1"/>
      <w:r>
        <w:rPr>
          <w:rFonts w:hint="eastAsia" w:ascii="仿宋" w:hAnsi="仿宋" w:eastAsia="仿宋" w:cs="仿宋"/>
          <w:sz w:val="24"/>
          <w:szCs w:val="24"/>
          <w:lang w:val="en-US" w:eastAsia="zh-CN"/>
        </w:rPr>
        <w:t>12 推广应用的预期效果</w:t>
      </w:r>
      <w:bookmarkEnd w:id="127"/>
      <w:bookmarkEnd w:id="128"/>
    </w:p>
    <w:p>
      <w:pPr>
        <w:spacing w:line="520" w:lineRule="exact"/>
        <w:ind w:firstLine="470" w:firstLineChars="196"/>
        <w:rPr>
          <w:rFonts w:hint="eastAsia"/>
          <w:sz w:val="24"/>
          <w:lang w:val="en-US" w:eastAsia="zh-CN"/>
        </w:rPr>
        <w:sectPr>
          <w:pgSz w:w="11906" w:h="16838"/>
          <w:pgMar w:top="1440" w:right="1800" w:bottom="1440" w:left="1800" w:header="851" w:footer="992" w:gutter="0"/>
          <w:cols w:space="425" w:num="1"/>
          <w:docGrid w:type="lines" w:linePitch="312" w:charSpace="0"/>
        </w:sectPr>
      </w:pPr>
      <w:r>
        <w:rPr>
          <w:rFonts w:hint="eastAsia"/>
          <w:sz w:val="24"/>
          <w:lang w:val="en-US" w:eastAsia="zh-CN"/>
        </w:rPr>
        <w:t>通过贵州省地方标准《乳油类农药中隐性禁用有机磷的检测 气相色谱分析法》的制定、发布实施、推广应用，可以满足我省各级政府部门农资产品的抽查、检查的检测需要，为农资打假提供技术支持，降低农药隐性添加成分风险，保障广大人民群众食品安全。</w:t>
      </w:r>
    </w:p>
    <w:p>
      <w:pPr>
        <w:pStyle w:val="2"/>
        <w:spacing w:line="240" w:lineRule="auto"/>
        <w:rPr>
          <w:rFonts w:hint="eastAsia" w:ascii="仿宋" w:hAnsi="仿宋" w:eastAsia="仿宋" w:cs="仿宋"/>
          <w:sz w:val="24"/>
          <w:szCs w:val="24"/>
          <w:lang w:val="en-US" w:eastAsia="zh-CN"/>
        </w:rPr>
      </w:pPr>
      <w:bookmarkStart w:id="129" w:name="_Toc39_WPSOffice_Level1"/>
      <w:bookmarkStart w:id="130" w:name="_Toc21890_WPSOffice_Level1"/>
      <w:r>
        <w:rPr>
          <w:rFonts w:hint="eastAsia" w:ascii="仿宋" w:hAnsi="仿宋" w:eastAsia="仿宋" w:cs="仿宋"/>
          <w:sz w:val="24"/>
          <w:szCs w:val="24"/>
          <w:lang w:val="en-US" w:eastAsia="zh-CN"/>
        </w:rPr>
        <w:t>13参考文献</w:t>
      </w:r>
      <w:bookmarkEnd w:id="129"/>
      <w:bookmarkEnd w:id="130"/>
    </w:p>
    <w:p>
      <w:pPr>
        <w:rPr>
          <w:rFonts w:hint="eastAsia" w:ascii="仿宋" w:hAnsi="仿宋" w:eastAsia="仿宋" w:cs="仿宋"/>
        </w:rPr>
      </w:pPr>
      <w:r>
        <w:rPr>
          <w:rFonts w:hint="eastAsia" w:ascii="仿宋" w:hAnsi="仿宋" w:eastAsia="仿宋" w:cs="仿宋"/>
        </w:rPr>
        <w:t>[1] 李俊, 赵为武, 郭晓关, 等. 乳油型农药中多种禁止使用农药成分的同时检测[J]. 农药, 2012, 51(01): 44-46.</w:t>
      </w:r>
    </w:p>
    <w:p>
      <w:pPr>
        <w:rPr>
          <w:rFonts w:hint="eastAsia" w:ascii="仿宋" w:hAnsi="仿宋" w:eastAsia="仿宋" w:cs="仿宋"/>
        </w:rPr>
      </w:pPr>
      <w:r>
        <w:rPr>
          <w:rFonts w:hint="eastAsia" w:ascii="仿宋" w:hAnsi="仿宋" w:eastAsia="仿宋" w:cs="仿宋"/>
        </w:rPr>
        <w:t>[2] 束放, 熊延坤. 我国农药生产现状和农药减量使用的重要意义[J]. 山东农药信息, 2016, (2): 18-20.</w:t>
      </w:r>
    </w:p>
    <w:p>
      <w:pPr>
        <w:rPr>
          <w:rFonts w:hint="eastAsia" w:ascii="仿宋" w:hAnsi="仿宋" w:eastAsia="仿宋" w:cs="仿宋"/>
        </w:rPr>
      </w:pPr>
      <w:r>
        <w:rPr>
          <w:rFonts w:hint="eastAsia" w:ascii="仿宋" w:hAnsi="仿宋" w:eastAsia="仿宋" w:cs="仿宋"/>
        </w:rPr>
        <w:t>[3] 段又生. 数据分析我国农药行业发展态势[J]. 中国农药, 2016, (1): 46-55.</w:t>
      </w:r>
    </w:p>
    <w:p>
      <w:pPr>
        <w:rPr>
          <w:rFonts w:hint="eastAsia" w:ascii="仿宋" w:hAnsi="仿宋" w:eastAsia="仿宋" w:cs="仿宋"/>
        </w:rPr>
      </w:pPr>
      <w:r>
        <w:rPr>
          <w:rFonts w:hint="eastAsia" w:ascii="仿宋" w:hAnsi="仿宋" w:eastAsia="仿宋" w:cs="仿宋"/>
        </w:rPr>
        <w:t>[4] 郭映花, 杨惠芳. 我国禁(限)用农药的管理与控制现状[J]. 现代预防医学, 2013, 40(12): 2198-2202.</w:t>
      </w:r>
    </w:p>
    <w:p>
      <w:pPr>
        <w:rPr>
          <w:rFonts w:hint="eastAsia" w:ascii="仿宋" w:hAnsi="仿宋" w:eastAsia="仿宋" w:cs="仿宋"/>
        </w:rPr>
      </w:pPr>
      <w:r>
        <w:rPr>
          <w:rFonts w:hint="eastAsia" w:ascii="仿宋" w:hAnsi="仿宋" w:eastAsia="仿宋" w:cs="仿宋"/>
        </w:rPr>
        <w:t xml:space="preserve">[5] 乔成奎, 黄玉南, 罗静, 等. HPLC-MS/MS法检测农药产品中30种隐性成分[J]. 农药, 2015, 54(05): 340-342+345. </w:t>
      </w:r>
    </w:p>
    <w:p>
      <w:pPr>
        <w:rPr>
          <w:rFonts w:hint="eastAsia" w:ascii="仿宋" w:hAnsi="仿宋" w:eastAsia="仿宋" w:cs="仿宋"/>
        </w:rPr>
      </w:pPr>
      <w:r>
        <w:rPr>
          <w:rFonts w:hint="eastAsia" w:ascii="仿宋" w:hAnsi="仿宋" w:eastAsia="仿宋" w:cs="仿宋"/>
        </w:rPr>
        <w:t>[6] 陆小磊, 蒋美蓉, 叶美君,等. 固相萃取净化-气相色谱质谱法测定茶叶中22种禁用农药残留量[J]. 中国茶叶加工, 2015(1):11-17.</w:t>
      </w:r>
    </w:p>
    <w:p>
      <w:pPr>
        <w:rPr>
          <w:rFonts w:hint="eastAsia" w:ascii="仿宋" w:hAnsi="仿宋" w:eastAsia="仿宋" w:cs="仿宋"/>
        </w:rPr>
      </w:pPr>
      <w:r>
        <w:rPr>
          <w:rFonts w:hint="eastAsia" w:ascii="仿宋" w:hAnsi="仿宋" w:eastAsia="仿宋" w:cs="仿宋"/>
        </w:rPr>
        <w:t>[7] 陈晓明, 王程龙, 薄瑞. 中国农药使用现状及对策建议[J]. 农药科学与管理, 2016, 37(2): 4-8.</w:t>
      </w:r>
    </w:p>
    <w:p>
      <w:pPr>
        <w:rPr>
          <w:rFonts w:hint="eastAsia" w:ascii="仿宋" w:hAnsi="仿宋" w:eastAsia="仿宋" w:cs="仿宋"/>
        </w:rPr>
      </w:pPr>
      <w:r>
        <w:rPr>
          <w:rFonts w:hint="eastAsia" w:ascii="仿宋" w:hAnsi="仿宋" w:eastAsia="仿宋" w:cs="仿宋"/>
        </w:rPr>
        <w:t>[8] Zhou P, Lu YT, Liu BF, et al. Dynamics of fipronil residue in vegetable-field ecosystem[J]. Chemosphere, 2004, 57 (11): 1691-1696.</w:t>
      </w:r>
    </w:p>
    <w:p>
      <w:pPr>
        <w:rPr>
          <w:rFonts w:hint="eastAsia" w:ascii="仿宋" w:hAnsi="仿宋" w:eastAsia="仿宋" w:cs="仿宋"/>
        </w:rPr>
      </w:pPr>
      <w:r>
        <w:rPr>
          <w:rFonts w:hint="eastAsia" w:ascii="仿宋" w:hAnsi="仿宋" w:eastAsia="仿宋" w:cs="仿宋"/>
        </w:rPr>
        <w:t>[9] Yi XH, Lu YT. Residues and dynamics of probenazole in rice field ecosystem [J]. Chemosphere, 2006, 65 (4): 639-643.</w:t>
      </w:r>
    </w:p>
    <w:p>
      <w:pPr>
        <w:rPr>
          <w:rFonts w:hint="eastAsia" w:ascii="仿宋" w:hAnsi="仿宋" w:eastAsia="仿宋" w:cs="仿宋"/>
        </w:rPr>
      </w:pPr>
      <w:r>
        <w:rPr>
          <w:rFonts w:hint="eastAsia" w:ascii="仿宋" w:hAnsi="仿宋" w:eastAsia="仿宋" w:cs="仿宋"/>
        </w:rPr>
        <w:t>[10] 袁善奎, 刘亮, 王以燕, 等. 农药非法添加隐性成分及其风险分析[J]. 农药, 2016, 55(07): 480-482+490.</w:t>
      </w:r>
    </w:p>
    <w:p>
      <w:pPr>
        <w:rPr>
          <w:rFonts w:hint="eastAsia" w:ascii="仿宋" w:hAnsi="仿宋" w:eastAsia="仿宋" w:cs="仿宋"/>
        </w:rPr>
      </w:pPr>
      <w:r>
        <w:rPr>
          <w:rFonts w:hint="eastAsia" w:ascii="仿宋" w:hAnsi="仿宋" w:eastAsia="仿宋" w:cs="仿宋"/>
        </w:rPr>
        <w:t>[11] 张寒, 黄晓华, 徐永. 农药隐性成分现状分析及对策[J]. 农药科学与管理, 2017, 38(05): 6-10+20.</w:t>
      </w:r>
    </w:p>
    <w:p>
      <w:pPr>
        <w:rPr>
          <w:rFonts w:hint="eastAsia" w:ascii="仿宋" w:hAnsi="仿宋" w:eastAsia="仿宋" w:cs="仿宋"/>
        </w:rPr>
      </w:pPr>
      <w:r>
        <w:rPr>
          <w:rFonts w:hint="eastAsia" w:ascii="仿宋" w:hAnsi="仿宋" w:eastAsia="仿宋" w:cs="仿宋"/>
          <w:lang w:val="en-US" w:eastAsia="zh-CN"/>
        </w:rPr>
        <w:t>[12]</w:t>
      </w:r>
      <w:r>
        <w:rPr>
          <w:rFonts w:hint="eastAsia" w:ascii="仿宋" w:hAnsi="仿宋" w:eastAsia="仿宋" w:cs="仿宋"/>
        </w:rPr>
        <w:t>GB/T 1250-1989 极限数值的标示方法和判定方法</w:t>
      </w:r>
    </w:p>
    <w:p>
      <w:pPr>
        <w:rPr>
          <w:rFonts w:hint="eastAsia" w:ascii="仿宋" w:hAnsi="仿宋" w:eastAsia="仿宋" w:cs="仿宋"/>
        </w:rPr>
      </w:pPr>
      <w:r>
        <w:rPr>
          <w:rFonts w:hint="eastAsia" w:ascii="仿宋" w:hAnsi="仿宋" w:eastAsia="仿宋" w:cs="仿宋"/>
          <w:lang w:val="en-US" w:eastAsia="zh-CN"/>
        </w:rPr>
        <w:t>[13]</w:t>
      </w:r>
      <w:r>
        <w:rPr>
          <w:rFonts w:hint="eastAsia" w:ascii="仿宋" w:hAnsi="仿宋" w:eastAsia="仿宋" w:cs="仿宋"/>
        </w:rPr>
        <w:t>GB/T 1604-1995 商品农药验收规则</w:t>
      </w:r>
    </w:p>
    <w:p>
      <w:pPr>
        <w:rPr>
          <w:rFonts w:hint="eastAsia" w:ascii="仿宋" w:hAnsi="仿宋" w:eastAsia="仿宋" w:cs="仿宋"/>
        </w:rPr>
      </w:pPr>
      <w:r>
        <w:rPr>
          <w:rFonts w:hint="eastAsia" w:ascii="仿宋" w:hAnsi="仿宋" w:eastAsia="仿宋" w:cs="仿宋"/>
          <w:lang w:val="en-US" w:eastAsia="zh-CN"/>
        </w:rPr>
        <w:t>[14]</w:t>
      </w:r>
      <w:r>
        <w:rPr>
          <w:rFonts w:hint="eastAsia" w:ascii="仿宋" w:hAnsi="仿宋" w:eastAsia="仿宋" w:cs="仿宋"/>
        </w:rPr>
        <w:t>GB/T 1605-2001 商品农药采样方法</w:t>
      </w:r>
    </w:p>
    <w:p>
      <w:pPr>
        <w:rPr>
          <w:rFonts w:hint="eastAsia" w:ascii="仿宋" w:hAnsi="仿宋" w:eastAsia="仿宋" w:cs="仿宋"/>
        </w:rPr>
      </w:pPr>
      <w:r>
        <w:rPr>
          <w:rFonts w:hint="eastAsia" w:ascii="仿宋" w:hAnsi="仿宋" w:eastAsia="仿宋" w:cs="仿宋"/>
          <w:lang w:val="en-US" w:eastAsia="zh-CN"/>
        </w:rPr>
        <w:t>[15]</w:t>
      </w:r>
      <w:r>
        <w:rPr>
          <w:rFonts w:hint="eastAsia" w:ascii="仿宋" w:hAnsi="仿宋" w:eastAsia="仿宋" w:cs="仿宋"/>
        </w:rPr>
        <w:t>GB/T 4946-2008 气相色谱法术语</w:t>
      </w:r>
    </w:p>
    <w:p>
      <w:pPr>
        <w:rPr>
          <w:rFonts w:hint="eastAsia" w:ascii="仿宋" w:hAnsi="仿宋" w:eastAsia="仿宋" w:cs="仿宋"/>
        </w:rPr>
      </w:pPr>
      <w:r>
        <w:rPr>
          <w:rFonts w:hint="eastAsia" w:ascii="仿宋" w:hAnsi="仿宋" w:eastAsia="仿宋" w:cs="仿宋"/>
          <w:lang w:val="en-US" w:eastAsia="zh-CN"/>
        </w:rPr>
        <w:t>[16]</w:t>
      </w:r>
      <w:r>
        <w:rPr>
          <w:rFonts w:hint="eastAsia" w:ascii="仿宋" w:hAnsi="仿宋" w:eastAsia="仿宋" w:cs="仿宋"/>
        </w:rPr>
        <w:t>GB/T 8170-2008 数值修约规则</w:t>
      </w:r>
    </w:p>
    <w:p>
      <w:pPr>
        <w:rPr>
          <w:rFonts w:hint="eastAsia" w:ascii="仿宋" w:hAnsi="仿宋" w:eastAsia="仿宋" w:cs="仿宋"/>
        </w:rPr>
      </w:pPr>
      <w:r>
        <w:rPr>
          <w:rFonts w:hint="eastAsia" w:ascii="仿宋" w:hAnsi="仿宋" w:eastAsia="仿宋" w:cs="仿宋"/>
          <w:lang w:val="en-US" w:eastAsia="zh-CN"/>
        </w:rPr>
        <w:t>[17]</w:t>
      </w:r>
      <w:r>
        <w:rPr>
          <w:rFonts w:hint="eastAsia" w:ascii="仿宋" w:hAnsi="仿宋" w:eastAsia="仿宋" w:cs="仿宋"/>
        </w:rPr>
        <w:t>HG/T 2467.2-2003 农药乳油产品标准编写规范</w:t>
      </w:r>
    </w:p>
    <w:p>
      <w:pPr>
        <w:rPr>
          <w:rFonts w:hint="eastAsia" w:ascii="仿宋" w:hAnsi="仿宋" w:eastAsia="仿宋" w:cs="仿宋"/>
        </w:rPr>
      </w:pPr>
      <w:r>
        <w:rPr>
          <w:rFonts w:hint="eastAsia" w:ascii="仿宋" w:hAnsi="仿宋" w:eastAsia="仿宋" w:cs="仿宋"/>
          <w:lang w:val="en-US" w:eastAsia="zh-CN"/>
        </w:rPr>
        <w:t>[18]</w:t>
      </w:r>
      <w:r>
        <w:rPr>
          <w:rFonts w:hint="eastAsia" w:ascii="仿宋" w:hAnsi="仿宋" w:eastAsia="仿宋" w:cs="仿宋"/>
        </w:rPr>
        <w:t>中华人民共和国农业部第194号公告</w:t>
      </w:r>
    </w:p>
    <w:p>
      <w:pPr>
        <w:rPr>
          <w:rFonts w:hint="eastAsia" w:ascii="仿宋" w:hAnsi="仿宋" w:eastAsia="仿宋" w:cs="仿宋"/>
        </w:rPr>
      </w:pPr>
      <w:r>
        <w:rPr>
          <w:rFonts w:hint="eastAsia" w:ascii="仿宋" w:hAnsi="仿宋" w:eastAsia="仿宋" w:cs="仿宋"/>
          <w:lang w:val="en-US" w:eastAsia="zh-CN"/>
        </w:rPr>
        <w:t>[19]</w:t>
      </w:r>
      <w:r>
        <w:rPr>
          <w:rFonts w:hint="eastAsia" w:ascii="仿宋" w:hAnsi="仿宋" w:eastAsia="仿宋" w:cs="仿宋"/>
        </w:rPr>
        <w:t>中华人民共和国农业部第274号公告</w:t>
      </w:r>
    </w:p>
    <w:p>
      <w:pPr>
        <w:rPr>
          <w:rFonts w:hint="eastAsia" w:ascii="仿宋" w:hAnsi="仿宋" w:eastAsia="仿宋" w:cs="仿宋"/>
        </w:rPr>
      </w:pPr>
      <w:r>
        <w:rPr>
          <w:rFonts w:hint="eastAsia" w:ascii="仿宋" w:hAnsi="仿宋" w:eastAsia="仿宋" w:cs="仿宋"/>
          <w:lang w:val="en-US" w:eastAsia="zh-CN"/>
        </w:rPr>
        <w:t>[20]</w:t>
      </w:r>
      <w:r>
        <w:rPr>
          <w:rFonts w:hint="eastAsia" w:ascii="仿宋" w:hAnsi="仿宋" w:eastAsia="仿宋" w:cs="仿宋"/>
        </w:rPr>
        <w:t>中华人民共和国农业部第322号公告</w:t>
      </w:r>
    </w:p>
    <w:p>
      <w:pPr>
        <w:rPr>
          <w:rFonts w:hint="eastAsia" w:ascii="仿宋" w:hAnsi="仿宋" w:eastAsia="仿宋" w:cs="仿宋"/>
        </w:rPr>
      </w:pPr>
      <w:r>
        <w:rPr>
          <w:rFonts w:hint="eastAsia" w:ascii="仿宋" w:hAnsi="仿宋" w:eastAsia="仿宋" w:cs="仿宋"/>
          <w:lang w:val="en-US" w:eastAsia="zh-CN"/>
        </w:rPr>
        <w:t>[21]</w:t>
      </w:r>
      <w:r>
        <w:rPr>
          <w:rFonts w:hint="eastAsia" w:ascii="仿宋" w:hAnsi="仿宋" w:eastAsia="仿宋" w:cs="仿宋"/>
        </w:rPr>
        <w:t>中华人民共和国国家标准 GB/T 1.1-2009《标准化工作导则第一部份：标准的结构和编写规则》</w:t>
      </w:r>
    </w:p>
    <w:p>
      <w:pPr>
        <w:rPr>
          <w:rFonts w:hint="eastAsia" w:ascii="仿宋" w:hAnsi="仿宋" w:eastAsia="仿宋" w:cs="仿宋"/>
        </w:rPr>
      </w:pPr>
      <w:r>
        <w:rPr>
          <w:rFonts w:hint="eastAsia" w:ascii="仿宋" w:hAnsi="仿宋" w:eastAsia="仿宋" w:cs="仿宋"/>
          <w:lang w:val="en-US" w:eastAsia="zh-CN"/>
        </w:rPr>
        <w:t>[22]</w:t>
      </w:r>
      <w:r>
        <w:rPr>
          <w:rFonts w:hint="eastAsia" w:ascii="仿宋" w:hAnsi="仿宋" w:eastAsia="仿宋" w:cs="仿宋"/>
        </w:rPr>
        <w:t>中华人民共和国国家标准 GB/T 1.4《标准编写第四部份：化学分析方法》</w:t>
      </w:r>
    </w:p>
    <w:p>
      <w:pPr>
        <w:rPr>
          <w:rFonts w:hint="eastAsia" w:ascii="仿宋" w:hAnsi="仿宋" w:eastAsia="仿宋" w:cs="仿宋"/>
        </w:rPr>
      </w:pPr>
      <w:r>
        <w:rPr>
          <w:rFonts w:hint="eastAsia" w:ascii="仿宋" w:hAnsi="仿宋" w:eastAsia="仿宋" w:cs="仿宋"/>
          <w:lang w:val="en-US" w:eastAsia="zh-CN"/>
        </w:rPr>
        <w:t>[23]</w:t>
      </w:r>
      <w:r>
        <w:rPr>
          <w:rFonts w:hint="eastAsia" w:ascii="仿宋" w:hAnsi="仿宋" w:eastAsia="仿宋" w:cs="仿宋"/>
        </w:rPr>
        <w:t>《统计学在化学分析测量中的应用》韩永志《全国分析测试体系的建立与完善》项目办公室 2004年10月</w:t>
      </w:r>
    </w:p>
    <w:p>
      <w:pPr>
        <w:rPr>
          <w:rFonts w:hint="eastAsia" w:ascii="仿宋" w:hAnsi="仿宋" w:eastAsia="仿宋" w:cs="仿宋"/>
        </w:rPr>
      </w:pPr>
      <w:r>
        <w:rPr>
          <w:rFonts w:hint="eastAsia" w:ascii="仿宋" w:hAnsi="仿宋" w:eastAsia="仿宋" w:cs="仿宋"/>
        </w:rPr>
        <mc:AlternateContent>
          <mc:Choice Requires="wps">
            <w:drawing>
              <wp:anchor distT="0" distB="0" distL="114300" distR="114300" simplePos="0" relativeHeight="251662336" behindDoc="0" locked="0" layoutInCell="1" allowOverlap="1">
                <wp:simplePos x="0" y="0"/>
                <wp:positionH relativeFrom="column">
                  <wp:posOffset>733425</wp:posOffset>
                </wp:positionH>
                <wp:positionV relativeFrom="paragraph">
                  <wp:posOffset>824230</wp:posOffset>
                </wp:positionV>
                <wp:extent cx="3799840" cy="635"/>
                <wp:effectExtent l="0" t="0" r="0" b="0"/>
                <wp:wrapNone/>
                <wp:docPr id="1" name="直接连接符 1"/>
                <wp:cNvGraphicFramePr/>
                <a:graphic xmlns:a="http://schemas.openxmlformats.org/drawingml/2006/main">
                  <a:graphicData uri="http://schemas.microsoft.com/office/word/2010/wordprocessingShape">
                    <wps:wsp>
                      <wps:cNvSpPr/>
                      <wps:spPr>
                        <a:xfrm>
                          <a:off x="0" y="0"/>
                          <a:ext cx="379984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57.75pt;margin-top:64.9pt;height:0.05pt;width:299.2pt;z-index:251662336;mso-width-relative:page;mso-height-relative:page;" filled="f" stroked="t" coordsize="21600,21600" o:gfxdata="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yRvVAdcAAAALAQAADwAAAAAA&#10;AAABACAAAAAiAAAAZHJzL2Rvd25yZXYueG1sUEsBAhQAFAAAAAgAh07iQKZ8bNfbAQAAmAMAAA4A&#10;AAAAAAAAAQAgAAAAJgEAAGRycy9lMm9Eb2MueG1sUEsFBgAAAAAGAAYAWQEAAHMFAAAAAA==&#10;">
                <v:fill on="f" focussize="0,0"/>
                <v:stroke color="#000000" joinstyle="round"/>
                <v:imagedata o:title=""/>
                <o:lock v:ext="edit" aspectratio="f"/>
              </v:line>
            </w:pict>
          </mc:Fallback>
        </mc:AlternateContent>
      </w:r>
      <w:r>
        <w:rPr>
          <w:rFonts w:hint="eastAsia" w:ascii="仿宋" w:hAnsi="仿宋" w:eastAsia="仿宋" w:cs="仿宋"/>
          <w:lang w:val="en-US" w:eastAsia="zh-CN"/>
        </w:rPr>
        <w:t>[24]</w:t>
      </w:r>
      <w:r>
        <w:rPr>
          <w:rFonts w:hint="eastAsia" w:ascii="仿宋" w:hAnsi="仿宋" w:eastAsia="仿宋" w:cs="仿宋"/>
        </w:rPr>
        <w:t>中华人民共和国国家标准 测试方法的精密度 通过实验室间试验确定标准测试方法的重复性和再现性[S] GB/T6379-2004，北京：中国标准出版社 1986.</w:t>
      </w:r>
    </w:p>
    <w:p>
      <w:pPr>
        <w:rPr>
          <w:sz w:val="18"/>
          <w:szCs w:val="18"/>
        </w:rPr>
      </w:pPr>
      <w:bookmarkStart w:id="131" w:name="_Toc11024_WPSOffice_Level1"/>
      <w:bookmarkStart w:id="132" w:name="_Toc21980_WPSOffice_Level1"/>
      <w:r>
        <w:rPr>
          <w:rFonts w:hint="eastAsia" w:ascii="仿宋" w:hAnsi="仿宋" w:eastAsia="仿宋" w:cs="仿宋"/>
          <w:lang w:val="en-US" w:eastAsia="zh-CN"/>
        </w:rPr>
        <w:t>[25]</w:t>
      </w:r>
      <w:r>
        <w:rPr>
          <w:rFonts w:hint="eastAsia" w:ascii="仿宋" w:hAnsi="仿宋" w:eastAsia="仿宋" w:cs="仿宋"/>
        </w:rPr>
        <w:t>《化学分析中不确定度的评估指南》北京：中国计量出版社 2002.</w:t>
      </w:r>
      <w:bookmarkEnd w:id="131"/>
      <w:bookmarkEnd w:id="132"/>
    </w:p>
    <w:p>
      <w:pPr>
        <w:spacing w:line="520" w:lineRule="exact"/>
        <w:ind w:firstLine="470" w:firstLineChars="196"/>
        <w:rPr>
          <w:rFonts w:hint="eastAsia"/>
          <w:sz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Tahoma">
    <w:panose1 w:val="020B0604030504040204"/>
    <w:charset w:val="00"/>
    <w:family w:val="auto"/>
    <w:pitch w:val="default"/>
    <w:sig w:usb0="E1002EFF" w:usb1="C000605B" w:usb2="00000029" w:usb3="00000000" w:csb0="200101FF" w:csb1="2028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EA2025"/>
    <w:multiLevelType w:val="multilevel"/>
    <w:tmpl w:val="6CEA2025"/>
    <w:lvl w:ilvl="0" w:tentative="0">
      <w:start w:val="1"/>
      <w:numFmt w:val="none"/>
      <w:suff w:val="nothing"/>
      <w:lvlText w:val="%1"/>
      <w:lvlJc w:val="left"/>
      <w:rPr>
        <w:rFonts w:hint="default" w:ascii="Times New Roman" w:hAnsi="Times New Roman" w:cs="Times New Roman"/>
        <w:b/>
        <w:bCs/>
        <w:i w:val="0"/>
        <w:iCs w:val="0"/>
        <w:sz w:val="21"/>
        <w:szCs w:val="21"/>
      </w:rPr>
    </w:lvl>
    <w:lvl w:ilvl="1" w:tentative="0">
      <w:start w:val="1"/>
      <w:numFmt w:val="decimal"/>
      <w:pStyle w:val="18"/>
      <w:suff w:val="nothing"/>
      <w:lvlText w:val="%1%2　"/>
      <w:lvlJc w:val="left"/>
      <w:rPr>
        <w:rFonts w:hint="eastAsia" w:ascii="黑体" w:hAnsi="Times New Roman" w:eastAsia="黑体"/>
        <w:b w:val="0"/>
        <w:bCs w:val="0"/>
        <w:i w:val="0"/>
        <w:iCs w:val="0"/>
        <w:sz w:val="21"/>
        <w:szCs w:val="21"/>
      </w:rPr>
    </w:lvl>
    <w:lvl w:ilvl="2" w:tentative="0">
      <w:start w:val="1"/>
      <w:numFmt w:val="decimal"/>
      <w:pStyle w:val="17"/>
      <w:suff w:val="nothing"/>
      <w:lvlText w:val="%1%2.%3　"/>
      <w:lvlJc w:val="left"/>
      <w:pPr>
        <w:ind w:left="426"/>
      </w:pPr>
      <w:rPr>
        <w:rFonts w:ascii="Times New Roman" w:hAnsi="Times New Roman" w:cs="Times New Roman"/>
        <w:b w:val="0"/>
        <w:bCs w:val="0"/>
        <w:i w:val="0"/>
        <w:iCs w:val="0"/>
        <w:caps w:val="0"/>
        <w:smallCaps w:val="0"/>
        <w:strike w:val="0"/>
        <w:dstrike w:val="0"/>
        <w:vanish w:val="0"/>
        <w:spacing w:val="0"/>
        <w:position w:val="0"/>
        <w:u w:val="none"/>
        <w:vertAlign w:val="baseline"/>
      </w:rPr>
    </w:lvl>
    <w:lvl w:ilvl="3" w:tentative="0">
      <w:start w:val="1"/>
      <w:numFmt w:val="decimal"/>
      <w:pStyle w:val="16"/>
      <w:suff w:val="nothing"/>
      <w:lvlText w:val="%1%2.%3.%4　"/>
      <w:lvlJc w:val="left"/>
      <w:rPr>
        <w:rFonts w:hint="eastAsia" w:ascii="黑体" w:hAnsi="Times New Roman" w:eastAsia="黑体"/>
        <w:b w:val="0"/>
        <w:bCs w:val="0"/>
        <w:i w:val="0"/>
        <w:iCs w:val="0"/>
        <w:sz w:val="21"/>
        <w:szCs w:val="21"/>
      </w:rPr>
    </w:lvl>
    <w:lvl w:ilvl="4" w:tentative="0">
      <w:start w:val="1"/>
      <w:numFmt w:val="decimal"/>
      <w:pStyle w:val="15"/>
      <w:suff w:val="nothing"/>
      <w:lvlText w:val="%1%2.%3.%4.%5　"/>
      <w:lvlJc w:val="left"/>
      <w:pPr>
        <w:ind w:left="735"/>
      </w:pPr>
      <w:rPr>
        <w:rFonts w:hint="eastAsia" w:ascii="黑体" w:hAnsi="Times New Roman" w:eastAsia="黑体"/>
        <w:b w:val="0"/>
        <w:bCs w:val="0"/>
        <w:i w:val="0"/>
        <w:iCs w:val="0"/>
        <w:sz w:val="21"/>
        <w:szCs w:val="21"/>
      </w:rPr>
    </w:lvl>
    <w:lvl w:ilvl="5" w:tentative="0">
      <w:start w:val="1"/>
      <w:numFmt w:val="decimal"/>
      <w:suff w:val="nothing"/>
      <w:lvlText w:val="%1%2.%3.%4.%5.%6　"/>
      <w:lvlJc w:val="left"/>
      <w:rPr>
        <w:rFonts w:hint="eastAsia" w:ascii="黑体" w:hAnsi="Times New Roman" w:eastAsia="黑体"/>
        <w:b w:val="0"/>
        <w:bCs w:val="0"/>
        <w:i w:val="0"/>
        <w:iCs w:val="0"/>
        <w:sz w:val="21"/>
        <w:szCs w:val="21"/>
      </w:rPr>
    </w:lvl>
    <w:lvl w:ilvl="6" w:tentative="0">
      <w:start w:val="1"/>
      <w:numFmt w:val="decimal"/>
      <w:suff w:val="nothing"/>
      <w:lvlText w:val="%1%2.%3.%4.%5.%6.%7　"/>
      <w:lvlJc w:val="left"/>
      <w:rPr>
        <w:rFonts w:hint="eastAsia" w:ascii="黑体" w:hAnsi="Times New Roman" w:eastAsia="黑体"/>
        <w:b w:val="0"/>
        <w:bCs w:val="0"/>
        <w:i w:val="0"/>
        <w:iCs w:val="0"/>
        <w:sz w:val="21"/>
        <w:szCs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AC001C"/>
    <w:rsid w:val="01AC001C"/>
    <w:rsid w:val="1D126B44"/>
    <w:rsid w:val="2AD53BB2"/>
    <w:rsid w:val="51D9514F"/>
    <w:rsid w:val="686F7283"/>
    <w:rsid w:val="762B09C4"/>
    <w:rsid w:val="79F66EE0"/>
    <w:rsid w:val="7CE263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99"/>
    <w:pPr>
      <w:keepNext/>
      <w:keepLines/>
      <w:spacing w:before="260" w:after="260" w:line="416" w:lineRule="auto"/>
      <w:outlineLvl w:val="2"/>
    </w:pPr>
    <w:rPr>
      <w:b/>
      <w:bCs/>
      <w:kern w:val="0"/>
      <w:sz w:val="32"/>
      <w:szCs w:val="32"/>
    </w:rPr>
  </w:style>
  <w:style w:type="character" w:default="1" w:styleId="7">
    <w:name w:val="Default Paragraph Font"/>
    <w:semiHidden/>
    <w:uiPriority w:val="0"/>
  </w:style>
  <w:style w:type="table" w:default="1" w:styleId="10">
    <w:name w:val="Normal Table"/>
    <w:semiHidden/>
    <w:uiPriority w:val="0"/>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page number"/>
    <w:basedOn w:val="7"/>
    <w:uiPriority w:val="0"/>
  </w:style>
  <w:style w:type="character" w:styleId="9">
    <w:name w:val="annotation reference"/>
    <w:basedOn w:val="7"/>
    <w:semiHidden/>
    <w:qFormat/>
    <w:uiPriority w:val="0"/>
    <w:rPr>
      <w:sz w:val="21"/>
      <w:szCs w:val="21"/>
    </w:rPr>
  </w:style>
  <w:style w:type="table" w:styleId="11">
    <w:name w:val="Table Grid"/>
    <w:basedOn w:val="10"/>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2">
    <w:name w:val="WPSOffice手动目录 1"/>
    <w:qFormat/>
    <w:uiPriority w:val="0"/>
    <w:pPr>
      <w:ind w:leftChars="0"/>
    </w:pPr>
    <w:rPr>
      <w:rFonts w:ascii="Times New Roman" w:hAnsi="Times New Roman" w:eastAsia="宋体" w:cs="Times New Roman"/>
      <w:sz w:val="20"/>
      <w:szCs w:val="20"/>
    </w:rPr>
  </w:style>
  <w:style w:type="paragraph" w:customStyle="1" w:styleId="13">
    <w:name w:val="WPSOffice手动目录 2"/>
    <w:uiPriority w:val="0"/>
    <w:pPr>
      <w:ind w:leftChars="200"/>
    </w:pPr>
    <w:rPr>
      <w:rFonts w:ascii="Times New Roman" w:hAnsi="Times New Roman" w:eastAsia="宋体" w:cs="Times New Roman"/>
      <w:sz w:val="20"/>
      <w:szCs w:val="20"/>
    </w:rPr>
  </w:style>
  <w:style w:type="paragraph" w:customStyle="1" w:styleId="14">
    <w:name w:val="段"/>
    <w:qFormat/>
    <w:uiPriority w:val="99"/>
    <w:pPr>
      <w:autoSpaceDE w:val="0"/>
      <w:autoSpaceDN w:val="0"/>
      <w:ind w:firstLine="200" w:firstLineChars="200"/>
      <w:jc w:val="both"/>
    </w:pPr>
    <w:rPr>
      <w:rFonts w:ascii="宋体" w:hAnsi="Times New Roman" w:eastAsia="宋体" w:cs="宋体"/>
      <w:sz w:val="21"/>
      <w:szCs w:val="21"/>
      <w:lang w:val="en-US" w:eastAsia="zh-CN" w:bidi="ar-SA"/>
    </w:rPr>
  </w:style>
  <w:style w:type="paragraph" w:customStyle="1" w:styleId="15">
    <w:name w:val="三级条标题"/>
    <w:basedOn w:val="16"/>
    <w:next w:val="14"/>
    <w:qFormat/>
    <w:uiPriority w:val="99"/>
    <w:pPr>
      <w:numPr>
        <w:ilvl w:val="4"/>
        <w:numId w:val="1"/>
      </w:numPr>
      <w:ind w:left="735"/>
      <w:outlineLvl w:val="4"/>
    </w:pPr>
  </w:style>
  <w:style w:type="paragraph" w:customStyle="1" w:styleId="16">
    <w:name w:val="二级条标题"/>
    <w:basedOn w:val="17"/>
    <w:next w:val="14"/>
    <w:qFormat/>
    <w:uiPriority w:val="99"/>
    <w:pPr>
      <w:numPr>
        <w:ilvl w:val="3"/>
        <w:numId w:val="1"/>
      </w:numPr>
      <w:ind w:left="0"/>
      <w:outlineLvl w:val="3"/>
    </w:pPr>
  </w:style>
  <w:style w:type="paragraph" w:customStyle="1" w:styleId="17">
    <w:name w:val="一级条标题"/>
    <w:basedOn w:val="18"/>
    <w:next w:val="14"/>
    <w:qFormat/>
    <w:uiPriority w:val="99"/>
    <w:pPr>
      <w:numPr>
        <w:ilvl w:val="2"/>
        <w:numId w:val="1"/>
      </w:numPr>
      <w:spacing w:beforeLines="0" w:afterLines="0"/>
      <w:ind w:left="426"/>
      <w:outlineLvl w:val="2"/>
    </w:pPr>
  </w:style>
  <w:style w:type="paragraph" w:customStyle="1" w:styleId="18">
    <w:name w:val="章标题"/>
    <w:next w:val="14"/>
    <w:qFormat/>
    <w:uiPriority w:val="99"/>
    <w:pPr>
      <w:numPr>
        <w:ilvl w:val="1"/>
        <w:numId w:val="1"/>
      </w:numPr>
      <w:spacing w:beforeLines="50" w:afterLines="50"/>
      <w:jc w:val="both"/>
      <w:outlineLvl w:val="1"/>
    </w:pPr>
    <w:rPr>
      <w:rFonts w:ascii="黑体" w:hAnsi="Times New Roman" w:eastAsia="黑体" w:cs="黑体"/>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file:///C:\Documents%252520and%252520Settings\guo\Local%252520Settings\Temporary%252520Internet%252520Files\Content.IE5\I06I3CVL\298-00-0%25255B1%25255D.gif" TargetMode="External"/><Relationship Id="rId8" Type="http://schemas.openxmlformats.org/officeDocument/2006/relationships/image" Target="media/image3.png"/><Relationship Id="rId7" Type="http://schemas.openxmlformats.org/officeDocument/2006/relationships/image" Target="file:///C:\Documents%252520and%252520Settings\guo\Local%252520Settings\Temporary%252520Internet%252520Files\Content.IE5\JXG4LP7L\56-38-2%25255B1%25255D.gif" TargetMode="External"/><Relationship Id="rId6" Type="http://schemas.openxmlformats.org/officeDocument/2006/relationships/image" Target="media/image2.png"/><Relationship Id="rId5" Type="http://schemas.openxmlformats.org/officeDocument/2006/relationships/image" Target="http://www.chemicalbook.com/../CAS/GIF/10265-92-6.gif" TargetMode="External"/><Relationship Id="rId4" Type="http://schemas.openxmlformats.org/officeDocument/2006/relationships/image" Target="media/image1.png"/><Relationship Id="rId31" Type="http://schemas.openxmlformats.org/officeDocument/2006/relationships/glossaryDocument" Target="glossary/document.xml"/><Relationship Id="rId30" Type="http://schemas.openxmlformats.org/officeDocument/2006/relationships/fontTable" Target="fontTable.xml"/><Relationship Id="rId3" Type="http://schemas.openxmlformats.org/officeDocument/2006/relationships/theme" Target="theme/theme1.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13.emf"/><Relationship Id="rId26" Type="http://schemas.openxmlformats.org/officeDocument/2006/relationships/image" Target="media/image12.emf"/><Relationship Id="rId25" Type="http://schemas.openxmlformats.org/officeDocument/2006/relationships/image" Target="http://www.chemicalbook.com/../CAS/GIF/99675-03-3.gif" TargetMode="External"/><Relationship Id="rId24" Type="http://schemas.openxmlformats.org/officeDocument/2006/relationships/image" Target="media/image11.png"/><Relationship Id="rId23" Type="http://schemas.openxmlformats.org/officeDocument/2006/relationships/image" Target="http://www.chemicalbook.com/../CAS/GIF/3689-24-5.gif" TargetMode="External"/><Relationship Id="rId22" Type="http://schemas.openxmlformats.org/officeDocument/2006/relationships/image" Target="media/image10.png"/><Relationship Id="rId21" Type="http://schemas.openxmlformats.org/officeDocument/2006/relationships/image" Target="http://www.chemicalbook.com/../CAS/GIF/13071-79-9.gif" TargetMode="External"/><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http://www.chemicalbook.com/../CAS/GIF/24353-61-5.gif" TargetMode="External"/><Relationship Id="rId18" Type="http://schemas.openxmlformats.org/officeDocument/2006/relationships/image" Target="media/image8.png"/><Relationship Id="rId17" Type="http://schemas.openxmlformats.org/officeDocument/2006/relationships/image" Target="http://www.chemicalbook.com/../CAS/GIF/1113-02-6.gif" TargetMode="External"/><Relationship Id="rId16" Type="http://schemas.openxmlformats.org/officeDocument/2006/relationships/image" Target="media/image7.png"/><Relationship Id="rId15" Type="http://schemas.openxmlformats.org/officeDocument/2006/relationships/image" Target="http://www.chemicalbook.com/../CAS/GIF/298-02-2.gif" TargetMode="External"/><Relationship Id="rId14" Type="http://schemas.openxmlformats.org/officeDocument/2006/relationships/image" Target="media/image6.png"/><Relationship Id="rId13" Type="http://schemas.openxmlformats.org/officeDocument/2006/relationships/image" Target="http://www.chemicalbook.com/../CAS/GIF/13171-21-6.gif" TargetMode="External"/><Relationship Id="rId12" Type="http://schemas.openxmlformats.org/officeDocument/2006/relationships/image" Target="media/image5.png"/><Relationship Id="rId11" Type="http://schemas.openxmlformats.org/officeDocument/2006/relationships/image" Target="file:///C:\Documents%252520and%252520Settings\guo\Local%252520Settings\Temporary%252520Internet%252520Files\Content.IE5\1L6MH0OD\2157-98-4%25255B1%25255D.gif" TargetMode="External"/><Relationship Id="rId10" Type="http://schemas.openxmlformats.org/officeDocument/2006/relationships/image" Target="media/image4.png"/><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3224682-9135-4241-ba0c-985efe8b0c3a}"/>
        <w:style w:val=""/>
        <w:category>
          <w:name w:val="常规"/>
          <w:gallery w:val="placeholder"/>
        </w:category>
        <w:types>
          <w:type w:val="bbPlcHdr"/>
        </w:types>
        <w:behaviors>
          <w:behavior w:val="content"/>
        </w:behaviors>
        <w:description w:val=""/>
        <w:guid w:val="{b3224682-9135-4241-ba0c-985efe8b0c3a}"/>
      </w:docPartPr>
      <w:docPartBody>
        <w:p>
          <w:r>
            <w:rPr>
              <w:color w:val="808080"/>
            </w:rPr>
            <w:t>单击此处输入文字。</w:t>
          </w:r>
        </w:p>
      </w:docPartBody>
    </w:docPart>
    <w:docPart>
      <w:docPartPr>
        <w:name w:val="{3833c1f3-8635-4bb5-83e9-ffc322bec288}"/>
        <w:style w:val=""/>
        <w:category>
          <w:name w:val="常规"/>
          <w:gallery w:val="placeholder"/>
        </w:category>
        <w:types>
          <w:type w:val="bbPlcHdr"/>
        </w:types>
        <w:behaviors>
          <w:behavior w:val="content"/>
        </w:behaviors>
        <w:description w:val=""/>
        <w:guid w:val="{3833c1f3-8635-4bb5-83e9-ffc322bec288}"/>
      </w:docPartPr>
      <w:docPartBody>
        <w:p>
          <w:r>
            <w:rPr>
              <w:color w:val="808080"/>
            </w:rPr>
            <w:t>单击此处输入文字。</w:t>
          </w:r>
        </w:p>
      </w:docPartBody>
    </w:docPart>
    <w:docPart>
      <w:docPartPr>
        <w:name w:val="{53ee40c7-78b8-4274-bc4d-4579d8861bcb}"/>
        <w:style w:val=""/>
        <w:category>
          <w:name w:val="常规"/>
          <w:gallery w:val="placeholder"/>
        </w:category>
        <w:types>
          <w:type w:val="bbPlcHdr"/>
        </w:types>
        <w:behaviors>
          <w:behavior w:val="content"/>
        </w:behaviors>
        <w:description w:val=""/>
        <w:guid w:val="{53ee40c7-78b8-4274-bc4d-4579d8861bcb}"/>
      </w:docPartPr>
      <w:docPartBody>
        <w:p>
          <w:r>
            <w:rPr>
              <w:color w:val="808080"/>
            </w:rPr>
            <w:t>单击此处输入文字。</w:t>
          </w:r>
        </w:p>
      </w:docPartBody>
    </w:docPart>
    <w:docPart>
      <w:docPartPr>
        <w:name w:val="{f634fb59-1006-496c-a32d-46a775e9db8c}"/>
        <w:style w:val=""/>
        <w:category>
          <w:name w:val="常规"/>
          <w:gallery w:val="placeholder"/>
        </w:category>
        <w:types>
          <w:type w:val="bbPlcHdr"/>
        </w:types>
        <w:behaviors>
          <w:behavior w:val="content"/>
        </w:behaviors>
        <w:description w:val=""/>
        <w:guid w:val="{f634fb59-1006-496c-a32d-46a775e9db8c}"/>
      </w:docPartPr>
      <w:docPartBody>
        <w:p>
          <w:r>
            <w:rPr>
              <w:color w:val="808080"/>
            </w:rPr>
            <w:t>单击此处输入文字。</w:t>
          </w:r>
        </w:p>
      </w:docPartBody>
    </w:docPart>
    <w:docPart>
      <w:docPartPr>
        <w:name w:val="{3fa73359-a33b-49a5-bdaf-545093e1b0cc}"/>
        <w:style w:val=""/>
        <w:category>
          <w:name w:val="常规"/>
          <w:gallery w:val="placeholder"/>
        </w:category>
        <w:types>
          <w:type w:val="bbPlcHdr"/>
        </w:types>
        <w:behaviors>
          <w:behavior w:val="content"/>
        </w:behaviors>
        <w:description w:val=""/>
        <w:guid w:val="{3fa73359-a33b-49a5-bdaf-545093e1b0cc}"/>
      </w:docPartPr>
      <w:docPartBody>
        <w:p>
          <w:r>
            <w:rPr>
              <w:color w:val="808080"/>
            </w:rPr>
            <w:t>单击此处输入文字。</w:t>
          </w:r>
        </w:p>
      </w:docPartBody>
    </w:docPart>
    <w:docPart>
      <w:docPartPr>
        <w:name w:val="{b31b76c7-dccf-4f30-a41e-6d99b67ab9f5}"/>
        <w:style w:val=""/>
        <w:category>
          <w:name w:val="常规"/>
          <w:gallery w:val="placeholder"/>
        </w:category>
        <w:types>
          <w:type w:val="bbPlcHdr"/>
        </w:types>
        <w:behaviors>
          <w:behavior w:val="content"/>
        </w:behaviors>
        <w:description w:val=""/>
        <w:guid w:val="{b31b76c7-dccf-4f30-a41e-6d99b67ab9f5}"/>
      </w:docPartPr>
      <w:docPartBody>
        <w:p>
          <w:r>
            <w:rPr>
              <w:color w:val="808080"/>
            </w:rPr>
            <w:t>单击此处输入文字。</w:t>
          </w:r>
        </w:p>
      </w:docPartBody>
    </w:docPart>
    <w:docPart>
      <w:docPartPr>
        <w:name w:val="{2b724d2c-1f80-4924-ada7-33f8a9f4c697}"/>
        <w:style w:val=""/>
        <w:category>
          <w:name w:val="常规"/>
          <w:gallery w:val="placeholder"/>
        </w:category>
        <w:types>
          <w:type w:val="bbPlcHdr"/>
        </w:types>
        <w:behaviors>
          <w:behavior w:val="content"/>
        </w:behaviors>
        <w:description w:val=""/>
        <w:guid w:val="{2b724d2c-1f80-4924-ada7-33f8a9f4c697}"/>
      </w:docPartPr>
      <w:docPartBody>
        <w:p>
          <w:r>
            <w:rPr>
              <w:color w:val="808080"/>
            </w:rPr>
            <w:t>单击此处输入文字。</w:t>
          </w:r>
        </w:p>
      </w:docPartBody>
    </w:docPart>
    <w:docPart>
      <w:docPartPr>
        <w:name w:val="{3b7a0966-fc14-4a44-936f-ff26fb9cd251}"/>
        <w:style w:val=""/>
        <w:category>
          <w:name w:val="常规"/>
          <w:gallery w:val="placeholder"/>
        </w:category>
        <w:types>
          <w:type w:val="bbPlcHdr"/>
        </w:types>
        <w:behaviors>
          <w:behavior w:val="content"/>
        </w:behaviors>
        <w:description w:val=""/>
        <w:guid w:val="{3b7a0966-fc14-4a44-936f-ff26fb9cd251}"/>
      </w:docPartPr>
      <w:docPartBody>
        <w:p>
          <w:r>
            <w:rPr>
              <w:color w:val="808080"/>
            </w:rPr>
            <w:t>单击此处输入文字。</w:t>
          </w:r>
        </w:p>
      </w:docPartBody>
    </w:docPart>
    <w:docPart>
      <w:docPartPr>
        <w:name w:val="{3efeb416-a4e1-4bde-a36e-06f85974aaa6}"/>
        <w:style w:val=""/>
        <w:category>
          <w:name w:val="常规"/>
          <w:gallery w:val="placeholder"/>
        </w:category>
        <w:types>
          <w:type w:val="bbPlcHdr"/>
        </w:types>
        <w:behaviors>
          <w:behavior w:val="content"/>
        </w:behaviors>
        <w:description w:val=""/>
        <w:guid w:val="{3efeb416-a4e1-4bde-a36e-06f85974aaa6}"/>
      </w:docPartPr>
      <w:docPartBody>
        <w:p>
          <w:r>
            <w:rPr>
              <w:color w:val="808080"/>
            </w:rPr>
            <w:t>单击此处输入文字。</w:t>
          </w:r>
        </w:p>
      </w:docPartBody>
    </w:docPart>
    <w:docPart>
      <w:docPartPr>
        <w:name w:val="{3ea4ec2b-642e-429e-a399-069aa4f9b67c}"/>
        <w:style w:val=""/>
        <w:category>
          <w:name w:val="常规"/>
          <w:gallery w:val="placeholder"/>
        </w:category>
        <w:types>
          <w:type w:val="bbPlcHdr"/>
        </w:types>
        <w:behaviors>
          <w:behavior w:val="content"/>
        </w:behaviors>
        <w:description w:val=""/>
        <w:guid w:val="{3ea4ec2b-642e-429e-a399-069aa4f9b67c}"/>
      </w:docPartPr>
      <w:docPartBody>
        <w:p>
          <w:r>
            <w:rPr>
              <w:color w:val="808080"/>
            </w:rPr>
            <w:t>单击此处输入文字。</w:t>
          </w:r>
        </w:p>
      </w:docPartBody>
    </w:docPart>
    <w:docPart>
      <w:docPartPr>
        <w:name w:val="{6f12071e-6448-4ce6-a441-2d689a93d84a}"/>
        <w:style w:val=""/>
        <w:category>
          <w:name w:val="常规"/>
          <w:gallery w:val="placeholder"/>
        </w:category>
        <w:types>
          <w:type w:val="bbPlcHdr"/>
        </w:types>
        <w:behaviors>
          <w:behavior w:val="content"/>
        </w:behaviors>
        <w:description w:val=""/>
        <w:guid w:val="{6f12071e-6448-4ce6-a441-2d689a93d84a}"/>
      </w:docPartPr>
      <w:docPartBody>
        <w:p>
          <w:r>
            <w:rPr>
              <w:color w:val="808080"/>
            </w:rPr>
            <w:t>单击此处输入文字。</w:t>
          </w:r>
        </w:p>
      </w:docPartBody>
    </w:docPart>
    <w:docPart>
      <w:docPartPr>
        <w:name w:val="{0dda8b75-7e32-4820-8f0d-8f09fd9e91c4}"/>
        <w:style w:val=""/>
        <w:category>
          <w:name w:val="常规"/>
          <w:gallery w:val="placeholder"/>
        </w:category>
        <w:types>
          <w:type w:val="bbPlcHdr"/>
        </w:types>
        <w:behaviors>
          <w:behavior w:val="content"/>
        </w:behaviors>
        <w:description w:val=""/>
        <w:guid w:val="{0dda8b75-7e32-4820-8f0d-8f09fd9e91c4}"/>
      </w:docPartPr>
      <w:docPartBody>
        <w:p>
          <w:r>
            <w:rPr>
              <w:color w:val="808080"/>
            </w:rPr>
            <w:t>单击此处输入文字。</w:t>
          </w:r>
        </w:p>
      </w:docPartBody>
    </w:docPart>
    <w:docPart>
      <w:docPartPr>
        <w:name w:val="{74d5d18c-ca9c-49fd-9cdd-1d358b176232}"/>
        <w:style w:val=""/>
        <w:category>
          <w:name w:val="常规"/>
          <w:gallery w:val="placeholder"/>
        </w:category>
        <w:types>
          <w:type w:val="bbPlcHdr"/>
        </w:types>
        <w:behaviors>
          <w:behavior w:val="content"/>
        </w:behaviors>
        <w:description w:val=""/>
        <w:guid w:val="{74d5d18c-ca9c-49fd-9cdd-1d358b176232}"/>
      </w:docPartPr>
      <w:docPartBody>
        <w:p>
          <w:r>
            <w:rPr>
              <w:color w:val="808080"/>
            </w:rPr>
            <w:t>单击此处输入文字。</w:t>
          </w:r>
        </w:p>
      </w:docPartBody>
    </w:docPart>
    <w:docPart>
      <w:docPartPr>
        <w:name w:val="{85e6633d-b4be-430f-a82f-b06f2831cea8}"/>
        <w:style w:val=""/>
        <w:category>
          <w:name w:val="常规"/>
          <w:gallery w:val="placeholder"/>
        </w:category>
        <w:types>
          <w:type w:val="bbPlcHdr"/>
        </w:types>
        <w:behaviors>
          <w:behavior w:val="content"/>
        </w:behaviors>
        <w:description w:val=""/>
        <w:guid w:val="{85e6633d-b4be-430f-a82f-b06f2831cea8}"/>
      </w:docPartPr>
      <w:docPartBody>
        <w:p>
          <w:r>
            <w:rPr>
              <w:color w:val="808080"/>
            </w:rPr>
            <w:t>单击此处输入文字。</w:t>
          </w:r>
        </w:p>
      </w:docPartBody>
    </w:docPart>
    <w:docPart>
      <w:docPartPr>
        <w:name w:val="{8e07be01-8716-4ded-84f8-c9fcd80ec1e0}"/>
        <w:style w:val=""/>
        <w:category>
          <w:name w:val="常规"/>
          <w:gallery w:val="placeholder"/>
        </w:category>
        <w:types>
          <w:type w:val="bbPlcHdr"/>
        </w:types>
        <w:behaviors>
          <w:behavior w:val="content"/>
        </w:behaviors>
        <w:description w:val=""/>
        <w:guid w:val="{8e07be01-8716-4ded-84f8-c9fcd80ec1e0}"/>
      </w:docPartPr>
      <w:docPartBody>
        <w:p>
          <w:r>
            <w:rPr>
              <w:color w:val="808080"/>
            </w:rPr>
            <w:t>单击此处输入文字。</w:t>
          </w:r>
        </w:p>
      </w:docPartBody>
    </w:docPart>
    <w:docPart>
      <w:docPartPr>
        <w:name w:val="{5eab7d69-b6b2-43b3-afd8-5ba66a29d37d}"/>
        <w:style w:val=""/>
        <w:category>
          <w:name w:val="常规"/>
          <w:gallery w:val="placeholder"/>
        </w:category>
        <w:types>
          <w:type w:val="bbPlcHdr"/>
        </w:types>
        <w:behaviors>
          <w:behavior w:val="content"/>
        </w:behaviors>
        <w:description w:val=""/>
        <w:guid w:val="{5eab7d69-b6b2-43b3-afd8-5ba66a29d37d}"/>
      </w:docPartPr>
      <w:docPartBody>
        <w:p>
          <w:r>
            <w:rPr>
              <w:color w:val="808080"/>
            </w:rPr>
            <w:t>单击此处输入文字。</w:t>
          </w:r>
        </w:p>
      </w:docPartBody>
    </w:docPart>
    <w:docPart>
      <w:docPartPr>
        <w:name w:val="{f034274f-61e5-437c-8bca-01f317c8530f}"/>
        <w:style w:val=""/>
        <w:category>
          <w:name w:val="常规"/>
          <w:gallery w:val="placeholder"/>
        </w:category>
        <w:types>
          <w:type w:val="bbPlcHdr"/>
        </w:types>
        <w:behaviors>
          <w:behavior w:val="content"/>
        </w:behaviors>
        <w:description w:val=""/>
        <w:guid w:val="{f034274f-61e5-437c-8bca-01f317c8530f}"/>
      </w:docPartPr>
      <w:docPartBody>
        <w:p>
          <w:r>
            <w:rPr>
              <w:color w:val="808080"/>
            </w:rPr>
            <w:t>单击此处输入文字。</w:t>
          </w:r>
        </w:p>
      </w:docPartBody>
    </w:docPart>
    <w:docPart>
      <w:docPartPr>
        <w:name w:val="{27ccc1b1-7028-4c2a-8015-d3e4f7f9558c}"/>
        <w:style w:val=""/>
        <w:category>
          <w:name w:val="常规"/>
          <w:gallery w:val="placeholder"/>
        </w:category>
        <w:types>
          <w:type w:val="bbPlcHdr"/>
        </w:types>
        <w:behaviors>
          <w:behavior w:val="content"/>
        </w:behaviors>
        <w:description w:val=""/>
        <w:guid w:val="{27ccc1b1-7028-4c2a-8015-d3e4f7f9558c}"/>
      </w:docPartPr>
      <w:docPartBody>
        <w:p>
          <w:r>
            <w:rPr>
              <w:color w:val="808080"/>
            </w:rPr>
            <w:t>单击此处输入文字。</w:t>
          </w:r>
        </w:p>
      </w:docPartBody>
    </w:docPart>
    <w:docPart>
      <w:docPartPr>
        <w:name w:val="{22dd1170-9361-4ec6-9f6c-915641498a6e}"/>
        <w:style w:val=""/>
        <w:category>
          <w:name w:val="常规"/>
          <w:gallery w:val="placeholder"/>
        </w:category>
        <w:types>
          <w:type w:val="bbPlcHdr"/>
        </w:types>
        <w:behaviors>
          <w:behavior w:val="content"/>
        </w:behaviors>
        <w:description w:val=""/>
        <w:guid w:val="{22dd1170-9361-4ec6-9f6c-915641498a6e}"/>
      </w:docPartPr>
      <w:docPartBody>
        <w:p>
          <w:r>
            <w:rPr>
              <w:color w:val="808080"/>
            </w:rPr>
            <w:t>单击此处输入文字。</w:t>
          </w:r>
        </w:p>
      </w:docPartBody>
    </w:docPart>
    <w:docPart>
      <w:docPartPr>
        <w:name w:val="{87ffcb44-aab7-4a1f-94ed-3000ff3c26df}"/>
        <w:style w:val=""/>
        <w:category>
          <w:name w:val="常规"/>
          <w:gallery w:val="placeholder"/>
        </w:category>
        <w:types>
          <w:type w:val="bbPlcHdr"/>
        </w:types>
        <w:behaviors>
          <w:behavior w:val="content"/>
        </w:behaviors>
        <w:description w:val=""/>
        <w:guid w:val="{87ffcb44-aab7-4a1f-94ed-3000ff3c26df}"/>
      </w:docPartPr>
      <w:docPartBody>
        <w:p>
          <w:r>
            <w:rPr>
              <w:color w:val="808080"/>
            </w:rPr>
            <w:t>单击此处输入文字。</w:t>
          </w:r>
        </w:p>
      </w:docPartBody>
    </w:docPart>
    <w:docPart>
      <w:docPartPr>
        <w:name w:val="{157c9d41-babe-42ed-b37f-b90440baaf9f}"/>
        <w:style w:val=""/>
        <w:category>
          <w:name w:val="常规"/>
          <w:gallery w:val="placeholder"/>
        </w:category>
        <w:types>
          <w:type w:val="bbPlcHdr"/>
        </w:types>
        <w:behaviors>
          <w:behavior w:val="content"/>
        </w:behaviors>
        <w:description w:val=""/>
        <w:guid w:val="{157c9d41-babe-42ed-b37f-b90440baaf9f}"/>
      </w:docPartPr>
      <w:docPartBody>
        <w:p>
          <w:r>
            <w:rPr>
              <w:color w:val="808080"/>
            </w:rPr>
            <w:t>单击此处输入文字。</w:t>
          </w:r>
        </w:p>
      </w:docPartBody>
    </w:docPart>
    <w:docPart>
      <w:docPartPr>
        <w:name w:val="{0f33f79a-3969-45f4-96d8-614c5d32d8e6}"/>
        <w:style w:val=""/>
        <w:category>
          <w:name w:val="常规"/>
          <w:gallery w:val="placeholder"/>
        </w:category>
        <w:types>
          <w:type w:val="bbPlcHdr"/>
        </w:types>
        <w:behaviors>
          <w:behavior w:val="content"/>
        </w:behaviors>
        <w:description w:val=""/>
        <w:guid w:val="{0f33f79a-3969-45f4-96d8-614c5d32d8e6}"/>
      </w:docPartPr>
      <w:docPartBody>
        <w:p>
          <w:r>
            <w:rPr>
              <w:color w:val="808080"/>
            </w:rPr>
            <w:t>单击此处输入文字。</w:t>
          </w:r>
        </w:p>
      </w:docPartBody>
    </w:docPart>
    <w:docPart>
      <w:docPartPr>
        <w:name w:val="{5ae80c4d-549c-43eb-8296-b14faedf5e68}"/>
        <w:style w:val=""/>
        <w:category>
          <w:name w:val="常规"/>
          <w:gallery w:val="placeholder"/>
        </w:category>
        <w:types>
          <w:type w:val="bbPlcHdr"/>
        </w:types>
        <w:behaviors>
          <w:behavior w:val="content"/>
        </w:behaviors>
        <w:description w:val=""/>
        <w:guid w:val="{5ae80c4d-549c-43eb-8296-b14faedf5e68}"/>
      </w:docPartPr>
      <w:docPartBody>
        <w:p>
          <w:r>
            <w:rPr>
              <w:color w:val="808080"/>
            </w:rPr>
            <w:t>单击此处输入文字。</w:t>
          </w:r>
        </w:p>
      </w:docPartBody>
    </w:docPart>
    <w:docPart>
      <w:docPartPr>
        <w:name w:val="{9909946e-5154-452c-84c0-702b48e3fdfc}"/>
        <w:style w:val=""/>
        <w:category>
          <w:name w:val="常规"/>
          <w:gallery w:val="placeholder"/>
        </w:category>
        <w:types>
          <w:type w:val="bbPlcHdr"/>
        </w:types>
        <w:behaviors>
          <w:behavior w:val="content"/>
        </w:behaviors>
        <w:description w:val=""/>
        <w:guid w:val="{9909946e-5154-452c-84c0-702b48e3fdfc}"/>
      </w:docPartPr>
      <w:docPartBody>
        <w:p>
          <w:r>
            <w:rPr>
              <w:color w:val="808080"/>
            </w:rPr>
            <w:t>单击此处输入文字。</w:t>
          </w:r>
        </w:p>
      </w:docPartBody>
    </w:docPart>
    <w:docPart>
      <w:docPartPr>
        <w:name w:val="{408fdd28-75ed-4de7-852a-c4ff8ef75540}"/>
        <w:style w:val=""/>
        <w:category>
          <w:name w:val="常规"/>
          <w:gallery w:val="placeholder"/>
        </w:category>
        <w:types>
          <w:type w:val="bbPlcHdr"/>
        </w:types>
        <w:behaviors>
          <w:behavior w:val="content"/>
        </w:behaviors>
        <w:description w:val=""/>
        <w:guid w:val="{408fdd28-75ed-4de7-852a-c4ff8ef75540}"/>
      </w:docPartPr>
      <w:docPartBody>
        <w:p>
          <w:r>
            <w:rPr>
              <w:color w:val="808080"/>
            </w:rPr>
            <w:t>单击此处输入文字。</w:t>
          </w:r>
        </w:p>
      </w:docPartBody>
    </w:docPart>
    <w:docPart>
      <w:docPartPr>
        <w:name w:val="{a8bbcd41-1627-4fa0-b625-c8c9e439ac8d}"/>
        <w:style w:val=""/>
        <w:category>
          <w:name w:val="常规"/>
          <w:gallery w:val="placeholder"/>
        </w:category>
        <w:types>
          <w:type w:val="bbPlcHdr"/>
        </w:types>
        <w:behaviors>
          <w:behavior w:val="content"/>
        </w:behaviors>
        <w:description w:val=""/>
        <w:guid w:val="{a8bbcd41-1627-4fa0-b625-c8c9e439ac8d}"/>
      </w:docPartPr>
      <w:docPartBody>
        <w:p>
          <w:r>
            <w:rPr>
              <w:color w:val="808080"/>
            </w:rPr>
            <w:t>单击此处输入文字。</w:t>
          </w:r>
        </w:p>
      </w:docPartBody>
    </w:docPart>
    <w:docPart>
      <w:docPartPr>
        <w:name w:val="{123beedf-75c5-453e-98c8-fb29817bf967}"/>
        <w:style w:val=""/>
        <w:category>
          <w:name w:val="常规"/>
          <w:gallery w:val="placeholder"/>
        </w:category>
        <w:types>
          <w:type w:val="bbPlcHdr"/>
        </w:types>
        <w:behaviors>
          <w:behavior w:val="content"/>
        </w:behaviors>
        <w:description w:val=""/>
        <w:guid w:val="{123beedf-75c5-453e-98c8-fb29817bf967}"/>
      </w:docPartPr>
      <w:docPartBody>
        <w:p>
          <w:r>
            <w:rPr>
              <w:color w:val="808080"/>
            </w:rPr>
            <w:t>单击此处输入文字。</w:t>
          </w:r>
        </w:p>
      </w:docPartBody>
    </w:docPart>
    <w:docPart>
      <w:docPartPr>
        <w:name w:val="{61b4734e-00d4-4872-8bfc-9d3f4984f2ed}"/>
        <w:style w:val=""/>
        <w:category>
          <w:name w:val="常规"/>
          <w:gallery w:val="placeholder"/>
        </w:category>
        <w:types>
          <w:type w:val="bbPlcHdr"/>
        </w:types>
        <w:behaviors>
          <w:behavior w:val="content"/>
        </w:behaviors>
        <w:description w:val=""/>
        <w:guid w:val="{61b4734e-00d4-4872-8bfc-9d3f4984f2ed}"/>
      </w:docPartPr>
      <w:docPartBody>
        <w:p>
          <w:r>
            <w:rPr>
              <w:color w:val="808080"/>
            </w:rPr>
            <w:t>单击此处输入文字。</w:t>
          </w:r>
        </w:p>
      </w:docPartBody>
    </w:docPart>
    <w:docPart>
      <w:docPartPr>
        <w:name w:val="{917ca08b-f53e-4193-9a57-9feb6b9c8a6c}"/>
        <w:style w:val=""/>
        <w:category>
          <w:name w:val="常规"/>
          <w:gallery w:val="placeholder"/>
        </w:category>
        <w:types>
          <w:type w:val="bbPlcHdr"/>
        </w:types>
        <w:behaviors>
          <w:behavior w:val="content"/>
        </w:behaviors>
        <w:description w:val=""/>
        <w:guid w:val="{917ca08b-f53e-4193-9a57-9feb6b9c8a6c}"/>
      </w:docPartPr>
      <w:docPartBody>
        <w:p>
          <w:r>
            <w:rPr>
              <w:color w:val="808080"/>
            </w:rPr>
            <w:t>单击此处输入文字。</w:t>
          </w:r>
        </w:p>
      </w:docPartBody>
    </w:docPart>
    <w:docPart>
      <w:docPartPr>
        <w:name w:val="{1ba27a36-d680-426d-9e03-5e76eb51853a}"/>
        <w:style w:val=""/>
        <w:category>
          <w:name w:val="常规"/>
          <w:gallery w:val="placeholder"/>
        </w:category>
        <w:types>
          <w:type w:val="bbPlcHdr"/>
        </w:types>
        <w:behaviors>
          <w:behavior w:val="content"/>
        </w:behaviors>
        <w:description w:val=""/>
        <w:guid w:val="{1ba27a36-d680-426d-9e03-5e76eb51853a}"/>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封面"/>
    </customSectPr>
    <customSectPr>
      <sectNamePr val="目录"/>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2019-03-13T02:04:00Z</dcterms:created>
  <dc:creator>李小俊</dc:creator>
  <cp:lastModifiedBy>李小俊</cp:lastModifiedBy>
  <dcterms:modified xsi:type="dcterms:W3CDTF">2019-03-13T09:06:51Z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