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360" w:lineRule="auto"/>
        <w:ind w:right="0"/>
        <w:jc w:val="left"/>
        <w:textAlignment w:val="auto"/>
        <w:outlineLvl w:val="9"/>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2</w:t>
      </w:r>
    </w:p>
    <w:p>
      <w:pPr>
        <w:spacing w:line="360" w:lineRule="auto"/>
        <w:ind w:firstLine="883" w:firstLineChars="200"/>
        <w:jc w:val="center"/>
        <w:rPr>
          <w:rFonts w:hint="eastAsia" w:ascii="宋体" w:hAnsi="宋体" w:eastAsia="宋体" w:cs="宋体"/>
          <w:b/>
          <w:bCs w:val="0"/>
          <w:color w:val="auto"/>
          <w:kern w:val="2"/>
          <w:sz w:val="44"/>
          <w:szCs w:val="44"/>
          <w:u w:val="none"/>
          <w:lang w:val="en-US" w:eastAsia="zh-CN"/>
        </w:rPr>
      </w:pPr>
      <w:r>
        <w:rPr>
          <w:rFonts w:hint="eastAsia" w:ascii="宋体" w:hAnsi="宋体" w:eastAsia="宋体" w:cs="宋体"/>
          <w:b/>
          <w:bCs w:val="0"/>
          <w:color w:val="auto"/>
          <w:kern w:val="2"/>
          <w:sz w:val="44"/>
          <w:szCs w:val="44"/>
          <w:u w:val="none"/>
          <w:lang w:val="en-US" w:eastAsia="zh-CN"/>
        </w:rPr>
        <w:t>关于部分检验项目的说明</w:t>
      </w:r>
    </w:p>
    <w:p>
      <w:pPr>
        <w:widowControl w:val="0"/>
        <w:numPr>
          <w:ilvl w:val="0"/>
          <w:numId w:val="0"/>
        </w:numPr>
        <w:wordWrap/>
        <w:adjustRightInd/>
        <w:snapToGrid/>
        <w:spacing w:line="360" w:lineRule="auto"/>
        <w:ind w:right="0" w:firstLine="643" w:firstLineChars="200"/>
        <w:jc w:val="both"/>
        <w:textAlignment w:val="auto"/>
        <w:outlineLvl w:val="9"/>
        <w:rPr>
          <w:rFonts w:hint="eastAsia" w:ascii="宋体" w:hAnsi="宋体" w:cs="宋体"/>
          <w:b/>
          <w:bCs/>
          <w:sz w:val="32"/>
          <w:szCs w:val="32"/>
          <w:lang w:val="en-US" w:eastAsia="zh-CN"/>
        </w:rPr>
      </w:pPr>
    </w:p>
    <w:p>
      <w:pPr>
        <w:numPr>
          <w:ilvl w:val="0"/>
          <w:numId w:val="0"/>
        </w:numPr>
        <w:ind w:firstLine="643" w:firstLineChars="200"/>
        <w:rPr>
          <w:rFonts w:hint="eastAsia" w:ascii="宋体" w:hAnsi="宋体" w:cs="宋体"/>
          <w:b/>
          <w:bCs/>
          <w:sz w:val="32"/>
          <w:szCs w:val="32"/>
          <w:lang w:val="en-US" w:eastAsia="zh-CN"/>
        </w:rPr>
      </w:pPr>
      <w:r>
        <w:rPr>
          <w:rFonts w:hint="eastAsia" w:ascii="宋体" w:hAnsi="宋体" w:cs="宋体"/>
          <w:b/>
          <w:bCs/>
          <w:sz w:val="32"/>
          <w:szCs w:val="32"/>
          <w:lang w:val="en-US" w:eastAsia="zh-CN"/>
        </w:rPr>
        <w:t>山梨酸及其钾盐(以山梨酸计)</w:t>
      </w:r>
    </w:p>
    <w:p>
      <w:pPr>
        <w:widowControl/>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rPr>
        <w:t>山梨酸及其钾盐是一种酸性防腐剂，具有较好的抑菌效果和防霉性能，对霉菌、酵母菌和好氧性细菌的生长发育均有抑制作用。该项目不合格原因可能是企业为增加产品保质期或者为弥补产品生产中卫生条件不佳而超限量使用。</w:t>
      </w:r>
      <w:r>
        <w:rPr>
          <w:rFonts w:hint="eastAsia" w:ascii="宋体" w:hAnsi="宋体" w:cs="宋体"/>
          <w:sz w:val="32"/>
          <w:szCs w:val="32"/>
          <w:lang w:eastAsia="zh-CN"/>
        </w:rPr>
        <w:t>短期摄入少量的</w:t>
      </w:r>
      <w:r>
        <w:rPr>
          <w:rFonts w:hint="eastAsia" w:ascii="宋体" w:hAnsi="宋体" w:eastAsia="宋体" w:cs="宋体"/>
          <w:sz w:val="32"/>
          <w:szCs w:val="32"/>
        </w:rPr>
        <w:t>山梨酸及其钾盐</w:t>
      </w:r>
      <w:r>
        <w:rPr>
          <w:rFonts w:hint="eastAsia" w:ascii="宋体" w:hAnsi="宋体" w:cs="宋体"/>
          <w:sz w:val="32"/>
          <w:szCs w:val="32"/>
          <w:lang w:eastAsia="zh-CN"/>
        </w:rPr>
        <w:t>超标食品</w:t>
      </w:r>
      <w:r>
        <w:rPr>
          <w:rFonts w:hint="eastAsia" w:ascii="宋体" w:hAnsi="宋体" w:eastAsia="宋体" w:cs="宋体"/>
          <w:sz w:val="32"/>
          <w:szCs w:val="32"/>
        </w:rPr>
        <w:t>，</w:t>
      </w:r>
      <w:r>
        <w:rPr>
          <w:rFonts w:hint="eastAsia" w:ascii="宋体" w:hAnsi="宋体" w:cs="宋体"/>
          <w:sz w:val="32"/>
          <w:szCs w:val="32"/>
          <w:lang w:eastAsia="zh-CN"/>
        </w:rPr>
        <w:t>会在</w:t>
      </w:r>
      <w:bookmarkStart w:id="0" w:name="_GoBack"/>
      <w:bookmarkEnd w:id="0"/>
      <w:r>
        <w:rPr>
          <w:rFonts w:hint="eastAsia" w:ascii="宋体" w:hAnsi="宋体" w:eastAsia="宋体" w:cs="宋体"/>
          <w:sz w:val="32"/>
          <w:szCs w:val="32"/>
        </w:rPr>
        <w:t>体内被代谢为二氧化碳和水排出体外</w:t>
      </w:r>
      <w:r>
        <w:rPr>
          <w:rFonts w:hint="eastAsia" w:ascii="宋体" w:hAnsi="宋体" w:cs="宋体"/>
          <w:sz w:val="32"/>
          <w:szCs w:val="32"/>
          <w:lang w:eastAsia="zh-CN"/>
        </w:rPr>
        <w:t>，不会对人体健康造成影响，</w:t>
      </w:r>
      <w:r>
        <w:rPr>
          <w:rFonts w:hint="eastAsia" w:ascii="宋体" w:hAnsi="宋体" w:eastAsia="宋体" w:cs="宋体"/>
          <w:sz w:val="32"/>
          <w:szCs w:val="32"/>
        </w:rPr>
        <w:t>但如果长期食用山梨酸及其钾盐超标的食品，可能会对人体的骨骼生长、肾脏、肝脏健康造成一定影响。</w:t>
      </w:r>
    </w:p>
    <w:sectPr>
      <w:footerReference r:id="rId3" w:type="default"/>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A071D46"/>
    <w:rsid w:val="319E1514"/>
    <w:rsid w:val="5E026263"/>
    <w:rsid w:val="78E702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100" w:beforeAutospacing="1" w:after="100" w:afterAutospacing="1"/>
      <w:ind w:left="0" w:right="0"/>
      <w:jc w:val="left"/>
    </w:pPr>
    <w:rPr>
      <w:color w:val="CC0000"/>
      <w:kern w:val="0"/>
      <w:sz w:val="24"/>
      <w:u w:val="single"/>
      <w:lang w:val="en-US" w:eastAsia="zh-CN" w:bidi="ar-SA"/>
    </w:rPr>
  </w:style>
  <w:style w:type="paragraph" w:customStyle="1" w:styleId="9">
    <w:name w:val="List Paragraph"/>
    <w:basedOn w:val="1"/>
    <w:qFormat/>
    <w:uiPriority w:val="34"/>
    <w:pPr>
      <w:ind w:firstLine="420" w:firstLineChars="200"/>
    </w:pPr>
  </w:style>
  <w:style w:type="paragraph" w:customStyle="1" w:styleId="10">
    <w:name w:val="列出段落11"/>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7</Pages>
  <Words>2941</Words>
  <Characters>3435</Characters>
  <Lines>139</Lines>
  <Paragraphs>44</Paragraphs>
  <TotalTime>2</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Administrator</cp:lastModifiedBy>
  <cp:lastPrinted>2019-01-22T01:02:00Z</cp:lastPrinted>
  <dcterms:modified xsi:type="dcterms:W3CDTF">2019-04-02T08:53:27Z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