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4C" w:rsidRDefault="00AD654C" w:rsidP="00AD654C">
      <w:pPr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AD654C" w:rsidRDefault="00AD654C" w:rsidP="00AD654C">
      <w:pPr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 xml:space="preserve">    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一、铝的残留量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2760-2014）中规定，硫酸铝钾、硫酸铝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作为膨松剂、稳定剂可应用于油炸面制品，其添加量“按生产需要适量添加”，而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中的铝残留限量不得超过100mg/kg。铝残留量超标的原因可能是个别企业为改善产品口感，在生产加工过程中超限量使用含铝添加剂。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二、糖精钠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糖精钠是一种常见食品添加剂。《食品安全国家标准 食品添加剂使用标准》（GB 2760-2014）中规定，糖精钠（以糖精计）在餐饮食品中不得使用。食用较多的糖精钠，会影响肠胃消化酶的正常分泌，降低小肠的吸收能力，使食欲减退。糖精钠不合格原因可能是企业为增加产品甜味，超范围使用甜味剂。</w:t>
      </w:r>
    </w:p>
    <w:p w:rsidR="00AD654C" w:rsidRDefault="00AD654C" w:rsidP="00AD654C">
      <w:pPr>
        <w:pStyle w:val="2"/>
        <w:spacing w:after="0" w:line="580" w:lineRule="exact"/>
        <w:ind w:leftChars="0" w:left="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三、总汞</w:t>
      </w:r>
    </w:p>
    <w:p w:rsidR="00AD654C" w:rsidRDefault="00AD654C" w:rsidP="00AD654C">
      <w:pPr>
        <w:pStyle w:val="2"/>
        <w:spacing w:after="0" w:line="58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汞属于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重金属污染物指标，主要通过环境污染带入食品原料。蔬菜制品中汞超标的原因可能是生产企业对原料质量把关不严，或生产加工环境不符合要求，由生产设备迁移入产品等导致。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四、富马酸二甲酯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富马酸二甲酯，别名马来酸二甲酯，是具有抗菌和杀虫作用的防腐剂。《食品中可能违法添加的非食用物质名单（第二批）》的通知（食品整治办[2009]5号）中将富马酸二甲酯列为非食用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物质，不得在糕点中使用。富马酸二甲酯会对人体肠道、内脏产生腐蚀性损害和引起过敏。糕点中检出富马酸二甲酯的原因可能是企业为了使产品不易霉变、延长保质期，降低生产成本而违规添加。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星（以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星与环丙沙星之和计）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恩诺沙星属于氟喹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诺酮类药物，是一类人工合成的广谱抗菌药，用于治疗动物的皮肤感染、呼吸道感染等，是动物专属用药。《食品安全国家标准 食品中兽药最大残留限量》（GB 31650-2019）中规定，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星在鱼（皮+肉）中最高残留限量值为100μg/kg。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星超标的原因，可能是养殖户在养殖过程中违规使用相关兽药。长期摄入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星超标的食品，可能会引起头晕、头痛、睡眠不良、胃肠道刺激或不适等症状。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六、呋喃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酮代谢物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是属于硝基呋喃类广谱抗生素，曾广泛应用于畜禽及水产养殖业。硝基呋喃类原型药在生物体内代谢迅速，和蛋白质结合相当稳定，常利用对其代谢物的检测来反应硝基呋喃类药物的残留状况。《动物性食品中兽药最高残留限量》（农业部公告第235号）中规定，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酮为禁止使用的药物，在动物性食品中不得检出。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七、磺胺类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磺胺类药物是一种人工合成的抗菌谱较广、性质稳定、使用简便的抗菌药，对大多数革兰氏阳性菌和阴性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都有较强的抑制作用。《食品安全国家标准 食品中兽药最大残留限量》（GB 31650-2019）中规定，磺胺类在所有食品动物（产蛋期禁用）的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肌肉中最高残留限量值为100μg/kg。磺胺类超标的原因可能是养殖户在养殖过程中违规使用相关兽药，摄入磺胺类（总量）超标的食品，可能引起皮疹、药热等过敏反应。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八、金刚烷胺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金刚烷胺又名三环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胺、三环葵胺，最早用于抑制流感病毒的抗病毒药物。《兽药地方标准 废止目录》（农业部公告第560号）中规定，金刚烷胺为禁用兽药，在动物性食品中不得检出。检出金刚烷胺的原因，可能是养殖户在饲料中违规添加，导致其在动物体内蓄积。金刚烷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胺通过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食物链进入人体内蓄积，可能使人体对其产生耐药性。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九、镉（以Cd计）</w:t>
      </w:r>
    </w:p>
    <w:p w:rsidR="00AD654C" w:rsidRDefault="00AD654C" w:rsidP="00AD654C">
      <w:pPr>
        <w:pStyle w:val="NewNewNewNewNewNewNewNewNewNewNewNew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镉（以Cd计）是最常见的重金属元素污染物之一。《食品安全国家标准 食品中污染物限量》（GB 2762-2017）中规定，镉（以Cd计）在鲜、冻水产动物的甲壳类中限量为0.5mg/kg。水产品中镉（以Cd计）超标可能是水产品养殖过程中对环境中镉元素的富集。</w:t>
      </w:r>
    </w:p>
    <w:p w:rsidR="00AD654C" w:rsidRDefault="00AD654C" w:rsidP="00AD654C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21"/>
        </w:rPr>
        <w:t>十、4－氯苯氧乙酸钠</w:t>
      </w:r>
    </w:p>
    <w:p w:rsidR="00AD654C" w:rsidRDefault="00AD654C" w:rsidP="00AD654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4－氯苯氧乙酸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钠又称防落素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，是一种内吸、广谱、高效、多功能植物生长调节剂，由植物的根、茎、叶、花和果吸收，主要用于防治落花、落果，抑制豆类生根等，并且可调节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植物株内激素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的平衡，刺激子房膨大，补充植物体内生长素不足。在豆芽生产中，4－氯苯氧乙酸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钠可以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t>促进豆芽下胚轴粗大，减少根部萌发，加速细胞分裂，可提高豆芽产量和质量，所生豆芽肥嫩、粗壮、爽口。原食药监总局，原农业部，原卫计委2015年第11</w:t>
      </w:r>
      <w:r>
        <w:rPr>
          <w:rFonts w:ascii="仿宋_GB2312" w:eastAsia="仿宋_GB2312" w:hAnsi="仿宋_GB2312" w:cs="仿宋_GB2312" w:hint="eastAsia"/>
          <w:kern w:val="0"/>
          <w:sz w:val="32"/>
          <w:szCs w:val="21"/>
        </w:rPr>
        <w:lastRenderedPageBreak/>
        <w:t>号公告规定，豆芽生产经营中禁止使用4－氯苯氧乙酸钠。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十一、氟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苯尼考</w:t>
      </w:r>
      <w:proofErr w:type="gramEnd"/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苯尼考又称氟甲砜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霉素，是农业部批准使用的动物专用抗菌药，主要用于敏感细菌所致的猪、鸡、鱼的细菌性疾病。《食品安全国家标准 食品中兽药最大残留限量》（GB 31650-2019）中规定，氟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在产蛋期家禽中禁用。鸭蛋中检出氟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的原因，可能是养殖户在产蛋鸭养殖过程中违规使用相关兽药，长期食用氟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残留超标的食品，对人体健康有一定影响。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十二、土霉素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土霉素属于四环素类，是由链霉菌产生的一种广谱抗生素，因其具有促进生长和治疗疾病的作用，被广泛应用于饲料添加剂，是防治患病禽畜的常用药物。土霉素在饲料中滥用会使动物组织中土霉素残留超标，长期食用土霉素超标的动物食品会危害人体健康。</w:t>
      </w:r>
    </w:p>
    <w:p w:rsidR="00AD654C" w:rsidRDefault="00AD654C" w:rsidP="00AD654C">
      <w:pPr>
        <w:pStyle w:val="NewNewNewNewNewNewNewNewNewNewNewNew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十三、克伦特罗</w:t>
      </w:r>
    </w:p>
    <w:p w:rsidR="00864E40" w:rsidRPr="00AD654C" w:rsidRDefault="00AD654C" w:rsidP="00AD654C">
      <w:pPr>
        <w:pStyle w:val="NewNewNewNewNewNewNewNewNewNewNewNew"/>
        <w:snapToGrid w:val="0"/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克伦特罗属于β-肾上腺素受体激动剂，作为饲料添加剂用于畜牧生产，对动物有明显的促进生长、提高瘦肉率及减少脂肪的效果。《食品中可能违法添加的非食用物质和易滥用的食品添加剂名单（第四批）》（整顿办函〔2010〕50号）中规定，β-兴奋剂类药物（盐酸克伦特罗（瘦肉精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克多巴胺等）为食品中违法添加的非食用物质，在动物性食品中不得检出。长期食用检出克伦特罗的食品可能会引起中毒，诱发心律失常，出现心悸、头晕、乏力等症状，对人体健康造成伤害。</w:t>
      </w:r>
      <w:bookmarkStart w:id="0" w:name="_GoBack"/>
      <w:bookmarkEnd w:id="0"/>
    </w:p>
    <w:sectPr w:rsidR="00864E40" w:rsidRPr="00AD654C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0F" w:rsidRDefault="00E62D0F" w:rsidP="00AD654C">
      <w:r>
        <w:separator/>
      </w:r>
    </w:p>
  </w:endnote>
  <w:endnote w:type="continuationSeparator" w:id="0">
    <w:p w:rsidR="00E62D0F" w:rsidRDefault="00E62D0F" w:rsidP="00A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0F" w:rsidRDefault="00E62D0F" w:rsidP="00AD654C">
      <w:r>
        <w:separator/>
      </w:r>
    </w:p>
  </w:footnote>
  <w:footnote w:type="continuationSeparator" w:id="0">
    <w:p w:rsidR="00E62D0F" w:rsidRDefault="00E62D0F" w:rsidP="00A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25"/>
    <w:rsid w:val="00662211"/>
    <w:rsid w:val="006B7F25"/>
    <w:rsid w:val="00864E40"/>
    <w:rsid w:val="00AD654C"/>
    <w:rsid w:val="00E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D654C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54C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AD654C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AD654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D654C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AD654C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AD654C"/>
    <w:rPr>
      <w:rFonts w:ascii="Times New Roman" w:eastAsia="宋体" w:hAnsi="Calibri" w:cs="黑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D654C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54C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AD654C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AD654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D654C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AD654C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AD654C"/>
    <w:rPr>
      <w:rFonts w:ascii="Times New Roman" w:eastAsia="宋体" w:hAnsi="Calibri" w:cs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2020-04-22T09:05:00Z</dcterms:created>
  <dcterms:modified xsi:type="dcterms:W3CDTF">2020-04-22T09:06:00Z</dcterms:modified>
</cp:coreProperties>
</file>