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color w:val="auto"/>
          <w:highlight w:val="none"/>
          <w:lang w:val="en-US"/>
        </w:rPr>
      </w:pPr>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12</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、恩诺沙星</w:t>
      </w:r>
      <w:r>
        <w:rPr>
          <w:rFonts w:hint="eastAsia" w:ascii="黑体" w:hAnsi="黑体" w:eastAsia="黑体"/>
          <w:lang w:eastAsia="zh-CN"/>
        </w:rPr>
        <w:t>（</w:t>
      </w:r>
      <w:r>
        <w:rPr>
          <w:rFonts w:hint="eastAsia" w:ascii="黑体" w:hAnsi="黑体" w:eastAsia="黑体"/>
        </w:rPr>
        <w:t>以恩诺沙星与环丙沙星之和计</w:t>
      </w:r>
      <w:r>
        <w:rPr>
          <w:rFonts w:hint="eastAsia" w:ascii="黑体" w:hAnsi="黑体" w:eastAsia="黑体"/>
          <w:lang w:eastAsia="zh-CN"/>
        </w:rPr>
        <w:t>）</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牛、禽和其他动物的肌肉中的最高残留限量为100μg/kg），在产蛋鸡中禁用（鸡蛋中不得检出）。长期摄入检出恩诺沙星的动物性食品，可能会引起轻度胃肠道刺激或不适、头痛、头晕、睡眠不良等症状，过多摄入还可能引起肝损害</w:t>
      </w:r>
      <w:r>
        <w:rPr>
          <w:rFonts w:hint="eastAsia" w:ascii="Times New Roman" w:hAnsi="Times New Roman" w:eastAsia="仿宋_GB2312"/>
          <w:lang w:eastAsia="zh-CN"/>
        </w:rPr>
        <w:t>。</w:t>
      </w:r>
      <w:bookmarkStart w:id="0" w:name="_GoBack"/>
      <w:bookmarkEnd w:id="0"/>
    </w:p>
    <w:p>
      <w:pPr>
        <w:spacing w:line="600" w:lineRule="exact"/>
        <w:ind w:firstLine="624" w:firstLineChars="200"/>
        <w:rPr>
          <w:rFonts w:hint="eastAsia" w:ascii="黑体" w:hAnsi="黑体" w:eastAsia="黑体"/>
          <w:highlight w:val="none"/>
        </w:rPr>
      </w:pPr>
      <w:r>
        <w:rPr>
          <w:rFonts w:hint="eastAsia" w:ascii="黑体" w:hAnsi="黑体" w:eastAsia="黑体"/>
          <w:highlight w:val="none"/>
          <w:lang w:eastAsia="zh-CN"/>
        </w:rPr>
        <w:t>二</w:t>
      </w:r>
      <w:r>
        <w:rPr>
          <w:rFonts w:hint="eastAsia" w:ascii="黑体" w:hAnsi="黑体" w:eastAsia="黑体"/>
          <w:highlight w:val="none"/>
        </w:rPr>
        <w:t>、</w:t>
      </w:r>
      <w:r>
        <w:rPr>
          <w:rFonts w:hint="eastAsia" w:ascii="Times New Roman" w:hAnsi="Times New Roman" w:eastAsia="黑体" w:cs="Times New Roman"/>
          <w:sz w:val="32"/>
          <w:szCs w:val="32"/>
          <w:lang w:eastAsia="zh-CN"/>
        </w:rPr>
        <w:t>孔雀石绿</w:t>
      </w:r>
    </w:p>
    <w:p>
      <w:pPr>
        <w:widowControl/>
        <w:shd w:val="clear" w:color="auto" w:fill="FFFFFF"/>
        <w:snapToGrid w:val="0"/>
        <w:spacing w:line="590" w:lineRule="exact"/>
        <w:ind w:firstLine="624" w:firstLineChars="200"/>
        <w:rPr>
          <w:rFonts w:hint="eastAsia" w:ascii="Times New Roman" w:hAnsi="Times New Roman" w:eastAsia="仿宋_GB2312" w:cs="仿宋"/>
          <w:highlight w:val="none"/>
        </w:rPr>
      </w:pPr>
      <w:r>
        <w:rPr>
          <w:rFonts w:hint="eastAsia" w:ascii="Times New Roman" w:hAnsi="Times New Roman" w:eastAsia="仿宋_GB2312" w:cs="仿宋"/>
          <w:highlight w:val="none"/>
        </w:rPr>
        <w:t>孔雀石绿属于有毒的三苯甲烷类化学物，既是染料，也是杀真菌、细菌、寄生虫的药物。《动物性食品中兽药最高残留限量》</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农业部公告第235号</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中规定，孔雀石绿为禁止使用的药物，在动物性食品中不得检出。孔雀石绿具有潜在致癌、致畸、致突变的作用。长期食用检出孔雀石绿的食品，可能会对人体健康有一定影响。</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三</w:t>
      </w:r>
      <w:r>
        <w:rPr>
          <w:rFonts w:hint="default" w:ascii="Times New Roman" w:hAnsi="Times New Roman" w:eastAsia="黑体" w:cs="Times New Roman"/>
          <w:highlight w:val="none"/>
        </w:rPr>
        <w:t>、</w:t>
      </w:r>
      <w:r>
        <w:rPr>
          <w:rFonts w:hint="eastAsia" w:eastAsia="黑体" w:cs="黑体"/>
          <w:kern w:val="0"/>
          <w:sz w:val="32"/>
          <w:szCs w:val="32"/>
          <w:highlight w:val="none"/>
        </w:rPr>
        <w:t>呋喃西林代谢物</w:t>
      </w:r>
      <w:r>
        <w:rPr>
          <w:rFonts w:hint="eastAsia" w:eastAsia="黑体" w:cs="黑体"/>
          <w:kern w:val="0"/>
          <w:sz w:val="32"/>
          <w:szCs w:val="32"/>
          <w:highlight w:val="none"/>
          <w:lang w:eastAsia="zh-CN"/>
        </w:rPr>
        <w:t>、呋喃唑酮代谢物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仿宋"/>
          <w:highlight w:val="none"/>
        </w:rPr>
      </w:pPr>
      <w:r>
        <w:rPr>
          <w:rFonts w:hint="eastAsia" w:ascii="Times New Roman" w:hAnsi="Times New Roman" w:eastAsia="仿宋_GB2312" w:cs="仿宋"/>
          <w:highlight w:val="none"/>
        </w:rPr>
        <w:t>硝基呋喃类药物</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呋喃它酮、呋喃唑酮、呋喃妥因、呋喃西林</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是广谱抗生素，由于该类药物长期食用有健康风险，农业部规定该类药物为“禁止使用的药物，在动物性食品中不得检出”。呋喃类药物进入动物体内很快发生代谢，代谢产物在组织中存在较长时间，人体长期摄入后可能引起溶血性贫血、多发性神经炎、眼部损害和急性肝坏死，并有一定致癌性。</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四</w:t>
      </w:r>
      <w:r>
        <w:rPr>
          <w:rFonts w:hint="default" w:ascii="Times New Roman" w:hAnsi="Times New Roman" w:eastAsia="黑体" w:cs="Times New Roman"/>
          <w:highlight w:val="none"/>
        </w:rPr>
        <w:t>、</w:t>
      </w:r>
      <w:r>
        <w:rPr>
          <w:rFonts w:hint="eastAsia" w:eastAsia="黑体" w:cs="黑体"/>
          <w:kern w:val="0"/>
          <w:sz w:val="32"/>
          <w:szCs w:val="32"/>
        </w:rPr>
        <w:t>氯霉素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eastAsia="仿宋_GB2312" w:cs="仿宋"/>
          <w:highlight w:val="none"/>
        </w:rPr>
      </w:pPr>
      <w:r>
        <w:rPr>
          <w:rFonts w:hint="eastAsia" w:ascii="Times New Roman" w:hAnsi="Times New Roman" w:eastAsia="仿宋_GB2312" w:cs="仿宋"/>
          <w:highlight w:val="none"/>
        </w:rPr>
        <w:t>氯霉素是一种杀菌剂，也是高效广谱的抗生素，对革兰氏阳性菌和革兰氏阴性菌均有较好的抑制作用。《动物性食品中兽药最高残留限量》</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农业部公告第235号</w:t>
      </w:r>
      <w:r>
        <w:rPr>
          <w:rFonts w:hint="eastAsia" w:ascii="Times New Roman" w:hAnsi="Times New Roman" w:eastAsia="仿宋_GB2312" w:cs="仿宋"/>
          <w:highlight w:val="none"/>
          <w:lang w:eastAsia="zh-CN"/>
        </w:rPr>
        <w:t>）</w:t>
      </w:r>
      <w:r>
        <w:rPr>
          <w:rFonts w:hint="eastAsia" w:ascii="Times New Roman" w:hAnsi="Times New Roman" w:eastAsia="仿宋_GB2312" w:cs="仿宋"/>
          <w:highlight w:val="none"/>
        </w:rPr>
        <w:t>中规定，氯霉素为禁止使用的药物，在动物性食品中不得检出。长期食用检出氯霉素的食品可能引起肠道菌群失调，导致消化机能紊乱。人体过量摄入氯霉素可能引起人肝脏和骨髓造血机能的损害，导致再生障碍性贫血和血小板减少、肝损伤等健康危害。</w:t>
      </w:r>
    </w:p>
    <w:p>
      <w:pPr>
        <w:spacing w:line="600" w:lineRule="exact"/>
        <w:ind w:firstLine="62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五</w:t>
      </w:r>
      <w:r>
        <w:rPr>
          <w:rFonts w:hint="default" w:ascii="Times New Roman" w:hAnsi="Times New Roman" w:eastAsia="黑体" w:cs="Times New Roman"/>
          <w:highlight w:val="none"/>
        </w:rPr>
        <w:t>、</w:t>
      </w:r>
      <w:r>
        <w:rPr>
          <w:rFonts w:hint="eastAsia" w:ascii="黑体" w:hAnsi="黑体" w:eastAsia="黑体"/>
        </w:rPr>
        <w:t>苯甲酸及其钠盐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default" w:ascii="Times New Roman" w:hAnsi="Times New Roman" w:eastAsia="仿宋_GB2312" w:cs="Times New Roman"/>
          <w:color w:val="auto"/>
          <w:highlight w:val="none"/>
        </w:rPr>
      </w:pPr>
      <w:r>
        <w:rPr>
          <w:rFonts w:hint="eastAsia" w:ascii="Times New Roman" w:hAnsi="Times New Roman" w:eastAsia="仿宋_GB2312" w:cs="Times New Roman"/>
          <w:highlight w:val="none"/>
        </w:rPr>
        <w:t>苯甲酸及其钠盐是食品工业中常见的一种防腐剂，对霉菌、酵母和细菌有较好的抑制作用。苯甲酸及其钠盐（以苯甲酸计）的安全性较高，少量苯甲酸对人体无毒害，可随尿液排出体外，在人体内不会蓄积。但过量食入苯甲酸会引起腹泻、肚痛、心跳快等症状，长期使用可能引起肝肾脏的慢性损害。《食品安全国家标准 食品添加剂使用标准》（GB 2760</w:t>
      </w:r>
      <w:r>
        <w:rPr>
          <w:rFonts w:hint="eastAsia" w:ascii="Times New Roman" w:hAnsi="Times New Roman" w:eastAsia="仿宋_GB2312" w:cs="Times New Roman"/>
          <w:highlight w:val="none"/>
          <w:lang w:val="en-US" w:eastAsia="zh-CN"/>
        </w:rPr>
        <w:t>-</w:t>
      </w:r>
      <w:r>
        <w:rPr>
          <w:rFonts w:hint="eastAsia" w:ascii="Times New Roman" w:hAnsi="Times New Roman" w:eastAsia="仿宋_GB2312" w:cs="Times New Roman"/>
          <w:highlight w:val="none"/>
        </w:rPr>
        <w:t>2014）中规定，</w:t>
      </w:r>
      <w:r>
        <w:rPr>
          <w:rFonts w:hint="eastAsia" w:ascii="Times New Roman" w:hAnsi="Times New Roman" w:eastAsia="仿宋_GB2312" w:cs="Times New Roman"/>
          <w:highlight w:val="none"/>
          <w:lang w:eastAsia="zh-CN"/>
        </w:rPr>
        <w:t>香辛料</w:t>
      </w:r>
      <w:r>
        <w:rPr>
          <w:rFonts w:hint="eastAsia" w:ascii="Times New Roman" w:hAnsi="Times New Roman" w:eastAsia="仿宋_GB2312" w:cs="Times New Roman"/>
          <w:highlight w:val="none"/>
        </w:rPr>
        <w:t>中</w:t>
      </w:r>
      <w:r>
        <w:rPr>
          <w:rFonts w:hint="eastAsia" w:ascii="Times New Roman" w:hAnsi="Times New Roman" w:eastAsia="仿宋_GB2312" w:cs="Times New Roman"/>
          <w:highlight w:val="none"/>
          <w:lang w:eastAsia="zh-CN"/>
        </w:rPr>
        <w:t>不得使用</w:t>
      </w:r>
      <w:r>
        <w:rPr>
          <w:rFonts w:hint="eastAsia" w:ascii="Times New Roman" w:hAnsi="Times New Roman" w:eastAsia="仿宋_GB2312" w:cs="Times New Roman"/>
          <w:highlight w:val="none"/>
        </w:rPr>
        <w:t>苯甲酸及其钠盐。</w:t>
      </w:r>
      <w:r>
        <w:rPr>
          <w:rFonts w:hint="eastAsia" w:ascii="Times New Roman" w:hAnsi="Times New Roman" w:eastAsia="仿宋_GB2312" w:cs="Times New Roman"/>
          <w:highlight w:val="none"/>
          <w:lang w:eastAsia="zh-CN"/>
        </w:rPr>
        <w:t>干辣椒</w:t>
      </w:r>
      <w:r>
        <w:rPr>
          <w:rFonts w:hint="eastAsia" w:ascii="Times New Roman" w:hAnsi="Times New Roman" w:eastAsia="仿宋_GB2312" w:cs="Times New Roman"/>
          <w:highlight w:val="none"/>
        </w:rPr>
        <w:t>中苯甲酸及其钠盐不合格的原因，可能是企业为延长产品保质期或者为弥补产品生产中卫生条件不佳而超范围使用，或者未准确计量</w:t>
      </w:r>
      <w:r>
        <w:rPr>
          <w:rFonts w:hint="eastAsia" w:ascii="Times New Roman" w:hAnsi="Times New Roman" w:eastAsia="仿宋_GB2312" w:cs="Times New Roman"/>
          <w:color w:val="auto"/>
          <w:highlight w:val="none"/>
        </w:rPr>
        <w:t>。</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六</w:t>
      </w:r>
      <w:r>
        <w:rPr>
          <w:rFonts w:hint="default" w:ascii="Times New Roman" w:hAnsi="Times New Roman" w:eastAsia="黑体" w:cs="Times New Roman"/>
          <w:color w:val="auto"/>
          <w:highlight w:val="none"/>
        </w:rPr>
        <w:t>、</w:t>
      </w:r>
      <w:r>
        <w:rPr>
          <w:rFonts w:hint="eastAsia" w:ascii="黑体" w:hAnsi="黑体" w:eastAsia="黑体"/>
          <w:lang w:eastAsia="zh-CN"/>
        </w:rPr>
        <w:t>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Times New Roman" w:hAnsi="Times New Roman" w:eastAsia="仿宋_GB2312" w:cs="Times New Roman"/>
          <w:color w:val="auto"/>
          <w:highlight w:val="none"/>
        </w:rPr>
        <w:t>菌落总数测定是用来判定食品被细菌污染的程度及卫生质量，它反映食品在生产过程中是否符合卫生要求，以便对被检样品做出适当的卫生学评价。菌落总数的多少在一定程度上标志着食品卫生质量的优劣。菌落总数是指示性微生物，主要反映了产品的卫生学状况及受致病菌污染的可能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D3202"/>
    <w:rsid w:val="26153BC5"/>
    <w:rsid w:val="278D1F54"/>
    <w:rsid w:val="563D3202"/>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2020-05-09T08:41:00Z</dcterms:created>
  <dc:creator>罗钰珊</dc:creator>
  <cp:lastModifiedBy>罗钰珊</cp:lastModifiedBy>
  <dcterms:modified xsi:type="dcterms:W3CDTF">2020-05-09T08:42:09Z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