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0"/>
      </w:pPr>
      <w:r>
        <w:rPr>
          <w:rFonts w:ascii="Times New Roman"/>
        </w:rPr>
        <w:t>ICS</w:t>
      </w:r>
      <w:r>
        <w:rPr>
          <w:rFonts w:ascii="Cambria Math" w:hAnsi="Cambria Math" w:cs="Cambria Math"/>
        </w:rPr>
        <w:t> </w:t>
      </w:r>
      <w:bookmarkStart w:id="0" w:name="ICS"/>
      <w: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>
        <w:fldChar w:fldCharType="separate"/>
      </w:r>
      <w:r>
        <w:t>65.020.20</w:t>
      </w:r>
      <w:r>
        <w:fldChar w:fldCharType="end"/>
      </w:r>
      <w:bookmarkEnd w:id="0"/>
    </w:p>
    <w:p>
      <w:pPr>
        <w:pStyle w:val="70"/>
      </w:pPr>
      <w:bookmarkStart w:id="1" w:name="WXFLH"/>
      <w: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点击此处添加中国标准文献分类号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B 05</w:t>
      </w:r>
      <w:r>
        <w:fldChar w:fldCharType="end"/>
      </w:r>
      <w:bookmarkEnd w:id="1"/>
    </w:p>
    <w:tbl>
      <w:tblPr>
        <w:tblStyle w:val="28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0"/>
            </w:pPr>
            <w:r>
              <w:rPr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9525" b="11430"/>
                      <wp:wrapNone/>
                      <wp:docPr id="6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BAH" o:spid="_x0000_s1026" o:spt="1" style="position:absolute;left:0pt;margin-left:-5.25pt;margin-top:0pt;height:15.6pt;width:68.25pt;z-index:-251656192;mso-width-relative:page;mso-height-relative:page;" fillcolor="#FFFFFF" filled="t" stroked="f" coordsize="21600,21600" o:gfxdata="UEsDBAoAAAAAAIdO4kAAAAAAAAAAAAAAAAAEAAAAZHJzL1BLAwQUAAAACACHTuJAyK4v7NUAAAAH&#10;AQAADwAAAGRycy9kb3ducmV2LnhtbE2PwW7CMBBE75X6D9ZW4gZ2QoloGodDJU6lhwIS1yVekqjx&#10;Oo0dSP++5tTeZjWjmbfFZrKduNLgW8cakoUCQVw503Kt4XjYztcgfEA22DkmDT/kYVM+PhSYG3fj&#10;T7ruQy1iCfscNTQh9LmUvmrIol+4njh6FzdYDPEcamkGvMVy28lUqUxabDkuNNjTW0PV1360GjB7&#10;Nt8fl+Xu8D5m+FJPars6Ka1nT4l6BRFoCn9huONHdCgj09mNbLzoNMwTtYpRDfGju51mUZw1LJMU&#10;ZFnI//zlL1BLAwQUAAAACACHTuJAPQ1v5YoBAAALAwAADgAAAGRycy9lMm9Eb2MueG1srVJNbxsh&#10;EL1X6n9A3GO8luK4K6+jtJHbQ9VGSvoDMAu7SMCggXjtf98Bu07T3KrsgZ0v3sx7w/r24B3ba0wW&#10;Qseb2ZwzHRT0Ngwd//W0vVpxlrIMvXQQdMePOvHbzccP6ym2egEjuF4jI5CQ2il2fMw5tkIkNWov&#10;0wyiDpQ0gF5mcnEQPcqJ0L0Ti/l8KSbAPiIonRJF709Jvqn4xmiVfxqTdGau4zRbrifWc1dOsVnL&#10;dkAZR6vOY8j/mMJLG6jpBepeZsme0b6B8lYhJDB5psALMMYqXTkQm2b+D5vHUUZduZA4KV5kSu8H&#10;q37sH5DZvuNLzoL0tKLPd9+KLFNMLWUf4wOevURm4Xgw6MufpmeHKuXxIqU+ZKYouFoub26uOVOU&#10;aj6tmkWVWrxcjpjyVw2eFaPjSJuqAsr995SpIZX+KSm9Ejjbb61z1cFh98Uh20va6rZ+ZWK68qrM&#10;hVIcoFw7pUtEFGInKsXaQX8kBZ4j2mGkQZqKVDKkeMU8v46y0r/9ivTyhj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MiuL+zVAAAABwEAAA8AAAAAAAAAAQAgAAAAIgAAAGRycy9kb3ducmV2Lnht&#10;bFBLAQIUABQAAAAIAIdO4kA9DW/ligEAAAsDAAAOAAAAAAAAAAEAIAAAACQBAABkcnMvZTJvRG9j&#10;LnhtbFBLBQYAAAAABgAGAFkBAAAg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2"/>
          </w:p>
        </w:tc>
      </w:tr>
    </w:tbl>
    <w:p>
      <w:pPr>
        <w:pStyle w:val="111"/>
      </w:pPr>
      <w:r>
        <w:t>DB</w:t>
      </w:r>
      <w:bookmarkStart w:id="3" w:name="c3"/>
      <w:r>
        <w:fldChar w:fldCharType="begin">
          <w:ffData>
            <w:name w:val="c3"/>
            <w:enabled/>
            <w:calcOnExit w:val="0"/>
            <w:entryMacro w:val="ShowHelp16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  <w:lang w:val="en-US" w:eastAsia="zh-CN"/>
        </w:rPr>
        <w:t>34</w:t>
      </w:r>
      <w:r>
        <w:fldChar w:fldCharType="end"/>
      </w:r>
      <w:bookmarkEnd w:id="3"/>
    </w:p>
    <w:p>
      <w:pPr>
        <w:pStyle w:val="116"/>
      </w:pPr>
      <w:bookmarkStart w:id="4" w:name="c4"/>
      <w: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安徽省</w:t>
      </w:r>
      <w:r>
        <w:fldChar w:fldCharType="end"/>
      </w:r>
      <w:bookmarkEnd w:id="4"/>
      <w:r>
        <w:rPr>
          <w:rFonts w:hint="eastAsia"/>
        </w:rPr>
        <w:t>地方标准</w:t>
      </w:r>
    </w:p>
    <w:p>
      <w:pPr>
        <w:pStyle w:val="74"/>
      </w:pPr>
      <w:r>
        <w:rPr>
          <w:rFonts w:ascii="Times New Roman"/>
        </w:rPr>
        <w:t xml:space="preserve">DB </w:t>
      </w:r>
      <w:bookmarkStart w:id="5" w:name="StdNo0"/>
      <w: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34</w:t>
      </w:r>
      <w:r>
        <w:fldChar w:fldCharType="end"/>
      </w:r>
      <w:bookmarkEnd w:id="5"/>
      <w:r>
        <w:t>/</w:t>
      </w:r>
      <w:r>
        <w:rPr>
          <w:rFonts w:hint="eastAsia"/>
        </w:rPr>
        <w:t>T</w:t>
      </w:r>
      <w:r>
        <w:t xml:space="preserve"> </w:t>
      </w:r>
      <w:bookmarkStart w:id="6" w:name="StdNo1"/>
      <w: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lang w:val="en-US" w:eastAsia="zh-CN"/>
        </w:rPr>
        <w:t>XXXXX</w:t>
      </w:r>
      <w:r>
        <w:fldChar w:fldCharType="end"/>
      </w:r>
      <w:bookmarkEnd w:id="6"/>
      <w:r>
        <w:t>—</w:t>
      </w:r>
      <w:bookmarkStart w:id="7" w:name="StdNo2"/>
      <w: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lang w:val="en-US" w:eastAsia="zh-CN"/>
        </w:rPr>
        <w:t>XXXX</w:t>
      </w:r>
      <w:r>
        <w:fldChar w:fldCharType="end"/>
      </w:r>
      <w:bookmarkEnd w:id="7"/>
    </w:p>
    <w:tbl>
      <w:tblPr>
        <w:tblStyle w:val="28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3"/>
            </w:pPr>
            <w:bookmarkStart w:id="8" w:name="DT"/>
            <w:r>
              <w:rPr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3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72.8pt;margin-top:2.7pt;height:18pt;width:90pt;z-index:-251659264;mso-width-relative:page;mso-height-relative:page;" fillcolor="#FFFFFF" filled="t" stroked="f" coordsize="21600,21600" o:gfxdata="UEsDBAoAAAAAAIdO4kAAAAAAAAAAAAAAAAAEAAAAZHJzL1BLAwQUAAAACACHTuJAHmDyy9YAAAAI&#10;AQAADwAAAGRycy9kb3ducmV2LnhtbE2PMU/DMBSEdyT+g/WQ2KidkoQ2jdMBqRMw0CKxvsavSUT8&#10;HGKnDf8ed4LxdKe778rtbHtxptF3jjUkCwWCuHam40bDx2H3sALhA7LB3jFp+CEP2+r2psTCuAu/&#10;03kfGhFL2BeooQ1hKKT0dUsW/cINxNE7udFiiHJspBnxEsttL5dK5dJix3GhxYGeW6q/9pPVgHlq&#10;vt9Oj6+HlynHdTOrXfaptL6/S9QGRKA5/IXhih/RoYpMRzex8aLX8JRmeYxqyFIQ0V8vr/qoIU1S&#10;kFUp/x+ofgFQSwMEFAAAAAgAh07iQDQI3FKEAQAACwMAAA4AAABkcnMvZTJvRG9jLnhtbK1Sy27b&#10;MBC8F+g/ELzXlJwiCATLOcRwLkUbIMkH0BQpEeALu4xl/32XtOukyS2IDqt9cbgzy9XtwTu214A2&#10;hp63i4YzHVQcbBh7/vy0/XHDGWYZBuli0D0/auS36+/fVnPq9DJO0Q0aGIEE7ObU8ynn1AmBatJe&#10;4iImHahoIniZKYRRDCBnQvdOLJvmWswRhgRRaUTKbk5Fvq74xmiV/xiDOjPXc5otVwvV7ooV65Xs&#10;RpBpsuo8hvzEFF7aQJdeoDYyS/YC9gOUtwoiRpMXKnoRjbFKVw7Epm3esXmcZNKVC4mD6SITfh2s&#10;+r1/AGaHnl9xFqSnFW2eiipzwo6Kj+kBzhGSWygeDPjyp+HZoSp5vCipD5kpSrbtz6umIcEV1ZbL&#10;m2vyCUa8nk6A+V5Hz4rTc6BNVQHl/hfmU+u/lnIZRmeHrXWuBjDu7hywvaStbut3Rv+vzYXSHGI5&#10;dkIsGVGYnbgUbxeHIynwksCOEw3SVqRSIcXrxOfXUVb6Nq5Ir294/R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AeYPLL1gAAAAgBAAAPAAAAAAAAAAEAIAAAACIAAABkcnMvZG93bnJldi54bWxQSwEC&#10;FAAUAAAACACHTuJANAjcUoQBAAALAwAADgAAAAAAAAABACAAAAAlAQAAZHJzL2Uyb0RvYy54bWxQ&#10;SwUGAAAAAAYABgBZAQAAGw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8"/>
          </w:p>
        </w:tc>
      </w:tr>
    </w:tbl>
    <w:p>
      <w:pPr>
        <w:pStyle w:val="74"/>
      </w:pPr>
    </w:p>
    <w:p>
      <w:pPr>
        <w:pStyle w:val="74"/>
      </w:pPr>
    </w:p>
    <w:p>
      <w:pPr>
        <w:pStyle w:val="44"/>
      </w:pPr>
      <w:bookmarkStart w:id="9" w:name="StdName"/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  <w:lang w:eastAsia="zh-CN"/>
        </w:rPr>
        <w:t>小麦胚芽生产</w:t>
      </w:r>
      <w:r>
        <w:rPr>
          <w:rFonts w:hint="eastAsia"/>
        </w:rPr>
        <w:t>加工技术规程</w:t>
      </w:r>
      <w:r>
        <w:fldChar w:fldCharType="end"/>
      </w:r>
      <w:bookmarkEnd w:id="9"/>
    </w:p>
    <w:p>
      <w:pPr>
        <w:pStyle w:val="43"/>
      </w:pPr>
      <w:bookmarkStart w:id="10" w:name="StdEnglishName"/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Technical specification for processing of wheat germ</w:t>
      </w:r>
      <w:r>
        <w:fldChar w:fldCharType="end"/>
      </w:r>
      <w:bookmarkEnd w:id="10"/>
    </w:p>
    <w:p>
      <w:pPr>
        <w:pStyle w:val="76"/>
      </w:pPr>
      <w:bookmarkStart w:id="11" w:name="YZBS"/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点击此处添加与国际标准一致性程度的标识</w:t>
      </w:r>
      <w:r>
        <w:fldChar w:fldCharType="end"/>
      </w:r>
      <w:bookmarkEnd w:id="11"/>
    </w:p>
    <w:tbl>
      <w:tblPr>
        <w:tblStyle w:val="28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5"/>
            </w:pPr>
            <w:r>
              <w:rPr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12700"/>
                      <wp:wrapNone/>
                      <wp:docPr id="5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45.15pt;height:20pt;width:150pt;z-index:-251657216;mso-width-relative:page;mso-height-relative:page;" fillcolor="#FFFFFF" filled="t" stroked="f" coordsize="21600,21600" o:gfxdata="UEsDBAoAAAAAAIdO4kAAAAAAAAAAAAAAAAAEAAAAZHJzL1BLAwQUAAAACACHTuJABYmuktUAAAAK&#10;AQAADwAAAGRycy9kb3ducmV2LnhtbE2PwU7DMAyG70h7h8iTuLFkdESsNN0BaSfgsA2Jq9d4bUWT&#10;lCbdyttjdoGjf3/6/bnYTK4TZxpiG7yB5UKBIF8F2/rawPthe/cIIib0FrvgycA3RdiUs5sCcxsu&#10;fkfnfaoFl/iYo4EmpT6XMlYNOYyL0JPn3SkMDhOPQy3tgBcud528V0pLh63nCw329NxQ9bkfnQHU&#10;K/v1dspeDy+jxnU9qe3DhzLmdr5UTyASTekPhl99VoeSnY5h9DaKzkC20ppRA2uVgWBAX4Mjkxkn&#10;sizk/xfKH1BLAwQUAAAACACHTuJAI4Gjy4MBAAALAwAADgAAAGRycy9lMm9Eb2MueG1srVJNbxsh&#10;EL1Xyn9A3GPWVh2lK69zaOReqny2PwCzsIsEDBqI1/73GbDjJO2t6h5m54vHvDesbvbesZ3GZCF0&#10;fD5rONNBQW/D0PHfvzaX15ylLEMvHQTd8YNO/GZ98WU1xVYvYATXa2QEElI7xY6POcdWiKRG7WWa&#10;QdSBigbQy0whDqJHORG6d2LRNFdiAuwjgtIpUfb2WOTrim+MVvnemKQzcx2n2XK1WO22WLFeyXZA&#10;GUerTmPIf5jCSxvo0jPUrcySvaD9C8pbhZDA5JkCL8AYq3TlQGzmzR9snkcZdeVC4qR4lin9P1h1&#10;t3tAZvuOLzkL0tOKnh6LKlNMLRWf4wOeokRuobg36Mufhmf7quThrKTeZ6YoOf/WLJuGBFdUWyy/&#10;Fp9gxPvpiCn/0OBZcTqOtKkqoNz9TPnY+tZSLkvgbL+xztUAh+13h2wnaaub+p3QP7W5UJoDlGNH&#10;xJIRhdmRS/G20B9IgZeIdhhpkHlFKhVSvE58eh1lpR/jivT+hte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BYmuktUAAAAKAQAADwAAAAAAAAABACAAAAAiAAAAZHJzL2Rvd25yZXYueG1sUEsBAhQA&#10;FAAAAAgAh07iQCOBo8uDAQAACwMAAA4AAAAAAAAAAQAgAAAAJAEAAGRycy9lMm9Eb2MueG1sUEsF&#10;BgAAAAAGAAYAWQEAABkFAAAAAA==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w:rPr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6350" b="0"/>
                      <wp:wrapNone/>
                      <wp:docPr id="4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LB" o:spid="_x0000_s1026" o:spt="1" style="position:absolute;left:0pt;margin-left:193.3pt;margin-top:20.15pt;height:24pt;width:100pt;z-index:-251658240;mso-width-relative:page;mso-height-relative:page;" fillcolor="#FFFFFF" filled="t" stroked="f" coordsize="21600,21600" o:gfxdata="UEsDBAoAAAAAAIdO4kAAAAAAAAAAAAAAAAAEAAAAZHJzL1BLAwQUAAAACACHTuJAA+GL5dYAAAAJ&#10;AQAADwAAAGRycy9kb3ducmV2LnhtbE2PwU7DMAyG70i8Q2QkbiwZ3aJSmu6AtBNwYEPi6jVeW9E4&#10;pUm38vYELuxo+9Pv7y83s+vFicbQeTawXCgQxLW3HTcG3vfbuxxEiMgWe89k4JsCbKrrqxIL68/8&#10;RqddbEQK4VCggTbGoZAy1C05DAs/EKfb0Y8OYxrHRtoRzync9fJeKS0ddpw+tDjQU0v1525yBlCv&#10;7NfrMXvZP08aH5pZbdcfypjbm6V6BBFpjv8w/OondaiS08FPbIPoDWS51gk1sFIZiASs/xYHA3me&#10;gaxKedmg+gFQSwMEFAAAAAgAh07iQN9oxoCEAQAACwMAAA4AAABkcnMvZTJvRG9jLnhtbK1S224j&#10;IQx9X6n/gHhvmKRVW40yqbRbpS/VtlK3H0AYmEHiJptmkr9fQ9L09rZaHoyNzcHnmOXtzju21YA2&#10;ho7PZw1nOqjY2zB0/OXP+vyGM8wy9NLFoDu+18hvV2c/llNq9SKO0fUaGIEEbKfU8THn1AqBatRe&#10;4iwmHShpIniZKYRB9CAnQvdOLJrmSkwR+gRRaUQ6vTsk+ariG6NVfjQGdWau49Rbrhaq3RQrVkvZ&#10;DiDTaNWxDfkPXXhpAz16grqTWbJXsN+gvFUQMZo8U9GLaIxVunIgNvPmC5vnUSZduZA4mE4y4f+D&#10;Vb+3T8Bs3/FLzoL0NKKHn0WVKWFLyef0BMcIyS0UdwZ82al5tqtK7k9K6l1mig7ni+uGFmeKchfN&#10;5Q35BCPebyfAfK+jZ8XpONCkqoBy+4D5UPpWUh7D6Gy/ts7VAIbNLwdsK2mq67qO6J/KXCjFIZZr&#10;B8RyIgqzA5fibWK/JwVeE9hhpEbmFalkSPHa8fF3lJF+jCvS+x9e/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AD4Yvl1gAAAAkBAAAPAAAAAAAAAAEAIAAAACIAAABkcnMvZG93bnJldi54bWxQSwEC&#10;FAAUAAAACACHTuJA32jGgIQBAAALAwAADgAAAAAAAAABACAAAAAlAQAAZHJzL2Uyb0RvYy54bWxQ&#10;SwUGAAAAAAYABgBZAQAAGw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LB"/>
                  <w:enabled/>
                  <w:calcOnExit w:val="0"/>
                  <w:ddList>
                    <w:result w:val="2"/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12" w:name="LB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6"/>
            </w:pPr>
            <w:bookmarkStart w:id="13" w:name="WCRQ"/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3"/>
          </w:p>
        </w:tc>
      </w:tr>
    </w:tbl>
    <w:p>
      <w:pPr>
        <w:pStyle w:val="118"/>
      </w:pPr>
      <w:bookmarkStart w:id="14" w:name="FY"/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4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  <w:lang w:val="en-US" w:eastAsia="zh-CN"/>
        </w:rPr>
        <w:t>XX</w:t>
      </w:r>
      <w:r>
        <w:rPr>
          <w:rFonts w:ascii="黑体"/>
        </w:rPr>
        <w:fldChar w:fldCharType="end"/>
      </w:r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5" w:name="FD"/>
      <w:r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  <w:lang w:val="en-US" w:eastAsia="zh-CN"/>
        </w:rPr>
        <w:t>XX</w:t>
      </w:r>
      <w:r>
        <w:rPr>
          <w:rFonts w:ascii="黑体"/>
        </w:rPr>
        <w:fldChar w:fldCharType="end"/>
      </w:r>
      <w:bookmarkEnd w:id="15"/>
      <w:r>
        <w:rPr>
          <w:rFonts w:hint="eastAsia"/>
        </w:rPr>
        <w:t>发布</w:t>
      </w:r>
      <w: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0" t="0" r="0" b="0"/>
                <wp:wrapNone/>
                <wp:docPr id="1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-0.05pt;margin-top:728.5pt;height:0pt;width:481.9pt;mso-position-vertical-relative:page;z-index:251655168;mso-width-relative:page;mso-height-relative:page;" filled="f" stroked="t" coordsize="21600,21600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BcBy7C/AQAAjAMAAA4AAABkcnMvZTJvRG9jLnhtbK1TTW/b&#10;MAy9D9h/EHRfHGdosRlxemjWXYotwNYfwEi0LUBfENU4+fejlDbZx2UY5oNMidTj4yO1vjs6Kw6Y&#10;yATfy3axlAK9Ctr4sZdP3x/efZCCMngNNnjs5QlJ3m3evlnPscNVmILVmASDeOrm2Msp59g1DakJ&#10;HdAiRPTsHEJykHmbxkYnmBnd2Wa1XN42c0g6pqCQiE+3Z6fcVPxhQJW/DgNhFraXzC3XNdV1X9Zm&#10;s4ZuTBAno15owD+wcGA8J71AbSGDeE7mDyhnVAoUhrxQwTVhGIzCWgNX0y5/q+bbBBFrLSwOxYtM&#10;9P9g1ZfDLgmjuXdSeHDcokfjUbRVmjlSxxH3fpdYqLKjuEulzuOQXPlzBeJY5Txd5MRjFooPb1uu&#10;6T2rrl59zfViTJQ/Y3CiGL20nLQKCIdHypyMQ19DSh7rxdzLjzerG4YDHpTBQmbTRaZOfqx3KVij&#10;H4y15QalcX9vkzhAaX39SrcZ95ewkmQLNJ3jqus8FBOC/uS1yKfIonieXlkoONRSWORhL1YdnwzG&#10;/k0kp7aeGVx1LNY+6BO34DkmM06sRFtZFg+3vPJ9Gc8yUz/vK9L1EW1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WHazzWAAAACwEAAA8AAAAAAAAAAQAgAAAAIgAAAGRycy9kb3ducmV2LnhtbFBL&#10;AQIUABQAAAAIAIdO4kAXAcuwvwEAAIwDAAAOAAAAAAAAAAEAIAAAACUBAABkcnMvZTJvRG9jLnht&#10;bFBLBQYAAAAABgAGAFkBAABW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127"/>
      </w:pPr>
      <w:bookmarkStart w:id="16" w:name="SY"/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  <w:lang w:val="en-US" w:eastAsia="zh-CN"/>
        </w:rPr>
        <w:t>XXXX</w:t>
      </w:r>
      <w:r>
        <w:rPr>
          <w:rFonts w:ascii="黑体"/>
        </w:rPr>
        <w:fldChar w:fldCharType="end"/>
      </w:r>
      <w:bookmarkEnd w:id="16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7" w:name="SM"/>
      <w:r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  <w:lang w:val="en-US" w:eastAsia="zh-CN"/>
        </w:rPr>
        <w:t>XX</w:t>
      </w:r>
      <w:r>
        <w:rPr>
          <w:rFonts w:ascii="黑体"/>
        </w:rPr>
        <w:fldChar w:fldCharType="end"/>
      </w:r>
      <w:bookmarkEnd w:id="17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8" w:name="SD"/>
      <w:r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  <w:lang w:val="en-US" w:eastAsia="zh-CN"/>
        </w:rPr>
        <w:t>XX</w:t>
      </w:r>
      <w:r>
        <w:rPr>
          <w:rFonts w:ascii="黑体"/>
        </w:rPr>
        <w:fldChar w:fldCharType="end"/>
      </w:r>
      <w:bookmarkEnd w:id="18"/>
      <w:r>
        <w:rPr>
          <w:rFonts w:hint="eastAsia"/>
        </w:rPr>
        <w:t>实施</w:t>
      </w:r>
    </w:p>
    <w:p>
      <w:pPr>
        <w:pStyle w:val="51"/>
      </w:pPr>
      <w:bookmarkStart w:id="19" w:name="fm"/>
      <w:r>
        <w:fldChar w:fldCharType="begin">
          <w:ffData>
            <w:name w:val="fm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安徽省</w:t>
      </w:r>
      <w:r>
        <w:rPr>
          <w:rFonts w:hint="eastAsia"/>
          <w:lang w:eastAsia="zh-CN"/>
        </w:rPr>
        <w:t>市场监督管理</w:t>
      </w:r>
      <w:r>
        <w:rPr>
          <w:rFonts w:hint="eastAsia"/>
        </w:rPr>
        <w:t>局</w:t>
      </w:r>
      <w:r>
        <w:fldChar w:fldCharType="end"/>
      </w:r>
      <w:bookmarkEnd w:id="19"/>
      <w:r>
        <w:rPr>
          <w:rFonts w:ascii="Cambria Math" w:hAnsi="Cambria Math" w:cs="Cambria Math"/>
        </w:rPr>
        <w:t>   </w:t>
      </w:r>
      <w:r>
        <w:rPr>
          <w:rStyle w:val="36"/>
          <w:rFonts w:hint="eastAsia"/>
        </w:rPr>
        <w:t>发布</w:t>
      </w:r>
    </w:p>
    <w:p>
      <w:pPr>
        <w:pStyle w:val="20"/>
        <w:sectPr>
          <w:pgSz w:w="11906" w:h="16838"/>
          <w:pgMar w:top="567" w:right="850" w:bottom="1134" w:left="1418" w:header="0" w:footer="0" w:gutter="0"/>
          <w:pgNumType w:start="1"/>
          <w:cols w:space="720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0" t="0" r="0" b="0"/>
                <wp:wrapNone/>
                <wp:docPr id="2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-0.05pt;margin-top:184.25pt;height:0pt;width:481.9pt;z-index:251656192;mso-width-relative:page;mso-height-relative:page;" filled="f" stroked="t" coordsize="21600,21600" o:gfxdata="UEsDBAoAAAAAAIdO4kAAAAAAAAAAAAAAAAAEAAAAZHJzL1BLAwQUAAAACACHTuJAQkHiX9cAAAAJ&#10;AQAADwAAAGRycy9kb3ducmV2LnhtbE2PzU7DMBCE70h9B2uRuFStnUaEEuL0UMiNC20R1228JBHx&#10;Oo3dH3h6jIQEx9kZzXxbrC62FycafedYQzJXIIhrZzpuNOy21WwJwgdkg71j0vBJHlbl5KrA3Lgz&#10;v9BpExoRS9jnqKENYcil9HVLFv3cDcTRe3ejxRDl2Egz4jmW214ulMqkxY7jQosDrVuqPzZHq8FX&#10;r3Sovqb1VL2ljaPF4fH5CbW+uU7UA4hAl/AXhh/8iA5lZNq7Ixsveg2zJAY1pNnyFkT077P0DsT+&#10;9yLLQv7/oPwGUEsDBBQAAAAIAIdO4kD0ILXDwAEAAIwDAAAOAAAAZHJzL2Uyb0RvYy54bWytU01v&#10;2zAMvQ/YfxB0XxxnaLEZcXpo1l2KLcDWH8BIsi1AXyDVOPn3o5Q03cdlGOaDTInUI98jtb47eicO&#10;BsnG0Mt2sZTCBBW1DWMvn74/vPsgBWUIGlwMppcnQ/Ju8/bNek6dWcUpOm1QMEigbk69nHJOXdOQ&#10;mowHWsRkAjuHiB4yb3FsNMLM6N41q+Xytpkj6oRRGSI+3Z6dclPxh8Go/HUYyGThesm15bpiXfdl&#10;bTZr6EaENFl1KQP+oQoPNnDSK9QWMohntH9AeaswUhzyQkXfxGGwylQOzKZd/sbm2wTJVC4sDqWr&#10;TPT/YNWXww6F1b1cSRHAc4sebTCibYs0c6KOI+7DDi87SjssPI8D+vJnBuJY5Txd5TTHLBQf3rbM&#10;6T2rrl58zevFhJQ/m+hFMXrpOGkVEA6PlDkZh76ElDwuiLmXH29WNwwHPCiDg8ymT1w6hbHepeis&#10;frDOlRuE4/7eoThAaX39CiXG/SWsJNkCTee46joPxWRAfwpa5FNiUQJPrywleKOlcIaHvVgMCF0G&#10;6/4mklO7wBUUVc86Fmsf9Ylb8JzQjhMrUYWvMdzyWu9lPMtM/byvSK+PaPM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QkHiX9cAAAAJAQAADwAAAAAAAAABACAAAAAiAAAAZHJzL2Rvd25yZXYueG1s&#10;UEsBAhQAFAAAAAgAh07iQPQgtcPAAQAAjAMAAA4AAAAAAAAAAQAgAAAAJgEAAGRycy9lMm9Eb2Mu&#10;eG1sUEsFBgAAAAAGAAYAWQEAAF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17"/>
        <w:ind w:left="840" w:hanging="420"/>
        <w:rPr>
          <w:rFonts w:hint="eastAsia"/>
        </w:rPr>
      </w:pPr>
      <w:r>
        <w:rPr>
          <w:rFonts w:hint="eastAsia"/>
        </w:rPr>
        <w:t>前</w:t>
      </w:r>
      <w:bookmarkStart w:id="20" w:name="BKQY"/>
      <w:r>
        <w:rPr>
          <w:rFonts w:ascii="Cambria Math" w:hAnsi="Cambria Math" w:cs="Cambria Math"/>
        </w:rPr>
        <w:t>  </w:t>
      </w:r>
      <w:r>
        <w:rPr>
          <w:rFonts w:hint="eastAsia"/>
        </w:rPr>
        <w:t>言</w:t>
      </w:r>
      <w:bookmarkEnd w:id="20"/>
    </w:p>
    <w:p>
      <w:pPr>
        <w:pStyle w:val="20"/>
        <w:rPr>
          <w:rFonts w:hint="eastAsia"/>
        </w:rPr>
      </w:pPr>
      <w:r>
        <w:rPr>
          <w:rFonts w:hint="eastAsia"/>
        </w:rPr>
        <w:t>本标准按照GB/T 1.1-2009给出的规则起草。</w:t>
      </w:r>
    </w:p>
    <w:p>
      <w:pPr>
        <w:pStyle w:val="20"/>
        <w:rPr>
          <w:rFonts w:hint="eastAsia" w:hAnsi="宋体" w:cs="宋体"/>
          <w:color w:val="0000FF"/>
          <w:sz w:val="20"/>
        </w:rPr>
      </w:pPr>
      <w:r>
        <w:rPr>
          <w:rFonts w:hint="eastAsia"/>
        </w:rPr>
        <w:t>本标准由安徽燕之坊食品有限公司提出。</w:t>
      </w:r>
    </w:p>
    <w:p>
      <w:pPr>
        <w:pStyle w:val="20"/>
        <w:rPr>
          <w:rFonts w:hint="eastAsia" w:hAnsi="宋体" w:cs="宋体"/>
          <w:color w:val="0000FF"/>
          <w:sz w:val="20"/>
        </w:rPr>
      </w:pPr>
      <w:r>
        <w:rPr>
          <w:rFonts w:hint="eastAsia"/>
        </w:rPr>
        <w:t>本标准由安徽省</w:t>
      </w:r>
      <w:r>
        <w:rPr>
          <w:rFonts w:hint="eastAsia"/>
          <w:lang w:eastAsia="zh-CN"/>
        </w:rPr>
        <w:t>杂粮</w:t>
      </w:r>
      <w:r>
        <w:rPr>
          <w:rFonts w:hint="eastAsia"/>
        </w:rPr>
        <w:t>标准化技术委员会归口。</w:t>
      </w:r>
    </w:p>
    <w:p>
      <w:pPr>
        <w:pStyle w:val="20"/>
        <w:rPr>
          <w:rFonts w:hint="eastAsia" w:eastAsia="宋体"/>
          <w:lang w:eastAsia="zh-CN"/>
        </w:rPr>
      </w:pPr>
      <w:r>
        <w:rPr>
          <w:rFonts w:hint="eastAsia"/>
        </w:rPr>
        <w:t>本标准起草单位：安徽燕之坊食品有限公司</w:t>
      </w:r>
      <w:r>
        <w:rPr>
          <w:rFonts w:hint="eastAsia"/>
          <w:lang w:eastAsia="zh-CN"/>
        </w:rPr>
        <w:t>。</w:t>
      </w:r>
    </w:p>
    <w:p>
      <w:pPr>
        <w:pStyle w:val="20"/>
        <w:rPr>
          <w:rFonts w:hint="eastAsia"/>
        </w:rPr>
      </w:pPr>
      <w:r>
        <w:rPr>
          <w:rFonts w:hint="eastAsia"/>
        </w:rPr>
        <w:t>本标准主要起草人：</w:t>
      </w:r>
    </w:p>
    <w:p>
      <w:pPr>
        <w:pStyle w:val="20"/>
        <w:rPr>
          <w:rFonts w:hint="eastAsia"/>
        </w:rPr>
      </w:pPr>
      <w:r>
        <w:rPr>
          <w:rFonts w:hint="eastAsia"/>
        </w:rPr>
        <w:t>本标准为首次发布。</w:t>
      </w: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  <w:sectPr>
          <w:headerReference r:id="rId3" w:type="default"/>
          <w:pgSz w:w="11906" w:h="16838"/>
          <w:pgMar w:top="567" w:right="1134" w:bottom="1134" w:left="1418" w:header="1418" w:footer="1134" w:gutter="0"/>
          <w:pgNumType w:fmt="upperRoman" w:start="1"/>
          <w:cols w:space="720" w:num="1"/>
          <w:formProt w:val="0"/>
          <w:docGrid w:type="lines" w:linePitch="312" w:charSpace="0"/>
        </w:sectPr>
      </w:pPr>
    </w:p>
    <w:p>
      <w:pPr>
        <w:pStyle w:val="81"/>
        <w:rPr>
          <w:rFonts w:hint="eastAsia"/>
        </w:rPr>
      </w:pPr>
      <w:r>
        <w:rPr>
          <w:rFonts w:hint="eastAsia"/>
          <w:lang w:eastAsia="zh-CN"/>
        </w:rPr>
        <w:t>小麦胚芽生产</w:t>
      </w:r>
      <w:r>
        <w:rPr>
          <w:rFonts w:hint="eastAsia"/>
        </w:rPr>
        <w:t>加工技术规程</w:t>
      </w:r>
    </w:p>
    <w:p>
      <w:pPr>
        <w:pStyle w:val="78"/>
        <w:rPr>
          <w:rFonts w:hint="eastAsia"/>
          <w:color w:val="auto"/>
        </w:rPr>
      </w:pPr>
      <w:r>
        <w:rPr>
          <w:rFonts w:hint="eastAsia"/>
        </w:rPr>
        <w:t>范围</w:t>
      </w:r>
    </w:p>
    <w:p>
      <w:pPr>
        <w:pStyle w:val="20"/>
        <w:rPr>
          <w:rFonts w:hint="eastAsia" w:hAnsi="宋体" w:cs="宋体"/>
          <w:color w:val="auto"/>
          <w:szCs w:val="21"/>
        </w:rPr>
      </w:pPr>
      <w:r>
        <w:rPr>
          <w:rFonts w:hint="eastAsia" w:hAnsi="宋体" w:cs="宋体"/>
          <w:color w:val="auto"/>
          <w:szCs w:val="21"/>
        </w:rPr>
        <w:t>本标准规定了</w:t>
      </w:r>
      <w:r>
        <w:rPr>
          <w:rFonts w:hint="eastAsia"/>
          <w:color w:val="auto"/>
          <w:lang w:eastAsia="zh-CN"/>
        </w:rPr>
        <w:t>小麦胚芽</w:t>
      </w:r>
      <w:r>
        <w:rPr>
          <w:rFonts w:hint="eastAsia" w:hAnsi="宋体" w:cs="宋体"/>
          <w:color w:val="auto"/>
          <w:szCs w:val="21"/>
        </w:rPr>
        <w:t>生产加工的</w:t>
      </w:r>
      <w:r>
        <w:rPr>
          <w:rFonts w:hint="eastAsia"/>
          <w:color w:val="auto"/>
        </w:rPr>
        <w:t>基本要求、生产加工过程的卫生要求、生产过程的监控要求</w:t>
      </w:r>
      <w:r>
        <w:rPr>
          <w:rFonts w:hint="eastAsia" w:hAnsi="宋体" w:cs="宋体"/>
          <w:color w:val="auto"/>
          <w:szCs w:val="21"/>
        </w:rPr>
        <w:t>。</w:t>
      </w:r>
    </w:p>
    <w:p>
      <w:pPr>
        <w:pStyle w:val="20"/>
        <w:rPr>
          <w:rFonts w:hint="eastAsia" w:hAnsi="宋体" w:cs="宋体"/>
          <w:szCs w:val="21"/>
        </w:rPr>
      </w:pPr>
      <w:r>
        <w:rPr>
          <w:rFonts w:hint="eastAsia" w:hAnsi="宋体" w:cs="宋体"/>
          <w:color w:val="auto"/>
          <w:szCs w:val="21"/>
        </w:rPr>
        <w:t>本标准适用于</w:t>
      </w:r>
      <w:r>
        <w:rPr>
          <w:rFonts w:hint="eastAsia" w:hAnsi="宋体" w:cs="宋体"/>
          <w:color w:val="auto"/>
          <w:szCs w:val="21"/>
          <w:lang w:eastAsia="zh-CN"/>
        </w:rPr>
        <w:t>小麦胚芽</w:t>
      </w:r>
      <w:r>
        <w:rPr>
          <w:rFonts w:hint="eastAsia" w:hAnsi="宋体" w:cs="宋体"/>
          <w:szCs w:val="21"/>
        </w:rPr>
        <w:t>的加工。</w:t>
      </w:r>
    </w:p>
    <w:p>
      <w:pPr>
        <w:pStyle w:val="78"/>
        <w:rPr>
          <w:rFonts w:hint="eastAsia"/>
        </w:rPr>
      </w:pPr>
      <w:r>
        <w:rPr>
          <w:rFonts w:hint="eastAsia"/>
        </w:rPr>
        <w:t>规范性引用文件</w:t>
      </w:r>
    </w:p>
    <w:p>
      <w:pPr>
        <w:pStyle w:val="20"/>
        <w:rPr>
          <w:rFonts w:hint="eastAsia"/>
        </w:rPr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pStyle w:val="20"/>
        <w:rPr>
          <w:rFonts w:hint="eastAsia"/>
        </w:rPr>
      </w:pPr>
      <w:r>
        <w:rPr>
          <w:rFonts w:hint="eastAsia"/>
        </w:rPr>
        <w:t>GB 2760  食品安全国家标准 食品添加剂使用标准</w:t>
      </w:r>
    </w:p>
    <w:p>
      <w:pPr>
        <w:pStyle w:val="20"/>
        <w:rPr>
          <w:rFonts w:hint="eastAsia"/>
        </w:rPr>
      </w:pPr>
      <w:r>
        <w:rPr>
          <w:rFonts w:hint="eastAsia"/>
        </w:rPr>
        <w:t>GB 5749  生活饮用水卫生标准</w:t>
      </w:r>
    </w:p>
    <w:p>
      <w:pPr>
        <w:pStyle w:val="20"/>
        <w:rPr>
          <w:rFonts w:hint="eastAsia"/>
        </w:rPr>
      </w:pPr>
      <w:r>
        <w:rPr>
          <w:rFonts w:hint="eastAsia"/>
        </w:rPr>
        <w:t>GB 14880  食品安全国家标准 食品营养强化剂使用标准</w:t>
      </w:r>
    </w:p>
    <w:p>
      <w:pPr>
        <w:pStyle w:val="20"/>
        <w:rPr>
          <w:rFonts w:hint="eastAsia"/>
        </w:rPr>
      </w:pPr>
      <w:r>
        <w:rPr>
          <w:rFonts w:hint="eastAsia"/>
        </w:rPr>
        <w:t xml:space="preserve">GB 14881  </w:t>
      </w:r>
      <w:r>
        <w:t>食品安全国家标准 食品生产通用卫生规范</w:t>
      </w:r>
    </w:p>
    <w:p>
      <w:pPr>
        <w:pStyle w:val="20"/>
        <w:rPr>
          <w:rFonts w:hint="eastAsia"/>
        </w:rPr>
      </w:pPr>
      <w:r>
        <w:t>GB/T 17109</w:t>
      </w:r>
      <w:r>
        <w:rPr>
          <w:rFonts w:hint="eastAsia"/>
        </w:rPr>
        <w:t xml:space="preserve">  粮食销售包装</w:t>
      </w:r>
    </w:p>
    <w:p>
      <w:pPr>
        <w:pStyle w:val="20"/>
        <w:rPr>
          <w:rFonts w:hint="eastAsia"/>
        </w:rPr>
      </w:pPr>
      <w:r>
        <w:rPr>
          <w:rFonts w:hint="eastAsia"/>
        </w:rPr>
        <w:t>国家质量监督检验检疫总局令第75号</w:t>
      </w:r>
      <w:r>
        <w:t>[</w:t>
      </w:r>
      <w:r>
        <w:rPr>
          <w:rFonts w:hint="eastAsia"/>
        </w:rPr>
        <w:t>2005</w:t>
      </w:r>
      <w:r>
        <w:t>]</w:t>
      </w:r>
      <w:r>
        <w:rPr>
          <w:rFonts w:hint="eastAsia"/>
        </w:rPr>
        <w:t xml:space="preserve">  定量包装商品计量监督管理办法</w:t>
      </w:r>
    </w:p>
    <w:p>
      <w:pPr>
        <w:pStyle w:val="78"/>
        <w:rPr>
          <w:rFonts w:hint="eastAsia"/>
        </w:rPr>
      </w:pPr>
      <w:r>
        <w:rPr>
          <w:rFonts w:hint="eastAsia"/>
        </w:rPr>
        <w:t>基本要求</w:t>
      </w:r>
    </w:p>
    <w:p>
      <w:pPr>
        <w:pStyle w:val="62"/>
        <w:rPr>
          <w:rFonts w:hint="eastAsia"/>
        </w:rPr>
      </w:pPr>
      <w:r>
        <w:rPr>
          <w:rFonts w:hint="eastAsia"/>
        </w:rPr>
        <w:t>原料</w:t>
      </w:r>
    </w:p>
    <w:p>
      <w:pPr>
        <w:pStyle w:val="20"/>
        <w:rPr>
          <w:rFonts w:hint="eastAsia"/>
        </w:rPr>
      </w:pPr>
      <w:r>
        <w:rPr>
          <w:rFonts w:hint="eastAsia"/>
        </w:rPr>
        <w:t>应符合相应的国家标准和/或有关规定。</w:t>
      </w:r>
    </w:p>
    <w:p>
      <w:pPr>
        <w:pStyle w:val="62"/>
        <w:rPr>
          <w:rFonts w:hint="eastAsia"/>
        </w:rPr>
      </w:pPr>
      <w:r>
        <w:rPr>
          <w:rFonts w:hint="eastAsia"/>
        </w:rPr>
        <w:t>食品添加剂</w:t>
      </w:r>
    </w:p>
    <w:p>
      <w:pPr>
        <w:pStyle w:val="66"/>
        <w:rPr>
          <w:rFonts w:hint="eastAsia"/>
        </w:rPr>
      </w:pPr>
      <w:r>
        <w:rPr>
          <w:rFonts w:hint="eastAsia"/>
        </w:rPr>
        <w:t>食品添加剂品种及其使用量应符合GB 2760的规定。</w:t>
      </w:r>
    </w:p>
    <w:p>
      <w:pPr>
        <w:pStyle w:val="66"/>
        <w:rPr>
          <w:rFonts w:hint="eastAsia"/>
        </w:rPr>
      </w:pPr>
      <w:r>
        <w:rPr>
          <w:rFonts w:hint="eastAsia"/>
        </w:rPr>
        <w:t>营养强化剂品种及其使用量应符合GB 14880的规定。</w:t>
      </w:r>
    </w:p>
    <w:p>
      <w:pPr>
        <w:pStyle w:val="62"/>
        <w:rPr>
          <w:rFonts w:hint="eastAsia"/>
        </w:rPr>
      </w:pPr>
      <w:r>
        <w:rPr>
          <w:rFonts w:hint="eastAsia"/>
        </w:rPr>
        <w:t>加工用水</w:t>
      </w:r>
    </w:p>
    <w:p>
      <w:pPr>
        <w:pStyle w:val="20"/>
        <w:rPr>
          <w:rFonts w:hint="eastAsia"/>
        </w:rPr>
      </w:pPr>
      <w:r>
        <w:rPr>
          <w:rFonts w:hint="eastAsia"/>
        </w:rPr>
        <w:t>加工用水应符合</w:t>
      </w:r>
      <w:r>
        <w:t>GB 5749</w:t>
      </w:r>
      <w:r>
        <w:rPr>
          <w:rFonts w:hint="eastAsia"/>
        </w:rPr>
        <w:t>的规定。</w:t>
      </w:r>
    </w:p>
    <w:p>
      <w:pPr>
        <w:pStyle w:val="62"/>
        <w:rPr>
          <w:rFonts w:hint="eastAsia"/>
        </w:rPr>
      </w:pPr>
      <w:r>
        <w:rPr>
          <w:rFonts w:hint="eastAsia"/>
        </w:rPr>
        <w:t>生产卫生要求</w:t>
      </w:r>
    </w:p>
    <w:p>
      <w:pPr>
        <w:pStyle w:val="20"/>
        <w:rPr>
          <w:rFonts w:hint="eastAsia"/>
        </w:rPr>
      </w:pPr>
      <w:r>
        <w:rPr>
          <w:rFonts w:hint="eastAsia"/>
        </w:rPr>
        <w:t>应符合</w:t>
      </w:r>
      <w:r>
        <w:t>GB 14</w:t>
      </w:r>
      <w:r>
        <w:rPr>
          <w:rFonts w:hint="eastAsia"/>
        </w:rPr>
        <w:t>8</w:t>
      </w:r>
      <w:r>
        <w:t>81</w:t>
      </w:r>
      <w:r>
        <w:rPr>
          <w:rFonts w:hint="eastAsia"/>
        </w:rPr>
        <w:t>的规定。</w:t>
      </w:r>
    </w:p>
    <w:p>
      <w:pPr>
        <w:pStyle w:val="62"/>
        <w:rPr>
          <w:rFonts w:hint="eastAsia"/>
        </w:rPr>
      </w:pPr>
      <w:r>
        <w:rPr>
          <w:rFonts w:hint="eastAsia"/>
        </w:rPr>
        <w:t>运输</w:t>
      </w:r>
    </w:p>
    <w:p>
      <w:pPr>
        <w:pStyle w:val="20"/>
      </w:pPr>
      <w:r>
        <w:rPr>
          <w:rFonts w:hint="eastAsia"/>
        </w:rPr>
        <w:t>应使用符合卫生要求的运输工具，运输过程中应注意防止雨淋和被污染，不应与有毒有害物品同时混装。</w:t>
      </w:r>
    </w:p>
    <w:p>
      <w:pPr>
        <w:pStyle w:val="62"/>
        <w:rPr>
          <w:rFonts w:hint="eastAsia"/>
        </w:rPr>
      </w:pPr>
      <w:r>
        <w:rPr>
          <w:rFonts w:hint="eastAsia"/>
        </w:rPr>
        <w:t>贮存</w:t>
      </w:r>
    </w:p>
    <w:p>
      <w:pPr>
        <w:pStyle w:val="66"/>
        <w:rPr>
          <w:color w:val="auto"/>
        </w:rPr>
      </w:pPr>
      <w:r>
        <w:rPr>
          <w:rFonts w:hint="eastAsia"/>
          <w:color w:val="auto"/>
        </w:rPr>
        <w:t>应设置与生产能力相适应的仓库，仓库应通风良好，并具有防潮、防鼠、防虫措施，不应与有毒有害物质或含水量较高的物质混存。</w:t>
      </w:r>
    </w:p>
    <w:p>
      <w:pPr>
        <w:pStyle w:val="66"/>
        <w:rPr>
          <w:rFonts w:hint="eastAsia" w:hAnsi="宋体" w:cs="宋体"/>
          <w:color w:val="auto"/>
        </w:rPr>
      </w:pPr>
      <w:r>
        <w:rPr>
          <w:rFonts w:hint="eastAsia"/>
          <w:color w:val="auto"/>
        </w:rPr>
        <w:t>码垛堆存放时，垫板与地面间距离不得小于10cm，堆垛应离四周墙壁50cm以上；堆垛与堆垛之间应保留50cm通道。</w:t>
      </w:r>
    </w:p>
    <w:p>
      <w:pPr>
        <w:pStyle w:val="78"/>
        <w:rPr>
          <w:rFonts w:hint="eastAsia"/>
        </w:rPr>
      </w:pPr>
      <w:r>
        <w:rPr>
          <w:rFonts w:hint="eastAsia"/>
          <w:color w:val="auto"/>
        </w:rPr>
        <w:t>生产过程的监</w:t>
      </w:r>
      <w:r>
        <w:rPr>
          <w:rFonts w:hint="eastAsia"/>
        </w:rPr>
        <w:t>控</w:t>
      </w:r>
    </w:p>
    <w:p>
      <w:pPr>
        <w:pStyle w:val="62"/>
        <w:rPr>
          <w:rFonts w:hint="eastAsia"/>
        </w:rPr>
      </w:pPr>
      <w:r>
        <w:rPr>
          <w:rFonts w:hint="eastAsia"/>
        </w:rPr>
        <w:t>加工技术要求</w:t>
      </w:r>
    </w:p>
    <w:p>
      <w:pPr>
        <w:pStyle w:val="20"/>
        <w:rPr>
          <w:rFonts w:hint="eastAsia"/>
        </w:rPr>
      </w:pPr>
      <w:r>
        <w:rPr>
          <w:rFonts w:hint="eastAsia"/>
        </w:rPr>
        <w:t>加工技术要求应符合表1的规定。</w:t>
      </w:r>
    </w:p>
    <w:p>
      <w:pPr>
        <w:pStyle w:val="125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加工技术要求</w:t>
      </w:r>
    </w:p>
    <w:tbl>
      <w:tblPr>
        <w:tblStyle w:val="28"/>
        <w:tblW w:w="945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5250"/>
        <w:gridCol w:w="25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c>
          <w:tcPr>
            <w:tcW w:w="1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18"/>
                <w:highlight w:val="none"/>
              </w:rPr>
              <w:t>工序名称</w:t>
            </w:r>
          </w:p>
        </w:tc>
        <w:tc>
          <w:tcPr>
            <w:tcW w:w="52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18"/>
                <w:highlight w:val="none"/>
              </w:rPr>
              <w:t>加工技术指标</w:t>
            </w:r>
          </w:p>
        </w:tc>
        <w:tc>
          <w:tcPr>
            <w:tcW w:w="25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18"/>
                <w:highlight w:val="none"/>
              </w:rPr>
              <w:t>加工设备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c>
          <w:tcPr>
            <w:tcW w:w="168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highlight w:val="none"/>
                <w:lang w:eastAsia="zh-CN"/>
              </w:rPr>
              <w:t>筛选</w:t>
            </w:r>
          </w:p>
        </w:tc>
        <w:tc>
          <w:tcPr>
            <w:tcW w:w="52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highlight w:val="none"/>
                <w:lang w:eastAsia="zh-CN"/>
              </w:rPr>
              <w:t>第一道杂质去除率≥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highlight w:val="none"/>
                <w:lang w:val="en-US" w:eastAsia="zh-CN"/>
              </w:rPr>
              <w:t>65%，其余各道≥50%</w:t>
            </w:r>
          </w:p>
        </w:tc>
        <w:tc>
          <w:tcPr>
            <w:tcW w:w="25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highlight w:val="none"/>
                <w:lang w:eastAsia="zh-CN"/>
              </w:rPr>
              <w:t>振动筛、平面回转筛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highlight w:val="none"/>
                <w:lang w:eastAsia="zh-CN"/>
              </w:rPr>
              <w:t>磁选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highlight w:val="none"/>
                <w:lang w:eastAsia="zh-CN"/>
              </w:rPr>
              <w:t>磁性金属物含量≤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highlight w:val="none"/>
                <w:lang w:val="en-US" w:eastAsia="zh-CN"/>
              </w:rPr>
              <w:t>0.003g/kg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highlight w:val="none"/>
                <w:lang w:val="en-US" w:eastAsia="zh-CN"/>
              </w:rPr>
              <w:t>磁选机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highlight w:val="none"/>
                <w:lang w:eastAsia="zh-CN"/>
              </w:rPr>
              <w:t>精选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highlight w:val="none"/>
                <w:lang w:eastAsia="zh-CN"/>
              </w:rPr>
              <w:t>去除异种粮粒和杂草种子≥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highlight w:val="none"/>
                <w:lang w:val="en-US" w:eastAsia="zh-CN"/>
              </w:rPr>
              <w:t>75%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highlight w:val="none"/>
                <w:lang w:eastAsia="zh-CN"/>
              </w:rPr>
              <w:t>精选机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t>打麦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highlight w:val="none"/>
                <w:lang w:eastAsia="zh-CN"/>
              </w:rPr>
              <w:t>灰分至少降低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highlight w:val="none"/>
                <w:lang w:val="en-US" w:eastAsia="zh-CN"/>
              </w:rPr>
              <w:t>0.02%，泥块去除至少95%，每次打麦后碎麦增加不超过0.5%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lang w:eastAsia="zh-CN"/>
              </w:rPr>
              <w:t>打麦机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t>去石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lang w:eastAsia="zh-CN"/>
              </w:rPr>
              <w:t>每道砂石去除率≥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lang w:val="en-US" w:eastAsia="zh-CN"/>
              </w:rPr>
              <w:t>95%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lang w:eastAsia="zh-CN"/>
              </w:rPr>
              <w:t>比重去石机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t>润麦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lang w:eastAsia="zh-CN"/>
              </w:rPr>
              <w:t>润麦时间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lang w:val="en-US" w:eastAsia="zh-CN"/>
              </w:rPr>
              <w:t>16h-30h，净麦水分14%-16.5%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lang w:eastAsia="zh-CN"/>
              </w:rPr>
              <w:t>润麦仓、强力着水机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t>破碎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lang w:eastAsia="zh-CN"/>
              </w:rPr>
              <w:t>破碎麦粒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lang w:eastAsia="zh-CN"/>
              </w:rPr>
              <w:t>磨粉机、刷麸机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t>分离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lang w:eastAsia="zh-CN"/>
              </w:rPr>
              <w:t>分离小麦胚芽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lang w:eastAsia="zh-CN"/>
              </w:rPr>
              <w:t>筛理等设备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t>挑拣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lang w:eastAsia="zh-CN"/>
              </w:rPr>
              <w:t>挑拣非小麦胚芽部分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lang w:eastAsia="zh-CN"/>
              </w:rPr>
              <w:t>挑拣设备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t>烘焙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lang w:eastAsia="zh-CN"/>
              </w:rPr>
              <w:t>烤熟晾凉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lang w:val="en-US" w:eastAsia="zh-CN"/>
              </w:rPr>
              <w:t>,包装前小麦胚芽温度≤30℃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lang w:eastAsia="zh-CN"/>
              </w:rPr>
              <w:t>烤箱等设备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包装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</w:rPr>
              <w:t>包装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lang w:eastAsia="zh-CN"/>
              </w:rPr>
              <w:t>基本要求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</w:rPr>
              <w:t>、包装材料、容器应符合GB/T 17109的规定，定量包装净含量应符合《定量包装商品计量监督管理办法》的规定。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</w:rPr>
              <w:t>计量设备、封口设备</w:t>
            </w:r>
          </w:p>
        </w:tc>
      </w:tr>
    </w:tbl>
    <w:p>
      <w:pPr>
        <w:pStyle w:val="62"/>
        <w:rPr>
          <w:rFonts w:hint="eastAsia"/>
        </w:rPr>
      </w:pPr>
      <w:r>
        <w:rPr>
          <w:rFonts w:hint="eastAsia"/>
        </w:rPr>
        <w:t>检验控制</w:t>
      </w:r>
    </w:p>
    <w:p>
      <w:pPr>
        <w:pStyle w:val="66"/>
      </w:pPr>
      <w:r>
        <w:rPr>
          <w:rFonts w:hint="eastAsia"/>
        </w:rPr>
        <w:t>应有与生产能力和品种相适应的检测室和检验设备，并有专职检验人员。</w:t>
      </w:r>
    </w:p>
    <w:p>
      <w:pPr>
        <w:pStyle w:val="66"/>
        <w:rPr>
          <w:rFonts w:hint="eastAsia"/>
        </w:rPr>
      </w:pPr>
      <w:r>
        <w:rPr>
          <w:rFonts w:hint="eastAsia"/>
        </w:rPr>
        <w:t>检验人员应对原料进厂、加工直至成品出厂全过程进行监督检查。</w:t>
      </w:r>
    </w:p>
    <w:p>
      <w:pPr>
        <w:pStyle w:val="62"/>
        <w:rPr>
          <w:rFonts w:hint="eastAsia"/>
        </w:rPr>
      </w:pPr>
      <w:r>
        <w:rPr>
          <w:rFonts w:hint="eastAsia"/>
        </w:rPr>
        <w:t>记录控制</w:t>
      </w:r>
    </w:p>
    <w:p>
      <w:pPr>
        <w:pStyle w:val="66"/>
      </w:pPr>
      <w:r>
        <w:rPr>
          <w:rFonts w:hint="eastAsia"/>
        </w:rPr>
        <w:t>原料、生产加工中的关键控制点和成品检验结果等应有记录。</w:t>
      </w:r>
    </w:p>
    <w:p>
      <w:pPr>
        <w:pStyle w:val="66"/>
      </w:pPr>
      <w:r>
        <w:rPr>
          <w:rFonts w:hint="eastAsia"/>
          <w:lang w:eastAsia="zh-CN"/>
        </w:rPr>
        <w:t>电子版本记录应有备份。纸质版本记录应字迹清晰，易于辨认。</w:t>
      </w:r>
    </w:p>
    <w:p>
      <w:pPr>
        <w:pStyle w:val="66"/>
        <w:rPr>
          <w:rFonts w:hint="eastAsia"/>
        </w:rPr>
      </w:pPr>
      <w:r>
        <w:rPr>
          <w:rFonts w:hint="eastAsia"/>
        </w:rPr>
        <w:t>各项原始记录应按规定保存2年。</w:t>
      </w:r>
      <w:bookmarkStart w:id="21" w:name="_GoBack"/>
      <w:bookmarkEnd w:id="21"/>
    </w:p>
    <w:p>
      <w:pPr>
        <w:pStyle w:val="126"/>
        <w:rPr>
          <w:rFonts w:hint="eastAsia"/>
        </w:rPr>
      </w:pPr>
      <w:r>
        <w:t>_________________________________</w:t>
      </w:r>
    </w:p>
    <w:sectPr>
      <w:headerReference r:id="rId4" w:type="default"/>
      <w:footerReference r:id="rId5" w:type="default"/>
      <w:pgSz w:w="11906" w:h="16838"/>
      <w:pgMar w:top="567" w:right="1134" w:bottom="1134" w:left="1418" w:header="1418" w:footer="1134" w:gutter="0"/>
      <w:pgNumType w:start="1"/>
      <w:cols w:space="720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3"/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8"/>
    </w:pPr>
    <w:r>
      <w:t>DB34/</w:t>
    </w:r>
    <w:r>
      <w:rPr>
        <w:rFonts w:hint="eastAsia"/>
      </w:rPr>
      <w:t>T</w:t>
    </w:r>
    <w:r>
      <w:t xml:space="preserve"> XXXXX—XXXX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8"/>
    </w:pPr>
    <w:r>
      <w:t>DB34/ XXXXX—XXXX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77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41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84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0DDE2B46"/>
    <w:lvl w:ilvl="0" w:tentative="0">
      <w:start w:val="1"/>
      <w:numFmt w:val="lowerLetter"/>
      <w:pStyle w:val="123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1DBF583A"/>
    <w:lvl w:ilvl="0" w:tentative="0">
      <w:start w:val="1"/>
      <w:numFmt w:val="decimal"/>
      <w:pStyle w:val="86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1FC91163"/>
    <w:lvl w:ilvl="0" w:tentative="0">
      <w:start w:val="1"/>
      <w:numFmt w:val="decimal"/>
      <w:pStyle w:val="78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62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6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72"/>
      <w:suff w:val="nothing"/>
      <w:lvlText w:val="%1.%2.%3.%4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3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8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2A8F7113"/>
    <w:multiLevelType w:val="multilevel"/>
    <w:tmpl w:val="2A8F7113"/>
    <w:lvl w:ilvl="0" w:tentative="0">
      <w:start w:val="1"/>
      <w:numFmt w:val="upperLetter"/>
      <w:pStyle w:val="102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03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2C5917C3"/>
    <w:lvl w:ilvl="0" w:tentative="0">
      <w:start w:val="1"/>
      <w:numFmt w:val="none"/>
      <w:pStyle w:val="54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80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85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8">
    <w:nsid w:val="3D733618"/>
    <w:multiLevelType w:val="multilevel"/>
    <w:tmpl w:val="3D733618"/>
    <w:lvl w:ilvl="0" w:tentative="0">
      <w:start w:val="1"/>
      <w:numFmt w:val="decimal"/>
      <w:pStyle w:val="21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9">
    <w:nsid w:val="44C50F90"/>
    <w:multiLevelType w:val="multilevel"/>
    <w:tmpl w:val="44C50F90"/>
    <w:lvl w:ilvl="0" w:tentative="0">
      <w:start w:val="1"/>
      <w:numFmt w:val="lowerLetter"/>
      <w:pStyle w:val="47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pStyle w:val="65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pStyle w:val="67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10">
    <w:nsid w:val="4B733A5F"/>
    <w:multiLevelType w:val="multilevel"/>
    <w:tmpl w:val="4B733A5F"/>
    <w:lvl w:ilvl="0" w:tentative="0">
      <w:start w:val="1"/>
      <w:numFmt w:val="decimal"/>
      <w:pStyle w:val="87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1">
    <w:nsid w:val="557C2AF5"/>
    <w:multiLevelType w:val="multilevel"/>
    <w:tmpl w:val="557C2AF5"/>
    <w:lvl w:ilvl="0" w:tentative="0">
      <w:start w:val="1"/>
      <w:numFmt w:val="decimal"/>
      <w:pStyle w:val="114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2">
    <w:nsid w:val="60B55DC2"/>
    <w:multiLevelType w:val="multilevel"/>
    <w:tmpl w:val="60B55DC2"/>
    <w:lvl w:ilvl="0" w:tentative="0">
      <w:start w:val="1"/>
      <w:numFmt w:val="upperLetter"/>
      <w:pStyle w:val="95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92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3">
    <w:nsid w:val="646260FA"/>
    <w:multiLevelType w:val="multilevel"/>
    <w:tmpl w:val="646260FA"/>
    <w:lvl w:ilvl="0" w:tentative="0">
      <w:start w:val="1"/>
      <w:numFmt w:val="decimal"/>
      <w:pStyle w:val="125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90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0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08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6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79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04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D6C07CD"/>
    <w:multiLevelType w:val="multilevel"/>
    <w:tmpl w:val="6D6C07CD"/>
    <w:lvl w:ilvl="0" w:tentative="0">
      <w:start w:val="1"/>
      <w:numFmt w:val="lowerLetter"/>
      <w:pStyle w:val="60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53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6">
    <w:nsid w:val="6DBF04F4"/>
    <w:multiLevelType w:val="multilevel"/>
    <w:tmpl w:val="6DBF04F4"/>
    <w:lvl w:ilvl="0" w:tentative="0">
      <w:start w:val="1"/>
      <w:numFmt w:val="none"/>
      <w:pStyle w:val="46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9"/>
  </w:num>
  <w:num w:numId="5">
    <w:abstractNumId w:val="15"/>
  </w:num>
  <w:num w:numId="6">
    <w:abstractNumId w:val="7"/>
  </w:num>
  <w:num w:numId="7">
    <w:abstractNumId w:val="14"/>
  </w:num>
  <w:num w:numId="8">
    <w:abstractNumId w:val="5"/>
  </w:num>
  <w:num w:numId="9">
    <w:abstractNumId w:val="0"/>
  </w:num>
  <w:num w:numId="10">
    <w:abstractNumId w:val="2"/>
  </w:num>
  <w:num w:numId="11">
    <w:abstractNumId w:val="4"/>
  </w:num>
  <w:num w:numId="12">
    <w:abstractNumId w:val="10"/>
  </w:num>
  <w:num w:numId="13">
    <w:abstractNumId w:val="12"/>
  </w:num>
  <w:num w:numId="14">
    <w:abstractNumId w:val="6"/>
  </w:num>
  <w:num w:numId="15">
    <w:abstractNumId w:val="11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100000" w:hash="qQgTOWODrDHAgqjk48YQC3gJlQg=" w:salt="xYnILqXxo06J2DdmcwXN4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25"/>
    <w:rsid w:val="00000244"/>
    <w:rsid w:val="0000185F"/>
    <w:rsid w:val="0000586F"/>
    <w:rsid w:val="00013335"/>
    <w:rsid w:val="00013D86"/>
    <w:rsid w:val="00013E02"/>
    <w:rsid w:val="000140C7"/>
    <w:rsid w:val="0002143C"/>
    <w:rsid w:val="0002145A"/>
    <w:rsid w:val="00021F67"/>
    <w:rsid w:val="00025A65"/>
    <w:rsid w:val="00026C31"/>
    <w:rsid w:val="00027280"/>
    <w:rsid w:val="000320A7"/>
    <w:rsid w:val="0003359A"/>
    <w:rsid w:val="00034BCA"/>
    <w:rsid w:val="00035925"/>
    <w:rsid w:val="000438E4"/>
    <w:rsid w:val="00043BA8"/>
    <w:rsid w:val="00045680"/>
    <w:rsid w:val="00057F88"/>
    <w:rsid w:val="000636AB"/>
    <w:rsid w:val="00067C8F"/>
    <w:rsid w:val="00067CDF"/>
    <w:rsid w:val="0007047F"/>
    <w:rsid w:val="00074FBE"/>
    <w:rsid w:val="0008084C"/>
    <w:rsid w:val="00081013"/>
    <w:rsid w:val="00083A09"/>
    <w:rsid w:val="0009005E"/>
    <w:rsid w:val="00092857"/>
    <w:rsid w:val="00094B08"/>
    <w:rsid w:val="00097A8E"/>
    <w:rsid w:val="000A123C"/>
    <w:rsid w:val="000A1398"/>
    <w:rsid w:val="000A20A9"/>
    <w:rsid w:val="000A48B1"/>
    <w:rsid w:val="000B3143"/>
    <w:rsid w:val="000C19B3"/>
    <w:rsid w:val="000C6B05"/>
    <w:rsid w:val="000C6DD6"/>
    <w:rsid w:val="000C73D4"/>
    <w:rsid w:val="000D3D4C"/>
    <w:rsid w:val="000D4F51"/>
    <w:rsid w:val="000D718B"/>
    <w:rsid w:val="000E0408"/>
    <w:rsid w:val="000E0C46"/>
    <w:rsid w:val="000F030C"/>
    <w:rsid w:val="000F129C"/>
    <w:rsid w:val="000F55D2"/>
    <w:rsid w:val="0010325A"/>
    <w:rsid w:val="001056DE"/>
    <w:rsid w:val="00112253"/>
    <w:rsid w:val="001124C0"/>
    <w:rsid w:val="00113C58"/>
    <w:rsid w:val="00120BAF"/>
    <w:rsid w:val="00121791"/>
    <w:rsid w:val="00126220"/>
    <w:rsid w:val="0013175F"/>
    <w:rsid w:val="00133923"/>
    <w:rsid w:val="00141B3D"/>
    <w:rsid w:val="001512B4"/>
    <w:rsid w:val="00154ED5"/>
    <w:rsid w:val="00156150"/>
    <w:rsid w:val="0015657A"/>
    <w:rsid w:val="0016033C"/>
    <w:rsid w:val="00161B4B"/>
    <w:rsid w:val="001620A5"/>
    <w:rsid w:val="00163201"/>
    <w:rsid w:val="00164E53"/>
    <w:rsid w:val="0016699D"/>
    <w:rsid w:val="00171708"/>
    <w:rsid w:val="001721F9"/>
    <w:rsid w:val="00175159"/>
    <w:rsid w:val="00176208"/>
    <w:rsid w:val="00176609"/>
    <w:rsid w:val="00180222"/>
    <w:rsid w:val="00180F79"/>
    <w:rsid w:val="0018211B"/>
    <w:rsid w:val="00183618"/>
    <w:rsid w:val="001840D3"/>
    <w:rsid w:val="0018488C"/>
    <w:rsid w:val="00185491"/>
    <w:rsid w:val="001900F8"/>
    <w:rsid w:val="00191258"/>
    <w:rsid w:val="00192680"/>
    <w:rsid w:val="00193037"/>
    <w:rsid w:val="00193A2C"/>
    <w:rsid w:val="00195880"/>
    <w:rsid w:val="001A147F"/>
    <w:rsid w:val="001A288E"/>
    <w:rsid w:val="001A4500"/>
    <w:rsid w:val="001A6BCF"/>
    <w:rsid w:val="001A7072"/>
    <w:rsid w:val="001A7478"/>
    <w:rsid w:val="001B0A02"/>
    <w:rsid w:val="001B4A73"/>
    <w:rsid w:val="001B6DC2"/>
    <w:rsid w:val="001C0204"/>
    <w:rsid w:val="001C06E6"/>
    <w:rsid w:val="001C149C"/>
    <w:rsid w:val="001C1968"/>
    <w:rsid w:val="001C1DB6"/>
    <w:rsid w:val="001C21AC"/>
    <w:rsid w:val="001C4240"/>
    <w:rsid w:val="001C47BA"/>
    <w:rsid w:val="001C59EA"/>
    <w:rsid w:val="001D28C2"/>
    <w:rsid w:val="001D406C"/>
    <w:rsid w:val="001D41EE"/>
    <w:rsid w:val="001E0380"/>
    <w:rsid w:val="001E13B1"/>
    <w:rsid w:val="001E772C"/>
    <w:rsid w:val="001F0342"/>
    <w:rsid w:val="001F3A19"/>
    <w:rsid w:val="001F4B55"/>
    <w:rsid w:val="0020381D"/>
    <w:rsid w:val="00203CD0"/>
    <w:rsid w:val="00211E97"/>
    <w:rsid w:val="00230EA3"/>
    <w:rsid w:val="00231C90"/>
    <w:rsid w:val="00234467"/>
    <w:rsid w:val="00237D8D"/>
    <w:rsid w:val="0024031C"/>
    <w:rsid w:val="00240DCF"/>
    <w:rsid w:val="00241DA2"/>
    <w:rsid w:val="00245C95"/>
    <w:rsid w:val="00246373"/>
    <w:rsid w:val="00247FEE"/>
    <w:rsid w:val="00250E7D"/>
    <w:rsid w:val="00254A6D"/>
    <w:rsid w:val="002565D5"/>
    <w:rsid w:val="002622C0"/>
    <w:rsid w:val="0026492D"/>
    <w:rsid w:val="00270908"/>
    <w:rsid w:val="00276FF1"/>
    <w:rsid w:val="002778AE"/>
    <w:rsid w:val="0028269A"/>
    <w:rsid w:val="00283590"/>
    <w:rsid w:val="00285C5D"/>
    <w:rsid w:val="00286973"/>
    <w:rsid w:val="00294E70"/>
    <w:rsid w:val="002A1924"/>
    <w:rsid w:val="002A3615"/>
    <w:rsid w:val="002A56BE"/>
    <w:rsid w:val="002A706E"/>
    <w:rsid w:val="002A7420"/>
    <w:rsid w:val="002A7B71"/>
    <w:rsid w:val="002B00B4"/>
    <w:rsid w:val="002B0F12"/>
    <w:rsid w:val="002B1308"/>
    <w:rsid w:val="002B39F1"/>
    <w:rsid w:val="002B4554"/>
    <w:rsid w:val="002B5690"/>
    <w:rsid w:val="002B7644"/>
    <w:rsid w:val="002B7C84"/>
    <w:rsid w:val="002C4F94"/>
    <w:rsid w:val="002C643F"/>
    <w:rsid w:val="002C72D8"/>
    <w:rsid w:val="002D11FA"/>
    <w:rsid w:val="002E0DDF"/>
    <w:rsid w:val="002E2906"/>
    <w:rsid w:val="002E5635"/>
    <w:rsid w:val="002E5BB0"/>
    <w:rsid w:val="002E5BEA"/>
    <w:rsid w:val="002E64C3"/>
    <w:rsid w:val="002E6A2C"/>
    <w:rsid w:val="002F17B7"/>
    <w:rsid w:val="002F1D8C"/>
    <w:rsid w:val="002F21DA"/>
    <w:rsid w:val="002F44A1"/>
    <w:rsid w:val="00301F39"/>
    <w:rsid w:val="00310E17"/>
    <w:rsid w:val="003141E2"/>
    <w:rsid w:val="00320D12"/>
    <w:rsid w:val="0032330C"/>
    <w:rsid w:val="00325926"/>
    <w:rsid w:val="003274D6"/>
    <w:rsid w:val="00327A8A"/>
    <w:rsid w:val="00332C06"/>
    <w:rsid w:val="003331BC"/>
    <w:rsid w:val="00334A77"/>
    <w:rsid w:val="00336610"/>
    <w:rsid w:val="00343F73"/>
    <w:rsid w:val="00345060"/>
    <w:rsid w:val="00350F87"/>
    <w:rsid w:val="0035323B"/>
    <w:rsid w:val="003603AC"/>
    <w:rsid w:val="003609D2"/>
    <w:rsid w:val="00363F22"/>
    <w:rsid w:val="00367656"/>
    <w:rsid w:val="003733A0"/>
    <w:rsid w:val="00375564"/>
    <w:rsid w:val="00381EE1"/>
    <w:rsid w:val="00383191"/>
    <w:rsid w:val="00384D43"/>
    <w:rsid w:val="00386DED"/>
    <w:rsid w:val="00387EE8"/>
    <w:rsid w:val="003912E7"/>
    <w:rsid w:val="00393947"/>
    <w:rsid w:val="00393E3B"/>
    <w:rsid w:val="00395E5B"/>
    <w:rsid w:val="003A2275"/>
    <w:rsid w:val="003A3AE1"/>
    <w:rsid w:val="003A492F"/>
    <w:rsid w:val="003A6A4F"/>
    <w:rsid w:val="003A7088"/>
    <w:rsid w:val="003B00DF"/>
    <w:rsid w:val="003B1275"/>
    <w:rsid w:val="003B1778"/>
    <w:rsid w:val="003B60D1"/>
    <w:rsid w:val="003C11CB"/>
    <w:rsid w:val="003C13AA"/>
    <w:rsid w:val="003C75F3"/>
    <w:rsid w:val="003C78A3"/>
    <w:rsid w:val="003D1349"/>
    <w:rsid w:val="003D402E"/>
    <w:rsid w:val="003E1867"/>
    <w:rsid w:val="003E5729"/>
    <w:rsid w:val="003F38A8"/>
    <w:rsid w:val="003F4EE0"/>
    <w:rsid w:val="003F6EFC"/>
    <w:rsid w:val="003F6F9D"/>
    <w:rsid w:val="00400607"/>
    <w:rsid w:val="00402153"/>
    <w:rsid w:val="00402FC1"/>
    <w:rsid w:val="00405DBB"/>
    <w:rsid w:val="004136F8"/>
    <w:rsid w:val="004209D8"/>
    <w:rsid w:val="00423868"/>
    <w:rsid w:val="00425082"/>
    <w:rsid w:val="00426D05"/>
    <w:rsid w:val="00430913"/>
    <w:rsid w:val="00431DEB"/>
    <w:rsid w:val="00446B29"/>
    <w:rsid w:val="004479B6"/>
    <w:rsid w:val="00453F9A"/>
    <w:rsid w:val="0046170F"/>
    <w:rsid w:val="00470071"/>
    <w:rsid w:val="00471E91"/>
    <w:rsid w:val="00474675"/>
    <w:rsid w:val="0047470C"/>
    <w:rsid w:val="004A1560"/>
    <w:rsid w:val="004A35F9"/>
    <w:rsid w:val="004A3BF9"/>
    <w:rsid w:val="004A406D"/>
    <w:rsid w:val="004A6E3E"/>
    <w:rsid w:val="004A714E"/>
    <w:rsid w:val="004B24C1"/>
    <w:rsid w:val="004B50BB"/>
    <w:rsid w:val="004B55DF"/>
    <w:rsid w:val="004C082D"/>
    <w:rsid w:val="004C0C28"/>
    <w:rsid w:val="004C0E19"/>
    <w:rsid w:val="004C292F"/>
    <w:rsid w:val="004C38AB"/>
    <w:rsid w:val="004C75CE"/>
    <w:rsid w:val="004C795A"/>
    <w:rsid w:val="004D37F3"/>
    <w:rsid w:val="00510280"/>
    <w:rsid w:val="00513D73"/>
    <w:rsid w:val="00514A43"/>
    <w:rsid w:val="00514CEC"/>
    <w:rsid w:val="005174E5"/>
    <w:rsid w:val="00521760"/>
    <w:rsid w:val="00522393"/>
    <w:rsid w:val="00522620"/>
    <w:rsid w:val="00523CEB"/>
    <w:rsid w:val="00525656"/>
    <w:rsid w:val="00534C02"/>
    <w:rsid w:val="00536C5D"/>
    <w:rsid w:val="0054264B"/>
    <w:rsid w:val="00543786"/>
    <w:rsid w:val="005437DE"/>
    <w:rsid w:val="005476F6"/>
    <w:rsid w:val="00551754"/>
    <w:rsid w:val="005533D7"/>
    <w:rsid w:val="00560E91"/>
    <w:rsid w:val="005631E4"/>
    <w:rsid w:val="005635C1"/>
    <w:rsid w:val="005703DE"/>
    <w:rsid w:val="0057114B"/>
    <w:rsid w:val="0057660B"/>
    <w:rsid w:val="005823D5"/>
    <w:rsid w:val="0058464E"/>
    <w:rsid w:val="00591A59"/>
    <w:rsid w:val="00592DE3"/>
    <w:rsid w:val="005A01CB"/>
    <w:rsid w:val="005A327E"/>
    <w:rsid w:val="005A502C"/>
    <w:rsid w:val="005A5830"/>
    <w:rsid w:val="005A58FF"/>
    <w:rsid w:val="005A5EAF"/>
    <w:rsid w:val="005A64C0"/>
    <w:rsid w:val="005B3C11"/>
    <w:rsid w:val="005B4C66"/>
    <w:rsid w:val="005B6AC0"/>
    <w:rsid w:val="005C0802"/>
    <w:rsid w:val="005C1C28"/>
    <w:rsid w:val="005C6DB5"/>
    <w:rsid w:val="005D3C83"/>
    <w:rsid w:val="005E10DC"/>
    <w:rsid w:val="005E19E7"/>
    <w:rsid w:val="005E79F0"/>
    <w:rsid w:val="00601925"/>
    <w:rsid w:val="00603761"/>
    <w:rsid w:val="006041B3"/>
    <w:rsid w:val="00610ED8"/>
    <w:rsid w:val="00615036"/>
    <w:rsid w:val="0061716C"/>
    <w:rsid w:val="00617F86"/>
    <w:rsid w:val="006243A1"/>
    <w:rsid w:val="00632E56"/>
    <w:rsid w:val="00634631"/>
    <w:rsid w:val="00635CBA"/>
    <w:rsid w:val="00637DD2"/>
    <w:rsid w:val="0064338B"/>
    <w:rsid w:val="00643694"/>
    <w:rsid w:val="00646542"/>
    <w:rsid w:val="006504F4"/>
    <w:rsid w:val="006540E0"/>
    <w:rsid w:val="00654BC9"/>
    <w:rsid w:val="006552FD"/>
    <w:rsid w:val="006616EB"/>
    <w:rsid w:val="00663AF3"/>
    <w:rsid w:val="00666B6C"/>
    <w:rsid w:val="006676B7"/>
    <w:rsid w:val="00670306"/>
    <w:rsid w:val="00682682"/>
    <w:rsid w:val="00682702"/>
    <w:rsid w:val="00686D61"/>
    <w:rsid w:val="00691A3E"/>
    <w:rsid w:val="00692368"/>
    <w:rsid w:val="00696162"/>
    <w:rsid w:val="0069744D"/>
    <w:rsid w:val="006A2EBC"/>
    <w:rsid w:val="006A46E2"/>
    <w:rsid w:val="006A5EA0"/>
    <w:rsid w:val="006A783B"/>
    <w:rsid w:val="006A7B33"/>
    <w:rsid w:val="006B4E13"/>
    <w:rsid w:val="006B5A1E"/>
    <w:rsid w:val="006B75DD"/>
    <w:rsid w:val="006C67E0"/>
    <w:rsid w:val="006C7ABA"/>
    <w:rsid w:val="006D09F5"/>
    <w:rsid w:val="006D0D60"/>
    <w:rsid w:val="006D1122"/>
    <w:rsid w:val="006D13D7"/>
    <w:rsid w:val="006D14C0"/>
    <w:rsid w:val="006D3C00"/>
    <w:rsid w:val="006E3675"/>
    <w:rsid w:val="006E4A7F"/>
    <w:rsid w:val="006E6A94"/>
    <w:rsid w:val="006F077C"/>
    <w:rsid w:val="006F0C55"/>
    <w:rsid w:val="006F0F7B"/>
    <w:rsid w:val="006F119A"/>
    <w:rsid w:val="006F71CD"/>
    <w:rsid w:val="007015F6"/>
    <w:rsid w:val="00704BA4"/>
    <w:rsid w:val="00704DF6"/>
    <w:rsid w:val="0070651C"/>
    <w:rsid w:val="007132A3"/>
    <w:rsid w:val="007157A5"/>
    <w:rsid w:val="00716421"/>
    <w:rsid w:val="00724EFB"/>
    <w:rsid w:val="00726FBC"/>
    <w:rsid w:val="007379F1"/>
    <w:rsid w:val="007419C3"/>
    <w:rsid w:val="007421B1"/>
    <w:rsid w:val="00743349"/>
    <w:rsid w:val="007467A7"/>
    <w:rsid w:val="007469DD"/>
    <w:rsid w:val="0074741B"/>
    <w:rsid w:val="0074759E"/>
    <w:rsid w:val="0074763B"/>
    <w:rsid w:val="007478EA"/>
    <w:rsid w:val="0075381C"/>
    <w:rsid w:val="0075415C"/>
    <w:rsid w:val="0076200E"/>
    <w:rsid w:val="00763502"/>
    <w:rsid w:val="00764780"/>
    <w:rsid w:val="00767A83"/>
    <w:rsid w:val="00773E60"/>
    <w:rsid w:val="007812C9"/>
    <w:rsid w:val="00785249"/>
    <w:rsid w:val="007913AB"/>
    <w:rsid w:val="007914F7"/>
    <w:rsid w:val="00792A91"/>
    <w:rsid w:val="007944F1"/>
    <w:rsid w:val="007A4291"/>
    <w:rsid w:val="007B1625"/>
    <w:rsid w:val="007B39A0"/>
    <w:rsid w:val="007B4374"/>
    <w:rsid w:val="007B4AA3"/>
    <w:rsid w:val="007B706E"/>
    <w:rsid w:val="007B71EB"/>
    <w:rsid w:val="007C6205"/>
    <w:rsid w:val="007C686A"/>
    <w:rsid w:val="007C6EFB"/>
    <w:rsid w:val="007C728E"/>
    <w:rsid w:val="007D2C53"/>
    <w:rsid w:val="007D3D60"/>
    <w:rsid w:val="007D4BBD"/>
    <w:rsid w:val="007D50DC"/>
    <w:rsid w:val="007E1980"/>
    <w:rsid w:val="007E28A2"/>
    <w:rsid w:val="007E4B76"/>
    <w:rsid w:val="007E5EA8"/>
    <w:rsid w:val="007E753B"/>
    <w:rsid w:val="007E7F85"/>
    <w:rsid w:val="007F0CF1"/>
    <w:rsid w:val="007F12A5"/>
    <w:rsid w:val="007F41C2"/>
    <w:rsid w:val="007F4CF1"/>
    <w:rsid w:val="007F758D"/>
    <w:rsid w:val="007F7D52"/>
    <w:rsid w:val="00800CE5"/>
    <w:rsid w:val="008040F3"/>
    <w:rsid w:val="0080654C"/>
    <w:rsid w:val="008071C6"/>
    <w:rsid w:val="00813E51"/>
    <w:rsid w:val="00817A00"/>
    <w:rsid w:val="00824C76"/>
    <w:rsid w:val="00834848"/>
    <w:rsid w:val="00835578"/>
    <w:rsid w:val="00835DB3"/>
    <w:rsid w:val="00835FC4"/>
    <w:rsid w:val="0083617B"/>
    <w:rsid w:val="008371BD"/>
    <w:rsid w:val="00846F54"/>
    <w:rsid w:val="0084797B"/>
    <w:rsid w:val="008504A8"/>
    <w:rsid w:val="0085282E"/>
    <w:rsid w:val="0085567F"/>
    <w:rsid w:val="00862011"/>
    <w:rsid w:val="00862C22"/>
    <w:rsid w:val="00863D87"/>
    <w:rsid w:val="00867B0D"/>
    <w:rsid w:val="0087198C"/>
    <w:rsid w:val="00872C1F"/>
    <w:rsid w:val="00872CE2"/>
    <w:rsid w:val="00873B42"/>
    <w:rsid w:val="00882894"/>
    <w:rsid w:val="008856D8"/>
    <w:rsid w:val="00892E82"/>
    <w:rsid w:val="008A0707"/>
    <w:rsid w:val="008B32EB"/>
    <w:rsid w:val="008C0E2A"/>
    <w:rsid w:val="008C1B58"/>
    <w:rsid w:val="008C322B"/>
    <w:rsid w:val="008C39AE"/>
    <w:rsid w:val="008C590D"/>
    <w:rsid w:val="008D4394"/>
    <w:rsid w:val="008D45C8"/>
    <w:rsid w:val="008D6733"/>
    <w:rsid w:val="008E031B"/>
    <w:rsid w:val="008E7029"/>
    <w:rsid w:val="008E7EF6"/>
    <w:rsid w:val="008F0812"/>
    <w:rsid w:val="008F1F98"/>
    <w:rsid w:val="008F6758"/>
    <w:rsid w:val="0090024D"/>
    <w:rsid w:val="0090216F"/>
    <w:rsid w:val="009040DD"/>
    <w:rsid w:val="00904C46"/>
    <w:rsid w:val="00905B47"/>
    <w:rsid w:val="00906D5A"/>
    <w:rsid w:val="009112A1"/>
    <w:rsid w:val="0091331C"/>
    <w:rsid w:val="00920B92"/>
    <w:rsid w:val="00922C51"/>
    <w:rsid w:val="009279DE"/>
    <w:rsid w:val="00930116"/>
    <w:rsid w:val="00934E30"/>
    <w:rsid w:val="00935360"/>
    <w:rsid w:val="009365E7"/>
    <w:rsid w:val="00940A5D"/>
    <w:rsid w:val="0094212C"/>
    <w:rsid w:val="009421D5"/>
    <w:rsid w:val="00954689"/>
    <w:rsid w:val="00960159"/>
    <w:rsid w:val="0096157A"/>
    <w:rsid w:val="009617C9"/>
    <w:rsid w:val="00961C93"/>
    <w:rsid w:val="00961EF2"/>
    <w:rsid w:val="00965324"/>
    <w:rsid w:val="0097091E"/>
    <w:rsid w:val="009760D3"/>
    <w:rsid w:val="00977132"/>
    <w:rsid w:val="009771C3"/>
    <w:rsid w:val="00981A4B"/>
    <w:rsid w:val="00982501"/>
    <w:rsid w:val="009830BF"/>
    <w:rsid w:val="00985451"/>
    <w:rsid w:val="009877D3"/>
    <w:rsid w:val="00994E8F"/>
    <w:rsid w:val="009951DC"/>
    <w:rsid w:val="009959BB"/>
    <w:rsid w:val="00997158"/>
    <w:rsid w:val="009978DA"/>
    <w:rsid w:val="009A3A7C"/>
    <w:rsid w:val="009A5C6F"/>
    <w:rsid w:val="009B0018"/>
    <w:rsid w:val="009B0802"/>
    <w:rsid w:val="009B2ADB"/>
    <w:rsid w:val="009B603A"/>
    <w:rsid w:val="009C1200"/>
    <w:rsid w:val="009C2D0E"/>
    <w:rsid w:val="009C3DAC"/>
    <w:rsid w:val="009C42E0"/>
    <w:rsid w:val="009C763C"/>
    <w:rsid w:val="009D3625"/>
    <w:rsid w:val="009D5362"/>
    <w:rsid w:val="009D5849"/>
    <w:rsid w:val="009E1415"/>
    <w:rsid w:val="009E5F23"/>
    <w:rsid w:val="009E6116"/>
    <w:rsid w:val="009F62ED"/>
    <w:rsid w:val="00A02E43"/>
    <w:rsid w:val="00A065F9"/>
    <w:rsid w:val="00A068F6"/>
    <w:rsid w:val="00A07600"/>
    <w:rsid w:val="00A07F34"/>
    <w:rsid w:val="00A102A4"/>
    <w:rsid w:val="00A113CD"/>
    <w:rsid w:val="00A22154"/>
    <w:rsid w:val="00A25C38"/>
    <w:rsid w:val="00A32970"/>
    <w:rsid w:val="00A35527"/>
    <w:rsid w:val="00A36BBE"/>
    <w:rsid w:val="00A42EC2"/>
    <w:rsid w:val="00A4307A"/>
    <w:rsid w:val="00A47EBB"/>
    <w:rsid w:val="00A51CDD"/>
    <w:rsid w:val="00A542DD"/>
    <w:rsid w:val="00A57776"/>
    <w:rsid w:val="00A57BA7"/>
    <w:rsid w:val="00A62313"/>
    <w:rsid w:val="00A6730D"/>
    <w:rsid w:val="00A71625"/>
    <w:rsid w:val="00A71B9B"/>
    <w:rsid w:val="00A751C7"/>
    <w:rsid w:val="00A771E9"/>
    <w:rsid w:val="00A802BD"/>
    <w:rsid w:val="00A83249"/>
    <w:rsid w:val="00A83F5D"/>
    <w:rsid w:val="00A86325"/>
    <w:rsid w:val="00A87844"/>
    <w:rsid w:val="00A87C2E"/>
    <w:rsid w:val="00A901FB"/>
    <w:rsid w:val="00A91178"/>
    <w:rsid w:val="00AA038C"/>
    <w:rsid w:val="00AA2260"/>
    <w:rsid w:val="00AA7A09"/>
    <w:rsid w:val="00AB2090"/>
    <w:rsid w:val="00AB2720"/>
    <w:rsid w:val="00AB31F3"/>
    <w:rsid w:val="00AB3B50"/>
    <w:rsid w:val="00AB7E33"/>
    <w:rsid w:val="00AC05B1"/>
    <w:rsid w:val="00AC3381"/>
    <w:rsid w:val="00AD356C"/>
    <w:rsid w:val="00AD7EB2"/>
    <w:rsid w:val="00AE2914"/>
    <w:rsid w:val="00AE2E91"/>
    <w:rsid w:val="00AE6D15"/>
    <w:rsid w:val="00AF236C"/>
    <w:rsid w:val="00B04182"/>
    <w:rsid w:val="00B07AE3"/>
    <w:rsid w:val="00B10993"/>
    <w:rsid w:val="00B11430"/>
    <w:rsid w:val="00B25B72"/>
    <w:rsid w:val="00B2747D"/>
    <w:rsid w:val="00B305EA"/>
    <w:rsid w:val="00B307C2"/>
    <w:rsid w:val="00B353EB"/>
    <w:rsid w:val="00B439C4"/>
    <w:rsid w:val="00B44E22"/>
    <w:rsid w:val="00B4535E"/>
    <w:rsid w:val="00B52A8C"/>
    <w:rsid w:val="00B60D8D"/>
    <w:rsid w:val="00B636A8"/>
    <w:rsid w:val="00B665C6"/>
    <w:rsid w:val="00B74818"/>
    <w:rsid w:val="00B74A3D"/>
    <w:rsid w:val="00B77222"/>
    <w:rsid w:val="00B805AF"/>
    <w:rsid w:val="00B869EC"/>
    <w:rsid w:val="00B9397A"/>
    <w:rsid w:val="00B95410"/>
    <w:rsid w:val="00B9633D"/>
    <w:rsid w:val="00BA2EBE"/>
    <w:rsid w:val="00BA7784"/>
    <w:rsid w:val="00BB0F28"/>
    <w:rsid w:val="00BB13B5"/>
    <w:rsid w:val="00BB1861"/>
    <w:rsid w:val="00BB3BD5"/>
    <w:rsid w:val="00BB458A"/>
    <w:rsid w:val="00BD00D3"/>
    <w:rsid w:val="00BD0EA3"/>
    <w:rsid w:val="00BD1659"/>
    <w:rsid w:val="00BD3AA9"/>
    <w:rsid w:val="00BD4370"/>
    <w:rsid w:val="00BD4A18"/>
    <w:rsid w:val="00BD6DB2"/>
    <w:rsid w:val="00BD7CF3"/>
    <w:rsid w:val="00BE11CF"/>
    <w:rsid w:val="00BE21AB"/>
    <w:rsid w:val="00BE2232"/>
    <w:rsid w:val="00BE55CB"/>
    <w:rsid w:val="00BE79D2"/>
    <w:rsid w:val="00BF3962"/>
    <w:rsid w:val="00BF617A"/>
    <w:rsid w:val="00C00139"/>
    <w:rsid w:val="00C0379D"/>
    <w:rsid w:val="00C03931"/>
    <w:rsid w:val="00C05FE3"/>
    <w:rsid w:val="00C06CD1"/>
    <w:rsid w:val="00C118CB"/>
    <w:rsid w:val="00C2028B"/>
    <w:rsid w:val="00C2136D"/>
    <w:rsid w:val="00C214EE"/>
    <w:rsid w:val="00C2314B"/>
    <w:rsid w:val="00C24971"/>
    <w:rsid w:val="00C253CE"/>
    <w:rsid w:val="00C25619"/>
    <w:rsid w:val="00C26A6D"/>
    <w:rsid w:val="00C26BE5"/>
    <w:rsid w:val="00C26E4D"/>
    <w:rsid w:val="00C27909"/>
    <w:rsid w:val="00C27B03"/>
    <w:rsid w:val="00C30D73"/>
    <w:rsid w:val="00C314E1"/>
    <w:rsid w:val="00C33877"/>
    <w:rsid w:val="00C34397"/>
    <w:rsid w:val="00C34D79"/>
    <w:rsid w:val="00C4095D"/>
    <w:rsid w:val="00C41FFA"/>
    <w:rsid w:val="00C52472"/>
    <w:rsid w:val="00C53D99"/>
    <w:rsid w:val="00C601D2"/>
    <w:rsid w:val="00C65BCC"/>
    <w:rsid w:val="00C66970"/>
    <w:rsid w:val="00C67726"/>
    <w:rsid w:val="00C74437"/>
    <w:rsid w:val="00C75E04"/>
    <w:rsid w:val="00C77C3B"/>
    <w:rsid w:val="00C816D6"/>
    <w:rsid w:val="00C8691C"/>
    <w:rsid w:val="00C93669"/>
    <w:rsid w:val="00C9695D"/>
    <w:rsid w:val="00CA0884"/>
    <w:rsid w:val="00CA168A"/>
    <w:rsid w:val="00CA357E"/>
    <w:rsid w:val="00CA44F9"/>
    <w:rsid w:val="00CA4A69"/>
    <w:rsid w:val="00CA4D9D"/>
    <w:rsid w:val="00CA7E8B"/>
    <w:rsid w:val="00CC3B43"/>
    <w:rsid w:val="00CC3E0C"/>
    <w:rsid w:val="00CC58D3"/>
    <w:rsid w:val="00CC7616"/>
    <w:rsid w:val="00CC784D"/>
    <w:rsid w:val="00CD1087"/>
    <w:rsid w:val="00CE52B0"/>
    <w:rsid w:val="00D00F64"/>
    <w:rsid w:val="00D0337B"/>
    <w:rsid w:val="00D079B2"/>
    <w:rsid w:val="00D114E9"/>
    <w:rsid w:val="00D2651D"/>
    <w:rsid w:val="00D315DB"/>
    <w:rsid w:val="00D33925"/>
    <w:rsid w:val="00D356E9"/>
    <w:rsid w:val="00D429C6"/>
    <w:rsid w:val="00D47748"/>
    <w:rsid w:val="00D50DD6"/>
    <w:rsid w:val="00D538E6"/>
    <w:rsid w:val="00D53A45"/>
    <w:rsid w:val="00D54CC3"/>
    <w:rsid w:val="00D6041A"/>
    <w:rsid w:val="00D633EB"/>
    <w:rsid w:val="00D658D3"/>
    <w:rsid w:val="00D77180"/>
    <w:rsid w:val="00D8068F"/>
    <w:rsid w:val="00D8157F"/>
    <w:rsid w:val="00D818DF"/>
    <w:rsid w:val="00D82FF7"/>
    <w:rsid w:val="00D847FE"/>
    <w:rsid w:val="00D855FD"/>
    <w:rsid w:val="00D85F2A"/>
    <w:rsid w:val="00D85FF6"/>
    <w:rsid w:val="00D92C07"/>
    <w:rsid w:val="00D93C5E"/>
    <w:rsid w:val="00D95311"/>
    <w:rsid w:val="00D964EA"/>
    <w:rsid w:val="00D966D0"/>
    <w:rsid w:val="00D969EB"/>
    <w:rsid w:val="00DA0C59"/>
    <w:rsid w:val="00DA3991"/>
    <w:rsid w:val="00DA5FD9"/>
    <w:rsid w:val="00DB6BC8"/>
    <w:rsid w:val="00DB7E6C"/>
    <w:rsid w:val="00DD5A29"/>
    <w:rsid w:val="00DD5D9D"/>
    <w:rsid w:val="00DE1DD8"/>
    <w:rsid w:val="00DE35CB"/>
    <w:rsid w:val="00DE3F63"/>
    <w:rsid w:val="00DF18E9"/>
    <w:rsid w:val="00DF21E9"/>
    <w:rsid w:val="00DF2733"/>
    <w:rsid w:val="00E00F14"/>
    <w:rsid w:val="00E02E50"/>
    <w:rsid w:val="00E06386"/>
    <w:rsid w:val="00E06481"/>
    <w:rsid w:val="00E07CF9"/>
    <w:rsid w:val="00E132A5"/>
    <w:rsid w:val="00E16D3B"/>
    <w:rsid w:val="00E24EB4"/>
    <w:rsid w:val="00E310C6"/>
    <w:rsid w:val="00E313B4"/>
    <w:rsid w:val="00E320ED"/>
    <w:rsid w:val="00E33AFB"/>
    <w:rsid w:val="00E34218"/>
    <w:rsid w:val="00E46282"/>
    <w:rsid w:val="00E5216E"/>
    <w:rsid w:val="00E54CD9"/>
    <w:rsid w:val="00E60038"/>
    <w:rsid w:val="00E601C5"/>
    <w:rsid w:val="00E80719"/>
    <w:rsid w:val="00E81A62"/>
    <w:rsid w:val="00E82344"/>
    <w:rsid w:val="00E84C82"/>
    <w:rsid w:val="00E84D64"/>
    <w:rsid w:val="00E86463"/>
    <w:rsid w:val="00E87408"/>
    <w:rsid w:val="00E914C4"/>
    <w:rsid w:val="00E918DB"/>
    <w:rsid w:val="00E934F5"/>
    <w:rsid w:val="00E96961"/>
    <w:rsid w:val="00E96D5E"/>
    <w:rsid w:val="00EA1FDE"/>
    <w:rsid w:val="00EA2CD7"/>
    <w:rsid w:val="00EA72EC"/>
    <w:rsid w:val="00EB11CB"/>
    <w:rsid w:val="00EB275A"/>
    <w:rsid w:val="00EB786A"/>
    <w:rsid w:val="00EC087B"/>
    <w:rsid w:val="00EC1578"/>
    <w:rsid w:val="00EC1C72"/>
    <w:rsid w:val="00EC1FAD"/>
    <w:rsid w:val="00EC3CC9"/>
    <w:rsid w:val="00EC680A"/>
    <w:rsid w:val="00ED5336"/>
    <w:rsid w:val="00EE1E97"/>
    <w:rsid w:val="00EE2BED"/>
    <w:rsid w:val="00EE374B"/>
    <w:rsid w:val="00EF7C27"/>
    <w:rsid w:val="00F03516"/>
    <w:rsid w:val="00F0418A"/>
    <w:rsid w:val="00F045FF"/>
    <w:rsid w:val="00F11BB5"/>
    <w:rsid w:val="00F1417B"/>
    <w:rsid w:val="00F1470D"/>
    <w:rsid w:val="00F14EB0"/>
    <w:rsid w:val="00F22A19"/>
    <w:rsid w:val="00F34B99"/>
    <w:rsid w:val="00F40823"/>
    <w:rsid w:val="00F5085B"/>
    <w:rsid w:val="00F52DAB"/>
    <w:rsid w:val="00F543F0"/>
    <w:rsid w:val="00F61694"/>
    <w:rsid w:val="00F62A49"/>
    <w:rsid w:val="00F70DF3"/>
    <w:rsid w:val="00F81A27"/>
    <w:rsid w:val="00F81D29"/>
    <w:rsid w:val="00F81FBC"/>
    <w:rsid w:val="00F8303A"/>
    <w:rsid w:val="00F8442E"/>
    <w:rsid w:val="00F85767"/>
    <w:rsid w:val="00F91C4D"/>
    <w:rsid w:val="00F92599"/>
    <w:rsid w:val="00F927B6"/>
    <w:rsid w:val="00F92FD9"/>
    <w:rsid w:val="00FA6684"/>
    <w:rsid w:val="00FA731E"/>
    <w:rsid w:val="00FB2B38"/>
    <w:rsid w:val="00FC0C1E"/>
    <w:rsid w:val="00FC6358"/>
    <w:rsid w:val="00FD320D"/>
    <w:rsid w:val="00FE23DE"/>
    <w:rsid w:val="00FE6BB5"/>
    <w:rsid w:val="00FF1063"/>
    <w:rsid w:val="00FF16E7"/>
    <w:rsid w:val="00FF6CEE"/>
    <w:rsid w:val="00FF7AC0"/>
    <w:rsid w:val="046069F4"/>
    <w:rsid w:val="04716658"/>
    <w:rsid w:val="05E45139"/>
    <w:rsid w:val="076808B4"/>
    <w:rsid w:val="07EB560A"/>
    <w:rsid w:val="082B1C77"/>
    <w:rsid w:val="09926C3F"/>
    <w:rsid w:val="11146D91"/>
    <w:rsid w:val="115B37B9"/>
    <w:rsid w:val="11AC1998"/>
    <w:rsid w:val="12383670"/>
    <w:rsid w:val="125E29FE"/>
    <w:rsid w:val="148315AB"/>
    <w:rsid w:val="18814D8E"/>
    <w:rsid w:val="199C39AC"/>
    <w:rsid w:val="1B7860CA"/>
    <w:rsid w:val="2480579D"/>
    <w:rsid w:val="26A06A67"/>
    <w:rsid w:val="28E848A9"/>
    <w:rsid w:val="28FB79C8"/>
    <w:rsid w:val="2AA55806"/>
    <w:rsid w:val="2EE161F9"/>
    <w:rsid w:val="3023600D"/>
    <w:rsid w:val="37A80BE0"/>
    <w:rsid w:val="3AB01977"/>
    <w:rsid w:val="3C3A0A99"/>
    <w:rsid w:val="3CF91586"/>
    <w:rsid w:val="3D351B7B"/>
    <w:rsid w:val="3F4A7F61"/>
    <w:rsid w:val="41697F5C"/>
    <w:rsid w:val="43141A60"/>
    <w:rsid w:val="46F32526"/>
    <w:rsid w:val="482728EE"/>
    <w:rsid w:val="48F50C12"/>
    <w:rsid w:val="49884DB4"/>
    <w:rsid w:val="52966408"/>
    <w:rsid w:val="53BA2E6A"/>
    <w:rsid w:val="5B676EB4"/>
    <w:rsid w:val="5BFC0DA5"/>
    <w:rsid w:val="5ED50624"/>
    <w:rsid w:val="5F6D1A9C"/>
    <w:rsid w:val="60F256CB"/>
    <w:rsid w:val="61186AD1"/>
    <w:rsid w:val="68754EED"/>
    <w:rsid w:val="692E469B"/>
    <w:rsid w:val="6AFF5C1B"/>
    <w:rsid w:val="6BB46977"/>
    <w:rsid w:val="6CFE10FA"/>
    <w:rsid w:val="6FCA1077"/>
    <w:rsid w:val="70CF2B23"/>
    <w:rsid w:val="72D92B78"/>
    <w:rsid w:val="76BF24DE"/>
    <w:rsid w:val="7ADB1AC8"/>
    <w:rsid w:val="7BE06349"/>
    <w:rsid w:val="7C7855BE"/>
    <w:rsid w:val="7DC10301"/>
    <w:rsid w:val="7E0A45AA"/>
    <w:rsid w:val="7E0F444B"/>
    <w:rsid w:val="7F34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0">
    <w:name w:val="Default Paragraph Font"/>
    <w:semiHidden/>
    <w:uiPriority w:val="0"/>
  </w:style>
  <w:style w:type="table" w:default="1" w:styleId="2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qFormat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8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9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0">
    <w:name w:val="toc 3"/>
    <w:basedOn w:val="1"/>
    <w:next w:val="1"/>
    <w:semiHidden/>
    <w:qFormat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1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2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3">
    <w:name w:val="endnote text"/>
    <w:basedOn w:val="1"/>
    <w:semiHidden/>
    <w:qFormat/>
    <w:uiPriority w:val="0"/>
    <w:pPr>
      <w:snapToGrid w:val="0"/>
      <w:jc w:val="left"/>
    </w:pPr>
  </w:style>
  <w:style w:type="paragraph" w:styleId="14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5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6">
    <w:name w:val="toc 1"/>
    <w:basedOn w:val="1"/>
    <w:next w:val="1"/>
    <w:semiHidden/>
    <w:qFormat/>
    <w:uiPriority w:val="0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17">
    <w:name w:val="toc 4"/>
    <w:basedOn w:val="1"/>
    <w:next w:val="1"/>
    <w:semiHidden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18">
    <w:name w:val="index heading"/>
    <w:basedOn w:val="1"/>
    <w:next w:val="19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9">
    <w:name w:val="index 1"/>
    <w:basedOn w:val="1"/>
    <w:next w:val="20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0">
    <w:name w:val="段"/>
    <w:link w:val="38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1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2">
    <w:name w:val="toc 6"/>
    <w:basedOn w:val="1"/>
    <w:next w:val="1"/>
    <w:semiHidden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3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4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5">
    <w:name w:val="toc 2"/>
    <w:basedOn w:val="1"/>
    <w:next w:val="1"/>
    <w:semiHidden/>
    <w:qFormat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26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27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29">
    <w:name w:val="Table Grid"/>
    <w:basedOn w:val="28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endnote reference"/>
    <w:semiHidden/>
    <w:qFormat/>
    <w:uiPriority w:val="0"/>
    <w:rPr>
      <w:vertAlign w:val="superscript"/>
    </w:rPr>
  </w:style>
  <w:style w:type="character" w:styleId="32">
    <w:name w:val="page number"/>
    <w:qFormat/>
    <w:uiPriority w:val="0"/>
    <w:rPr>
      <w:rFonts w:ascii="Times New Roman" w:hAnsi="Times New Roman" w:eastAsia="宋体"/>
      <w:sz w:val="18"/>
    </w:rPr>
  </w:style>
  <w:style w:type="character" w:styleId="33">
    <w:name w:val="Hyperlink"/>
    <w:qFormat/>
    <w:uiPriority w:val="0"/>
    <w:rPr>
      <w:color w:val="0000FF"/>
      <w:spacing w:val="0"/>
      <w:w w:val="100"/>
      <w:szCs w:val="21"/>
      <w:u w:val="single"/>
      <w:lang w:val="en-US" w:eastAsia="zh-CN"/>
    </w:rPr>
  </w:style>
  <w:style w:type="character" w:styleId="34">
    <w:name w:val="footnote reference"/>
    <w:semiHidden/>
    <w:qFormat/>
    <w:uiPriority w:val="0"/>
    <w:rPr>
      <w:vertAlign w:val="superscript"/>
    </w:rPr>
  </w:style>
  <w:style w:type="character" w:customStyle="1" w:styleId="35">
    <w:name w:val="访问过的超链接"/>
    <w:qFormat/>
    <w:uiPriority w:val="0"/>
    <w:rPr>
      <w:color w:val="800080"/>
      <w:u w:val="single"/>
    </w:rPr>
  </w:style>
  <w:style w:type="character" w:customStyle="1" w:styleId="36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37">
    <w:name w:val="附录公式 Char"/>
    <w:basedOn w:val="38"/>
    <w:link w:val="39"/>
    <w:qFormat/>
    <w:uiPriority w:val="0"/>
  </w:style>
  <w:style w:type="character" w:customStyle="1" w:styleId="38">
    <w:name w:val="段 Char"/>
    <w:link w:val="20"/>
    <w:qFormat/>
    <w:uiPriority w:val="0"/>
    <w:rPr>
      <w:rFonts w:ascii="宋体"/>
      <w:sz w:val="21"/>
      <w:lang w:val="en-US" w:eastAsia="zh-CN" w:bidi="ar-SA"/>
    </w:rPr>
  </w:style>
  <w:style w:type="paragraph" w:customStyle="1" w:styleId="39">
    <w:name w:val="附录公式"/>
    <w:basedOn w:val="20"/>
    <w:next w:val="20"/>
    <w:link w:val="37"/>
    <w:qFormat/>
    <w:uiPriority w:val="0"/>
  </w:style>
  <w:style w:type="character" w:customStyle="1" w:styleId="40">
    <w:name w:val="首示例 Char"/>
    <w:link w:val="41"/>
    <w:qFormat/>
    <w:uiPriority w:val="0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41">
    <w:name w:val="首示例"/>
    <w:next w:val="20"/>
    <w:link w:val="40"/>
    <w:qFormat/>
    <w:uiPriority w:val="0"/>
    <w:pPr>
      <w:numPr>
        <w:ilvl w:val="0"/>
        <w:numId w:val="2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paragraph" w:customStyle="1" w:styleId="42">
    <w:name w:val="参考文献"/>
    <w:basedOn w:val="1"/>
    <w:next w:val="20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43">
    <w:name w:val="封面标准英文名称"/>
    <w:basedOn w:val="44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44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45">
    <w:name w:val="注：（正文）"/>
    <w:basedOn w:val="46"/>
    <w:next w:val="20"/>
    <w:qFormat/>
    <w:uiPriority w:val="0"/>
  </w:style>
  <w:style w:type="paragraph" w:customStyle="1" w:styleId="46">
    <w:name w:val="注："/>
    <w:next w:val="20"/>
    <w:qFormat/>
    <w:uiPriority w:val="0"/>
    <w:pPr>
      <w:widowControl w:val="0"/>
      <w:numPr>
        <w:ilvl w:val="0"/>
        <w:numId w:val="3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7">
    <w:name w:val="字母编号列项（一级）"/>
    <w:qFormat/>
    <w:uiPriority w:val="0"/>
    <w:pPr>
      <w:numPr>
        <w:ilvl w:val="0"/>
        <w:numId w:val="4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8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49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0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51">
    <w:name w:val="其他发布部门"/>
    <w:basedOn w:val="52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52">
    <w:name w:val="发布部门"/>
    <w:next w:val="20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53">
    <w:name w:val="附录数字编号列项（二级）"/>
    <w:qFormat/>
    <w:uiPriority w:val="0"/>
    <w:pPr>
      <w:numPr>
        <w:ilvl w:val="1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4">
    <w:name w:val="列项——（一级）"/>
    <w:qFormat/>
    <w:uiPriority w:val="0"/>
    <w:pPr>
      <w:widowControl w:val="0"/>
      <w:numPr>
        <w:ilvl w:val="0"/>
        <w:numId w:val="6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5">
    <w:name w:val="附录三级无"/>
    <w:basedOn w:val="56"/>
    <w:qFormat/>
    <w:uiPriority w:val="0"/>
    <w:pPr>
      <w:tabs>
        <w:tab w:val="left" w:pos="360"/>
      </w:tabs>
      <w:spacing w:beforeLines="0" w:afterLines="0"/>
    </w:pPr>
    <w:rPr>
      <w:rFonts w:ascii="宋体" w:eastAsia="宋体"/>
      <w:szCs w:val="21"/>
    </w:rPr>
  </w:style>
  <w:style w:type="paragraph" w:customStyle="1" w:styleId="56">
    <w:name w:val="附录三级条标题"/>
    <w:basedOn w:val="57"/>
    <w:next w:val="20"/>
    <w:qFormat/>
    <w:uiPriority w:val="0"/>
    <w:pPr>
      <w:numPr>
        <w:ilvl w:val="4"/>
      </w:numPr>
      <w:tabs>
        <w:tab w:val="left" w:pos="360"/>
      </w:tabs>
      <w:outlineLvl w:val="4"/>
    </w:pPr>
  </w:style>
  <w:style w:type="paragraph" w:customStyle="1" w:styleId="57">
    <w:name w:val="附录二级条标题"/>
    <w:basedOn w:val="1"/>
    <w:next w:val="20"/>
    <w:qFormat/>
    <w:uiPriority w:val="0"/>
    <w:pPr>
      <w:widowControl/>
      <w:numPr>
        <w:ilvl w:val="3"/>
        <w:numId w:val="7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58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59">
    <w:name w:val="条文脚注"/>
    <w:basedOn w:val="21"/>
    <w:qFormat/>
    <w:uiPriority w:val="0"/>
    <w:pPr>
      <w:numPr>
        <w:ilvl w:val="0"/>
        <w:numId w:val="0"/>
      </w:numPr>
      <w:jc w:val="both"/>
    </w:pPr>
  </w:style>
  <w:style w:type="paragraph" w:customStyle="1" w:styleId="60">
    <w:name w:val="附录字母编号列项（一级）"/>
    <w:qFormat/>
    <w:uiPriority w:val="0"/>
    <w:pPr>
      <w:numPr>
        <w:ilvl w:val="0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1">
    <w:name w:val="二级条标题"/>
    <w:basedOn w:val="62"/>
    <w:next w:val="20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62">
    <w:name w:val="一级条标题"/>
    <w:next w:val="20"/>
    <w:qFormat/>
    <w:uiPriority w:val="0"/>
    <w:pPr>
      <w:numPr>
        <w:ilvl w:val="1"/>
        <w:numId w:val="8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63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4">
    <w:name w:val="图的脚注"/>
    <w:next w:val="20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65">
    <w:name w:val="数字编号列项（二级）"/>
    <w:qFormat/>
    <w:uiPriority w:val="0"/>
    <w:pPr>
      <w:numPr>
        <w:ilvl w:val="1"/>
        <w:numId w:val="4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6">
    <w:name w:val="二级无"/>
    <w:basedOn w:val="61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67">
    <w:name w:val="编号列项（三级）"/>
    <w:qFormat/>
    <w:uiPriority w:val="0"/>
    <w:pPr>
      <w:numPr>
        <w:ilvl w:val="2"/>
        <w:numId w:val="4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8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9">
    <w:name w:val="附录标题"/>
    <w:basedOn w:val="20"/>
    <w:next w:val="20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70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71">
    <w:name w:val="正文公式编号制表符"/>
    <w:basedOn w:val="20"/>
    <w:next w:val="20"/>
    <w:qFormat/>
    <w:uiPriority w:val="0"/>
    <w:pPr>
      <w:ind w:firstLine="0" w:firstLineChars="0"/>
    </w:pPr>
  </w:style>
  <w:style w:type="paragraph" w:customStyle="1" w:styleId="72">
    <w:name w:val="三级条标题"/>
    <w:basedOn w:val="61"/>
    <w:next w:val="20"/>
    <w:qFormat/>
    <w:uiPriority w:val="0"/>
    <w:pPr>
      <w:numPr>
        <w:ilvl w:val="3"/>
      </w:numPr>
      <w:outlineLvl w:val="4"/>
    </w:pPr>
  </w:style>
  <w:style w:type="paragraph" w:customStyle="1" w:styleId="73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4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75">
    <w:name w:val="封面标准文稿类别"/>
    <w:basedOn w:val="76"/>
    <w:qFormat/>
    <w:uiPriority w:val="0"/>
    <w:pPr>
      <w:spacing w:after="160" w:line="240" w:lineRule="auto"/>
    </w:pPr>
    <w:rPr>
      <w:sz w:val="24"/>
    </w:rPr>
  </w:style>
  <w:style w:type="paragraph" w:customStyle="1" w:styleId="76">
    <w:name w:val="封面一致性程度标识"/>
    <w:basedOn w:val="43"/>
    <w:qFormat/>
    <w:uiPriority w:val="0"/>
    <w:pPr>
      <w:spacing w:before="440"/>
    </w:pPr>
    <w:rPr>
      <w:rFonts w:ascii="宋体" w:eastAsia="宋体"/>
    </w:rPr>
  </w:style>
  <w:style w:type="paragraph" w:customStyle="1" w:styleId="77">
    <w:name w:val="注×："/>
    <w:qFormat/>
    <w:uiPriority w:val="0"/>
    <w:pPr>
      <w:widowControl w:val="0"/>
      <w:numPr>
        <w:ilvl w:val="0"/>
        <w:numId w:val="9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8">
    <w:name w:val="章标题"/>
    <w:next w:val="20"/>
    <w:qFormat/>
    <w:uiPriority w:val="0"/>
    <w:pPr>
      <w:numPr>
        <w:ilvl w:val="0"/>
        <w:numId w:val="8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9">
    <w:name w:val="附录四级条标题"/>
    <w:basedOn w:val="56"/>
    <w:next w:val="20"/>
    <w:qFormat/>
    <w:uiPriority w:val="0"/>
    <w:pPr>
      <w:numPr>
        <w:ilvl w:val="5"/>
      </w:numPr>
      <w:outlineLvl w:val="5"/>
    </w:pPr>
  </w:style>
  <w:style w:type="paragraph" w:customStyle="1" w:styleId="80">
    <w:name w:val="列项●（二级）"/>
    <w:qFormat/>
    <w:uiPriority w:val="0"/>
    <w:pPr>
      <w:numPr>
        <w:ilvl w:val="1"/>
        <w:numId w:val="6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1">
    <w:name w:val="目次、标准名称标题"/>
    <w:basedOn w:val="1"/>
    <w:next w:val="20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82">
    <w:name w:val="五级条标题"/>
    <w:basedOn w:val="83"/>
    <w:next w:val="20"/>
    <w:qFormat/>
    <w:uiPriority w:val="0"/>
    <w:pPr>
      <w:numPr>
        <w:ilvl w:val="5"/>
      </w:numPr>
      <w:outlineLvl w:val="6"/>
    </w:pPr>
  </w:style>
  <w:style w:type="paragraph" w:customStyle="1" w:styleId="83">
    <w:name w:val="四级条标题"/>
    <w:basedOn w:val="72"/>
    <w:next w:val="20"/>
    <w:qFormat/>
    <w:uiPriority w:val="0"/>
    <w:pPr>
      <w:numPr>
        <w:ilvl w:val="4"/>
      </w:numPr>
      <w:outlineLvl w:val="5"/>
    </w:pPr>
  </w:style>
  <w:style w:type="paragraph" w:customStyle="1" w:styleId="84">
    <w:name w:val="示例"/>
    <w:next w:val="73"/>
    <w:qFormat/>
    <w:uiPriority w:val="0"/>
    <w:pPr>
      <w:widowControl w:val="0"/>
      <w:numPr>
        <w:ilvl w:val="0"/>
        <w:numId w:val="10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5">
    <w:name w:val="列项◆（三级）"/>
    <w:basedOn w:val="1"/>
    <w:qFormat/>
    <w:uiPriority w:val="0"/>
    <w:pPr>
      <w:numPr>
        <w:ilvl w:val="2"/>
        <w:numId w:val="6"/>
      </w:numPr>
    </w:pPr>
    <w:rPr>
      <w:rFonts w:ascii="宋体"/>
      <w:szCs w:val="21"/>
    </w:rPr>
  </w:style>
  <w:style w:type="paragraph" w:customStyle="1" w:styleId="86">
    <w:name w:val="注×：（正文）"/>
    <w:qFormat/>
    <w:uiPriority w:val="0"/>
    <w:pPr>
      <w:numPr>
        <w:ilvl w:val="0"/>
        <w:numId w:val="11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7">
    <w:name w:val="示例×："/>
    <w:basedOn w:val="78"/>
    <w:qFormat/>
    <w:uiPriority w:val="0"/>
    <w:pPr>
      <w:numPr>
        <w:numId w:val="12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88">
    <w:name w:val="标准书眉_偶数页"/>
    <w:basedOn w:val="58"/>
    <w:next w:val="1"/>
    <w:qFormat/>
    <w:uiPriority w:val="0"/>
    <w:pPr>
      <w:jc w:val="left"/>
    </w:pPr>
  </w:style>
  <w:style w:type="paragraph" w:customStyle="1" w:styleId="89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90">
    <w:name w:val="附录标识"/>
    <w:basedOn w:val="1"/>
    <w:next w:val="20"/>
    <w:qFormat/>
    <w:uiPriority w:val="0"/>
    <w:pPr>
      <w:keepNext/>
      <w:widowControl/>
      <w:numPr>
        <w:ilvl w:val="0"/>
        <w:numId w:val="7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91">
    <w:name w:val="参考文献、索引标题"/>
    <w:basedOn w:val="1"/>
    <w:next w:val="20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92">
    <w:name w:val="附录表标题"/>
    <w:basedOn w:val="1"/>
    <w:next w:val="20"/>
    <w:qFormat/>
    <w:uiPriority w:val="0"/>
    <w:pPr>
      <w:numPr>
        <w:ilvl w:val="1"/>
        <w:numId w:val="13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3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94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95">
    <w:name w:val="附录表标号"/>
    <w:basedOn w:val="1"/>
    <w:next w:val="20"/>
    <w:qFormat/>
    <w:uiPriority w:val="0"/>
    <w:pPr>
      <w:numPr>
        <w:ilvl w:val="0"/>
        <w:numId w:val="13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96">
    <w:name w:val="封面标准文稿编辑信息"/>
    <w:basedOn w:val="75"/>
    <w:qFormat/>
    <w:uiPriority w:val="0"/>
    <w:pPr>
      <w:spacing w:before="180" w:line="180" w:lineRule="exact"/>
    </w:pPr>
    <w:rPr>
      <w:sz w:val="21"/>
    </w:rPr>
  </w:style>
  <w:style w:type="paragraph" w:customStyle="1" w:styleId="97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98">
    <w:name w:val="附录二级无"/>
    <w:basedOn w:val="57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9">
    <w:name w:val="附录公式编号制表符"/>
    <w:basedOn w:val="1"/>
    <w:next w:val="20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  <w:lang w:val="en-US" w:eastAsia="zh-CN"/>
    </w:rPr>
  </w:style>
  <w:style w:type="paragraph" w:customStyle="1" w:styleId="100">
    <w:name w:val="实施日期"/>
    <w:basedOn w:val="48"/>
    <w:qFormat/>
    <w:uiPriority w:val="0"/>
    <w:pPr>
      <w:framePr w:vAnchor="page"/>
      <w:jc w:val="right"/>
    </w:pPr>
  </w:style>
  <w:style w:type="paragraph" w:customStyle="1" w:styleId="101">
    <w:name w:val="附录四级无"/>
    <w:basedOn w:val="79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2">
    <w:name w:val="附录图标号"/>
    <w:basedOn w:val="1"/>
    <w:qFormat/>
    <w:uiPriority w:val="0"/>
    <w:pPr>
      <w:keepNext/>
      <w:pageBreakBefore/>
      <w:widowControl/>
      <w:numPr>
        <w:ilvl w:val="0"/>
        <w:numId w:val="1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103">
    <w:name w:val="附录图标题"/>
    <w:basedOn w:val="1"/>
    <w:next w:val="20"/>
    <w:qFormat/>
    <w:uiPriority w:val="0"/>
    <w:pPr>
      <w:numPr>
        <w:ilvl w:val="1"/>
        <w:numId w:val="14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04">
    <w:name w:val="附录五级条标题"/>
    <w:basedOn w:val="79"/>
    <w:next w:val="20"/>
    <w:qFormat/>
    <w:uiPriority w:val="0"/>
    <w:pPr>
      <w:numPr>
        <w:ilvl w:val="6"/>
      </w:numPr>
      <w:outlineLvl w:val="6"/>
    </w:pPr>
  </w:style>
  <w:style w:type="paragraph" w:customStyle="1" w:styleId="105">
    <w:name w:val="附录五级无"/>
    <w:basedOn w:val="104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6">
    <w:name w:val="附录章标题"/>
    <w:next w:val="20"/>
    <w:qFormat/>
    <w:uiPriority w:val="0"/>
    <w:pPr>
      <w:numPr>
        <w:ilvl w:val="1"/>
        <w:numId w:val="7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7">
    <w:name w:val="封面一致性程度标识2"/>
    <w:basedOn w:val="76"/>
    <w:qFormat/>
    <w:uiPriority w:val="0"/>
    <w:pPr>
      <w:framePr w:y="4469"/>
    </w:pPr>
  </w:style>
  <w:style w:type="paragraph" w:customStyle="1" w:styleId="108">
    <w:name w:val="附录一级条标题"/>
    <w:basedOn w:val="106"/>
    <w:next w:val="20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09">
    <w:name w:val="附录一级无"/>
    <w:basedOn w:val="108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10">
    <w:name w:val="四级无"/>
    <w:basedOn w:val="83"/>
    <w:uiPriority w:val="0"/>
    <w:pPr>
      <w:spacing w:beforeLines="0" w:afterLines="0"/>
    </w:pPr>
    <w:rPr>
      <w:rFonts w:ascii="宋体" w:eastAsia="宋体"/>
    </w:rPr>
  </w:style>
  <w:style w:type="paragraph" w:customStyle="1" w:styleId="111">
    <w:name w:val="其他标准标志"/>
    <w:basedOn w:val="68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12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13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4">
    <w:name w:val="正文图标题"/>
    <w:next w:val="20"/>
    <w:qFormat/>
    <w:uiPriority w:val="0"/>
    <w:pPr>
      <w:numPr>
        <w:ilvl w:val="0"/>
        <w:numId w:val="15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5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6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17">
    <w:name w:val="前言、引言标题"/>
    <w:next w:val="20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8">
    <w:name w:val="其他发布日期"/>
    <w:basedOn w:val="48"/>
    <w:qFormat/>
    <w:uiPriority w:val="0"/>
    <w:pPr>
      <w:framePr w:vAnchor="page" w:x="1419"/>
    </w:pPr>
  </w:style>
  <w:style w:type="paragraph" w:customStyle="1" w:styleId="119">
    <w:name w:val="三级无"/>
    <w:basedOn w:val="7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0">
    <w:name w:val="示例后文字"/>
    <w:basedOn w:val="20"/>
    <w:next w:val="20"/>
    <w:qFormat/>
    <w:uiPriority w:val="0"/>
    <w:pPr>
      <w:ind w:firstLine="360"/>
    </w:pPr>
    <w:rPr>
      <w:sz w:val="18"/>
    </w:rPr>
  </w:style>
  <w:style w:type="paragraph" w:customStyle="1" w:styleId="121">
    <w:name w:val="一级无"/>
    <w:basedOn w:val="6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2">
    <w:name w:val="图标脚注说明"/>
    <w:basedOn w:val="20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23">
    <w:name w:val="图表脚注说明"/>
    <w:basedOn w:val="1"/>
    <w:qFormat/>
    <w:uiPriority w:val="0"/>
    <w:pPr>
      <w:numPr>
        <w:ilvl w:val="0"/>
        <w:numId w:val="16"/>
      </w:numPr>
    </w:pPr>
    <w:rPr>
      <w:rFonts w:ascii="宋体"/>
      <w:sz w:val="18"/>
      <w:szCs w:val="18"/>
    </w:rPr>
  </w:style>
  <w:style w:type="paragraph" w:customStyle="1" w:styleId="124">
    <w:name w:val="五级无"/>
    <w:basedOn w:val="8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5">
    <w:name w:val="正文表标题"/>
    <w:next w:val="20"/>
    <w:qFormat/>
    <w:uiPriority w:val="0"/>
    <w:pPr>
      <w:numPr>
        <w:ilvl w:val="0"/>
        <w:numId w:val="17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6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27">
    <w:name w:val="其他实施日期"/>
    <w:basedOn w:val="100"/>
    <w:qFormat/>
    <w:uiPriority w:val="0"/>
  </w:style>
  <w:style w:type="paragraph" w:customStyle="1" w:styleId="128">
    <w:name w:val="封面标准名称2"/>
    <w:basedOn w:val="44"/>
    <w:qFormat/>
    <w:uiPriority w:val="0"/>
    <w:pPr>
      <w:framePr w:y="4469"/>
      <w:spacing w:beforeLines="630"/>
    </w:pPr>
  </w:style>
  <w:style w:type="paragraph" w:customStyle="1" w:styleId="129">
    <w:name w:val="封面标准英文名称2"/>
    <w:basedOn w:val="43"/>
    <w:qFormat/>
    <w:uiPriority w:val="0"/>
    <w:pPr>
      <w:framePr w:y="4469"/>
    </w:pPr>
  </w:style>
  <w:style w:type="paragraph" w:customStyle="1" w:styleId="130">
    <w:name w:val="封面标准文稿类别2"/>
    <w:basedOn w:val="75"/>
    <w:qFormat/>
    <w:uiPriority w:val="0"/>
    <w:pPr>
      <w:framePr w:y="4469"/>
    </w:pPr>
  </w:style>
  <w:style w:type="paragraph" w:customStyle="1" w:styleId="131">
    <w:name w:val="封面标准文稿编辑信息2"/>
    <w:basedOn w:val="96"/>
    <w:qFormat/>
    <w:uiPriority w:val="0"/>
    <w:pPr>
      <w:framePr w:y="4469"/>
    </w:pPr>
  </w:style>
  <w:style w:type="paragraph" w:customStyle="1" w:styleId="132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报批稿 茯苓种植技术规程.docx</Template>
  <Company>zle</Company>
  <Pages>6</Pages>
  <Words>311</Words>
  <Characters>1773</Characters>
  <Lines>14</Lines>
  <Paragraphs>4</Paragraphs>
  <TotalTime>1</TotalTime>
  <ScaleCrop>false</ScaleCrop>
  <LinksUpToDate>false</LinksUpToDate>
  <CharactersWithSpaces>2080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2018-04-04T06:53:00Z</dcterms:created>
  <dc:creator>CNIS</dc:creator>
  <cp:lastModifiedBy>双木林</cp:lastModifiedBy>
  <cp:lastPrinted>2015-11-02T00:56:00Z</cp:lastPrinted>
  <dcterms:modified xsi:type="dcterms:W3CDTF">2020-05-06T08:20:37Z</dcterms:modified>
  <dc:title>标准名称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