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pacing w:val="-10"/>
          <w:sz w:val="36"/>
          <w:szCs w:val="36"/>
        </w:rPr>
      </w:pPr>
      <w:r>
        <w:rPr>
          <w:rFonts w:hint="eastAsia" w:ascii="黑体" w:hAnsi="黑体" w:eastAsia="黑体"/>
          <w:spacing w:val="-10"/>
          <w:sz w:val="36"/>
          <w:szCs w:val="36"/>
        </w:rPr>
        <w:t>内蒙古自治区地方标准</w:t>
      </w:r>
    </w:p>
    <w:p>
      <w:pPr>
        <w:jc w:val="center"/>
        <w:rPr>
          <w:rFonts w:ascii="黑体" w:hAnsi="黑体" w:eastAsia="黑体"/>
          <w:spacing w:val="-10"/>
          <w:sz w:val="36"/>
          <w:szCs w:val="36"/>
        </w:rPr>
      </w:pPr>
      <w:r>
        <w:rPr>
          <w:rFonts w:hint="eastAsia" w:ascii="黑体" w:hAnsi="黑体" w:eastAsia="黑体"/>
          <w:spacing w:val="-10"/>
          <w:sz w:val="36"/>
          <w:szCs w:val="36"/>
        </w:rPr>
        <w:t>《科尔沁沙地灌溉苜蓿刈割</w:t>
      </w:r>
      <w:bookmarkStart w:id="2" w:name="_GoBack"/>
      <w:bookmarkEnd w:id="2"/>
      <w:r>
        <w:rPr>
          <w:rFonts w:hint="eastAsia" w:ascii="黑体" w:hAnsi="黑体" w:eastAsia="黑体"/>
          <w:spacing w:val="-10"/>
          <w:sz w:val="36"/>
          <w:szCs w:val="36"/>
        </w:rPr>
        <w:t>技术规程》编制说明</w:t>
      </w:r>
    </w:p>
    <w:p>
      <w:pPr>
        <w:pStyle w:val="2"/>
        <w:rPr>
          <w:sz w:val="30"/>
          <w:szCs w:val="30"/>
        </w:rPr>
      </w:pPr>
      <w:r>
        <w:rPr>
          <w:rFonts w:hint="eastAsia"/>
          <w:sz w:val="30"/>
          <w:szCs w:val="30"/>
        </w:rPr>
        <w:t>一、工作简况</w:t>
      </w:r>
    </w:p>
    <w:p>
      <w:pPr>
        <w:spacing w:line="360" w:lineRule="auto"/>
        <w:rPr>
          <w:kern w:val="0"/>
          <w:sz w:val="24"/>
        </w:rPr>
      </w:pPr>
      <w:r>
        <w:rPr>
          <w:rFonts w:hint="eastAsia" w:hAnsi="宋体"/>
          <w:sz w:val="24"/>
        </w:rPr>
        <w:t xml:space="preserve">    1. </w:t>
      </w:r>
      <w:r>
        <w:rPr>
          <w:rFonts w:hint="eastAsia"/>
          <w:kern w:val="0"/>
          <w:sz w:val="24"/>
        </w:rPr>
        <w:t>任务来源：“内蒙古质监局关于下达2018年第二批内蒙古自治区地方标准制修订项目计划的通知”（内质监标函〔2018〕154号）</w:t>
      </w:r>
    </w:p>
    <w:p>
      <w:pPr>
        <w:spacing w:line="360" w:lineRule="auto"/>
        <w:ind w:firstLine="480" w:firstLineChars="200"/>
        <w:rPr>
          <w:kern w:val="0"/>
          <w:sz w:val="24"/>
        </w:rPr>
      </w:pPr>
      <w:r>
        <w:rPr>
          <w:rFonts w:hint="eastAsia"/>
          <w:kern w:val="0"/>
          <w:sz w:val="24"/>
        </w:rPr>
        <w:t>2. 起草单位：赤峰市农牧科学研究院、阿鲁科尔沁旗达布希绿业有限责任公司、阿鲁科尔沁旗农牧局、赤峰市农牧业机械化推广服务中心、</w:t>
      </w:r>
      <w:r>
        <w:rPr>
          <w:kern w:val="0"/>
          <w:sz w:val="24"/>
        </w:rPr>
        <w:t>赤峰市</w:t>
      </w:r>
      <w:r>
        <w:rPr>
          <w:rFonts w:hint="eastAsia"/>
          <w:kern w:val="0"/>
          <w:sz w:val="24"/>
        </w:rPr>
        <w:t>草原工作站</w:t>
      </w:r>
    </w:p>
    <w:p>
      <w:pPr>
        <w:spacing w:line="360" w:lineRule="auto"/>
        <w:ind w:firstLine="480" w:firstLineChars="200"/>
        <w:rPr>
          <w:kern w:val="0"/>
          <w:sz w:val="24"/>
        </w:rPr>
      </w:pPr>
      <w:r>
        <w:rPr>
          <w:rFonts w:hint="eastAsia"/>
          <w:kern w:val="0"/>
          <w:sz w:val="24"/>
        </w:rPr>
        <w:t>3. 起草人：杨秀芳、梁庆伟、娜日苏、张晴晴、潘翔磊、孙德欣、王岩、王敏、正月、林再隆、达布希拉图、乌英嘎、董春浩、</w:t>
      </w:r>
      <w:r>
        <w:rPr>
          <w:kern w:val="0"/>
          <w:sz w:val="24"/>
        </w:rPr>
        <w:t>项锴锋</w:t>
      </w:r>
      <w:r>
        <w:rPr>
          <w:rFonts w:hint="eastAsia"/>
          <w:kern w:val="0"/>
          <w:sz w:val="24"/>
        </w:rPr>
        <w:t>、鲍青龙</w:t>
      </w:r>
    </w:p>
    <w:p>
      <w:pPr>
        <w:pStyle w:val="2"/>
        <w:rPr>
          <w:sz w:val="30"/>
        </w:rPr>
      </w:pPr>
      <w:r>
        <w:rPr>
          <w:rFonts w:hint="eastAsia"/>
          <w:sz w:val="30"/>
        </w:rPr>
        <w:t>二、制定技术规程的必要性和意义</w:t>
      </w:r>
    </w:p>
    <w:p>
      <w:pPr>
        <w:spacing w:line="360" w:lineRule="auto"/>
        <w:ind w:firstLine="480" w:firstLineChars="200"/>
        <w:rPr>
          <w:rFonts w:hAnsi="宋体"/>
          <w:sz w:val="24"/>
        </w:rPr>
      </w:pPr>
      <w:bookmarkStart w:id="0" w:name="_Toc117049928"/>
      <w:bookmarkStart w:id="1" w:name="_Toc117045234"/>
      <w:r>
        <w:rPr>
          <w:rFonts w:hint="eastAsia" w:hAnsi="宋体"/>
          <w:sz w:val="24"/>
        </w:rPr>
        <w:t>优质牧草产业是国家乃至自治区重点扶持发展的优势特色产业之一。内蒙古地区是我国三大紫花苜蓿主产区之一，产草量居全国之首，极大满足了内蒙古地区畜牧业对优质牧草的需求。截止</w:t>
      </w:r>
      <w:r>
        <w:rPr>
          <w:rFonts w:hAnsi="宋体"/>
          <w:sz w:val="24"/>
        </w:rPr>
        <w:t>2016</w:t>
      </w:r>
      <w:r>
        <w:rPr>
          <w:rFonts w:hint="eastAsia" w:hAnsi="宋体"/>
          <w:sz w:val="24"/>
        </w:rPr>
        <w:t>年，全国已形成内蒙古科尔沁沙地、甘肃河西走廊、宁夏河套灌区等一批十万亩以上集中连片的优质苜蓿种植基地。据不完全统计，内蒙古地区苜蓿灌区总面积已近</w:t>
      </w:r>
      <w:r>
        <w:rPr>
          <w:rFonts w:hAnsi="宋体"/>
          <w:sz w:val="24"/>
        </w:rPr>
        <w:t xml:space="preserve"> 7 </w:t>
      </w:r>
      <w:r>
        <w:rPr>
          <w:rFonts w:hint="eastAsia" w:hAnsi="宋体"/>
          <w:sz w:val="24"/>
        </w:rPr>
        <w:t>万</w:t>
      </w:r>
      <w:r>
        <w:rPr>
          <w:rFonts w:hAnsi="宋体"/>
          <w:sz w:val="24"/>
        </w:rPr>
        <w:t xml:space="preserve"> hm</w:t>
      </w:r>
      <w:r>
        <w:rPr>
          <w:rFonts w:hAnsi="宋体"/>
          <w:sz w:val="24"/>
          <w:vertAlign w:val="superscript"/>
        </w:rPr>
        <w:t>2</w:t>
      </w:r>
      <w:r>
        <w:rPr>
          <w:rFonts w:hint="eastAsia" w:hAnsi="宋体"/>
          <w:sz w:val="24"/>
        </w:rPr>
        <w:t>，</w:t>
      </w:r>
      <w:r>
        <w:rPr>
          <w:rFonts w:hAnsi="宋体"/>
          <w:sz w:val="24"/>
        </w:rPr>
        <w:t xml:space="preserve"> </w:t>
      </w:r>
      <w:r>
        <w:rPr>
          <w:rFonts w:hint="eastAsia" w:hAnsi="宋体"/>
          <w:sz w:val="24"/>
        </w:rPr>
        <w:t>其中赤峰市阿鲁科尔沁旗推广灌溉苜蓿面积达</w:t>
      </w:r>
      <w:r>
        <w:rPr>
          <w:rFonts w:hAnsi="宋体"/>
          <w:sz w:val="24"/>
        </w:rPr>
        <w:t xml:space="preserve"> 4 </w:t>
      </w:r>
      <w:r>
        <w:rPr>
          <w:rFonts w:hint="eastAsia" w:hAnsi="宋体"/>
          <w:sz w:val="24"/>
        </w:rPr>
        <w:t>万</w:t>
      </w:r>
      <w:r>
        <w:rPr>
          <w:rFonts w:hAnsi="宋体"/>
          <w:sz w:val="24"/>
        </w:rPr>
        <w:t xml:space="preserve"> hm</w:t>
      </w:r>
      <w:r>
        <w:rPr>
          <w:rFonts w:hAnsi="宋体"/>
          <w:sz w:val="24"/>
          <w:vertAlign w:val="superscript"/>
        </w:rPr>
        <w:t>2</w:t>
      </w:r>
      <w:r>
        <w:rPr>
          <w:rFonts w:hint="eastAsia" w:hAnsi="宋体"/>
          <w:sz w:val="24"/>
        </w:rPr>
        <w:t>。</w:t>
      </w:r>
      <w:r>
        <w:rPr>
          <w:rFonts w:hAnsi="宋体"/>
          <w:sz w:val="24"/>
        </w:rPr>
        <w:t xml:space="preserve">  </w:t>
      </w:r>
    </w:p>
    <w:p>
      <w:pPr>
        <w:spacing w:line="360" w:lineRule="auto"/>
        <w:ind w:firstLine="480" w:firstLineChars="200"/>
        <w:rPr>
          <w:rFonts w:hAnsi="宋体"/>
          <w:sz w:val="24"/>
        </w:rPr>
      </w:pPr>
      <w:r>
        <w:rPr>
          <w:rFonts w:hint="eastAsia" w:hAnsi="宋体"/>
          <w:sz w:val="24"/>
        </w:rPr>
        <w:t>随着种植面积的增加，保障苜蓿安全越冬，获得高产优质苜蓿干草，且增加苜蓿利用年限成为企业、合作社和农牧民降低生产成本，增加收益的迫切需要。科尔沁沙地土壤贫瘠、冬春季节多风沙天气频发、且冬季气温低降雪量少，特殊的气候条件加之缺乏行之有效的越冬技术指导，导致</w:t>
      </w:r>
      <w:r>
        <w:rPr>
          <w:rFonts w:hAnsi="宋体"/>
          <w:sz w:val="24"/>
        </w:rPr>
        <w:t>2014</w:t>
      </w:r>
      <w:r>
        <w:rPr>
          <w:rFonts w:hint="eastAsia" w:hAnsi="宋体"/>
          <w:sz w:val="24"/>
        </w:rPr>
        <w:t>年、</w:t>
      </w:r>
      <w:r>
        <w:rPr>
          <w:rFonts w:hAnsi="宋体"/>
          <w:sz w:val="24"/>
        </w:rPr>
        <w:t>2016</w:t>
      </w:r>
      <w:r>
        <w:rPr>
          <w:rFonts w:hint="eastAsia" w:hAnsi="宋体"/>
          <w:sz w:val="24"/>
        </w:rPr>
        <w:t>年极端气候下遭遇严重的越冬损失，产业一度陷入发展困境，两年损失近</w:t>
      </w:r>
      <w:r>
        <w:rPr>
          <w:rFonts w:hAnsi="宋体"/>
          <w:sz w:val="24"/>
        </w:rPr>
        <w:t>4</w:t>
      </w:r>
      <w:r>
        <w:rPr>
          <w:rFonts w:hint="eastAsia" w:hAnsi="宋体"/>
          <w:sz w:val="24"/>
        </w:rPr>
        <w:t>亿元。而安全越冬的主要影响因素之一是苜蓿刈割制度；苜蓿品种的选择也极为重要，选择秋眠级和抗寒指数适宜科尔沁沙地种植的苜蓿品种是生产的关键环节之一；苜蓿的刈割制度与品种的特性和生长年限息息相关。因此，制定《科尔沁沙地灌溉苜蓿刈割制度技术规程》，除了可提高苜蓿安全越冬，解决产业“活”的问题，还可获得优质高产苜蓿干草，延长苜蓿利用年限，从而降低生产成本，增加企业及农牧民的收入，促进苜蓿产业的发展。</w:t>
      </w:r>
    </w:p>
    <w:p>
      <w:pPr>
        <w:spacing w:line="360" w:lineRule="auto"/>
        <w:ind w:firstLine="480" w:firstLineChars="200"/>
        <w:rPr>
          <w:rFonts w:hAnsi="宋体"/>
          <w:sz w:val="24"/>
        </w:rPr>
      </w:pPr>
      <w:r>
        <w:rPr>
          <w:rFonts w:hint="eastAsia" w:hAnsi="宋体"/>
          <w:sz w:val="24"/>
        </w:rPr>
        <w:t>因此，立足于科尔沁沙地生态治理与草牧业可持续健康发展，赤峰市农牧科学研究院在农业部《国家牧草产业技术体系赤峰综合试验站建设》项目资助下，依托赤峰阿鲁科尔沁旗的试验示范基地，从苜蓿品种秋眠级选择、苜蓿种植年限与刈割时间和次数的关系、年刈割时间和次数对苜蓿产量和品质影响等多方面进行科尔沁沙地灌溉苜蓿刈割制度研究，为本标准的制定奠定了研究基础。</w:t>
      </w:r>
    </w:p>
    <w:p>
      <w:pPr>
        <w:spacing w:line="360" w:lineRule="auto"/>
        <w:ind w:firstLine="480" w:firstLineChars="200"/>
        <w:rPr>
          <w:rFonts w:hAnsi="宋体"/>
          <w:sz w:val="24"/>
        </w:rPr>
      </w:pPr>
      <w:r>
        <w:rPr>
          <w:rFonts w:hint="eastAsia" w:hAnsi="宋体"/>
          <w:sz w:val="24"/>
        </w:rPr>
        <w:t>该规程的制定可为科尔沁沙地区域企业及农牧民灌溉苜蓿刈割制度提供有效技术指导，将有效解决苜蓿产业安全越冬问题主要影响因素的技术限制，降低苜蓿产业生产风险，对内蒙古苜蓿产业持续健康发展起到极大的促进作用。</w:t>
      </w:r>
    </w:p>
    <w:bookmarkEnd w:id="0"/>
    <w:bookmarkEnd w:id="1"/>
    <w:p>
      <w:pPr>
        <w:pStyle w:val="2"/>
        <w:rPr>
          <w:sz w:val="30"/>
        </w:rPr>
      </w:pPr>
      <w:r>
        <w:rPr>
          <w:rFonts w:hint="eastAsia"/>
          <w:sz w:val="30"/>
        </w:rPr>
        <w:t>三、主要起草过程</w:t>
      </w:r>
    </w:p>
    <w:p>
      <w:pPr>
        <w:spacing w:line="360" w:lineRule="auto"/>
        <w:ind w:firstLine="480" w:firstLineChars="200"/>
        <w:rPr>
          <w:rFonts w:hAnsi="宋体"/>
          <w:sz w:val="24"/>
        </w:rPr>
      </w:pPr>
      <w:r>
        <w:rPr>
          <w:rFonts w:hint="eastAsia" w:hAnsi="宋体"/>
          <w:sz w:val="24"/>
        </w:rPr>
        <w:t>2016-2018年，从</w:t>
      </w:r>
      <w:r>
        <w:rPr>
          <w:rFonts w:hAnsi="宋体"/>
          <w:sz w:val="24"/>
        </w:rPr>
        <w:t>年刈割次数对科尔沁沙地不同秋眠级紫花苜蓿品种产量、品质和越冬率的影响</w:t>
      </w:r>
      <w:r>
        <w:rPr>
          <w:rFonts w:hint="eastAsia" w:hAnsi="宋体"/>
          <w:sz w:val="24"/>
        </w:rPr>
        <w:t>，基于不同生长度日的刈割对科尔沁沙地紫花苜蓿产量、品质和越冬率的影响，夏播时间与当年刈割时间对苜蓿生长、产量和越冬率的影响等方面进行多年大量的试验研究，确定了播种当年不同播期紫花苜蓿刈割时间和次数，越年生苜蓿的刈割时间和刈割次数等技术要点</w:t>
      </w:r>
      <w:r>
        <w:rPr>
          <w:rFonts w:hAnsi="宋体"/>
          <w:sz w:val="24"/>
        </w:rPr>
        <w:t>。</w:t>
      </w:r>
    </w:p>
    <w:p>
      <w:pPr>
        <w:spacing w:line="360" w:lineRule="auto"/>
        <w:ind w:firstLine="480" w:firstLineChars="200"/>
        <w:rPr>
          <w:rFonts w:hAnsi="宋体"/>
          <w:sz w:val="24"/>
        </w:rPr>
      </w:pPr>
      <w:r>
        <w:rPr>
          <w:rFonts w:hint="eastAsia" w:hAnsi="宋体"/>
          <w:sz w:val="24"/>
        </w:rPr>
        <w:t>2019年1</w:t>
      </w:r>
      <w:r>
        <w:rPr>
          <w:rFonts w:hAnsi="宋体"/>
          <w:sz w:val="24"/>
        </w:rPr>
        <w:t>1</w:t>
      </w:r>
      <w:r>
        <w:rPr>
          <w:rFonts w:hint="eastAsia" w:hAnsi="宋体"/>
          <w:sz w:val="24"/>
        </w:rPr>
        <w:t>月，形成征求意见稿，提交内蒙古自治区市场监督管理局。</w:t>
      </w:r>
    </w:p>
    <w:p>
      <w:pPr>
        <w:pStyle w:val="2"/>
        <w:rPr>
          <w:sz w:val="30"/>
        </w:rPr>
      </w:pPr>
      <w:r>
        <w:rPr>
          <w:rFonts w:hint="eastAsia"/>
          <w:sz w:val="30"/>
        </w:rPr>
        <w:t>四、制定标准的原则和依据，与现行法律、法规、标准的关系</w:t>
      </w:r>
    </w:p>
    <w:p>
      <w:pPr>
        <w:adjustRightInd w:val="0"/>
        <w:snapToGrid w:val="0"/>
        <w:spacing w:line="360" w:lineRule="auto"/>
        <w:ind w:firstLine="480" w:firstLineChars="200"/>
        <w:rPr>
          <w:color w:val="000000" w:themeColor="text1"/>
          <w:kern w:val="0"/>
          <w:sz w:val="24"/>
          <w:szCs w:val="21"/>
        </w:rPr>
      </w:pPr>
      <w:r>
        <w:rPr>
          <w:rFonts w:hint="eastAsia"/>
          <w:color w:val="000000" w:themeColor="text1"/>
          <w:kern w:val="0"/>
          <w:sz w:val="24"/>
          <w:szCs w:val="21"/>
        </w:rPr>
        <w:t>本标准制定主要依据GB/T 1.1-2009《标准化工作导则  第1部分：标准的结构和编写》、《</w:t>
      </w:r>
      <w:r>
        <w:rPr>
          <w:color w:val="000000" w:themeColor="text1"/>
          <w:kern w:val="0"/>
          <w:sz w:val="24"/>
          <w:szCs w:val="21"/>
        </w:rPr>
        <w:t>NY/T 1574 豆科牧草干草质量分级</w:t>
      </w:r>
      <w:r>
        <w:rPr>
          <w:rFonts w:hint="eastAsia"/>
          <w:color w:val="000000" w:themeColor="text1"/>
          <w:kern w:val="0"/>
          <w:sz w:val="24"/>
          <w:szCs w:val="21"/>
        </w:rPr>
        <w:t>》、《</w:t>
      </w:r>
      <w:r>
        <w:rPr>
          <w:color w:val="000000" w:themeColor="text1"/>
          <w:kern w:val="0"/>
          <w:sz w:val="24"/>
          <w:szCs w:val="21"/>
        </w:rPr>
        <w:t>DB15/T 1509</w:t>
      </w:r>
      <w:r>
        <w:rPr>
          <w:rFonts w:hint="eastAsia"/>
          <w:color w:val="000000" w:themeColor="text1"/>
          <w:kern w:val="0"/>
          <w:sz w:val="24"/>
          <w:szCs w:val="21"/>
        </w:rPr>
        <w:t xml:space="preserve"> </w:t>
      </w:r>
      <w:r>
        <w:rPr>
          <w:color w:val="000000" w:themeColor="text1"/>
          <w:kern w:val="0"/>
          <w:sz w:val="24"/>
          <w:szCs w:val="21"/>
        </w:rPr>
        <w:t>内蒙</w:t>
      </w:r>
      <w:r>
        <w:rPr>
          <w:rFonts w:hint="eastAsia"/>
          <w:color w:val="000000" w:themeColor="text1"/>
          <w:kern w:val="0"/>
          <w:sz w:val="24"/>
          <w:szCs w:val="21"/>
        </w:rPr>
        <w:t>古中东部沙地节水灌溉苜蓿越冬管理技术规程》等标准的有关规定，结合项目组的科研试验结果，并经相关专家严格审阅后编制完成。</w:t>
      </w:r>
    </w:p>
    <w:p>
      <w:pPr>
        <w:pStyle w:val="2"/>
        <w:rPr>
          <w:sz w:val="30"/>
        </w:rPr>
      </w:pPr>
      <w:r>
        <w:rPr>
          <w:rFonts w:hint="eastAsia"/>
          <w:sz w:val="30"/>
        </w:rPr>
        <w:t>五、标准主要条款的说明</w:t>
      </w:r>
    </w:p>
    <w:p>
      <w:pPr>
        <w:spacing w:line="360" w:lineRule="auto"/>
        <w:ind w:firstLine="480" w:firstLineChars="200"/>
        <w:rPr>
          <w:rFonts w:hAnsi="宋体"/>
          <w:sz w:val="24"/>
        </w:rPr>
      </w:pPr>
      <w:r>
        <w:rPr>
          <w:rFonts w:hint="eastAsia" w:hAnsi="宋体"/>
          <w:sz w:val="24"/>
        </w:rPr>
        <w:t>1、越年生苜蓿第1次刈割时间</w:t>
      </w:r>
    </w:p>
    <w:p>
      <w:pPr>
        <w:spacing w:line="360" w:lineRule="auto"/>
        <w:ind w:firstLine="465"/>
        <w:rPr>
          <w:rFonts w:hAnsi="宋体"/>
          <w:sz w:val="24"/>
        </w:rPr>
      </w:pPr>
      <w:r>
        <w:rPr>
          <w:rFonts w:hint="eastAsia" w:hAnsi="宋体"/>
          <w:sz w:val="24"/>
        </w:rPr>
        <w:t>（1）生长度日的计算示例</w:t>
      </w:r>
    </w:p>
    <w:p>
      <w:pPr>
        <w:spacing w:line="360" w:lineRule="auto"/>
        <w:ind w:firstLine="465"/>
        <w:rPr>
          <w:rFonts w:hAnsi="宋体"/>
          <w:sz w:val="24"/>
        </w:rPr>
      </w:pPr>
      <w:r>
        <w:rPr>
          <w:rFonts w:hAnsi="宋体"/>
          <w:sz w:val="24"/>
        </w:rPr>
        <w:t>第1茬刈割生长度日按式（1）计算。对于大多数苜蓿品种来说，保证生长的温度范围在5℃~35℃，当日均气温低于苜蓿生长的最低气温，或超过苜蓿生长的最高气温时，当天的GDD算为0。第1茬刈割GDD计算从3 月1日的温度开始算起。</w:t>
      </w:r>
    </w:p>
    <w:p>
      <w:pPr>
        <w:spacing w:line="360" w:lineRule="auto"/>
        <w:ind w:firstLine="465"/>
        <w:rPr>
          <w:rFonts w:hAnsi="宋体"/>
          <w:sz w:val="24"/>
        </w:rPr>
      </w:pPr>
      <w:r>
        <w:rPr>
          <w:rFonts w:hAnsi="宋体"/>
          <w:sz w:val="24"/>
        </w:rPr>
        <w:t xml:space="preserve">     </w:t>
      </w:r>
      <w:r>
        <w:rPr>
          <w:rFonts w:hint="eastAsia" w:hAnsi="宋体"/>
          <w:sz w:val="24"/>
        </w:rPr>
        <w:t xml:space="preserve">         </w:t>
      </w:r>
      <w:r>
        <w:rPr>
          <w:rFonts w:hAnsi="宋体"/>
          <w:sz w:val="24"/>
        </w:rPr>
        <w:t>GDD</w:t>
      </w:r>
      <w:r>
        <w:rPr>
          <w:rFonts w:hAnsi="宋体"/>
          <w:sz w:val="24"/>
          <w:vertAlign w:val="subscript"/>
        </w:rPr>
        <w:t>s</w:t>
      </w:r>
      <w:r>
        <w:rPr>
          <w:rFonts w:hAnsi="宋体"/>
          <w:sz w:val="24"/>
        </w:rPr>
        <w:t xml:space="preserve"> =∑[（T</w:t>
      </w:r>
      <w:r>
        <w:rPr>
          <w:rFonts w:hAnsi="宋体"/>
          <w:sz w:val="24"/>
          <w:vertAlign w:val="subscript"/>
        </w:rPr>
        <w:t>max</w:t>
      </w:r>
      <w:r>
        <w:rPr>
          <w:rFonts w:hAnsi="宋体"/>
          <w:sz w:val="24"/>
        </w:rPr>
        <w:t xml:space="preserve"> +T</w:t>
      </w:r>
      <w:r>
        <w:rPr>
          <w:rFonts w:hAnsi="宋体"/>
          <w:sz w:val="24"/>
          <w:vertAlign w:val="subscript"/>
        </w:rPr>
        <w:t>min</w:t>
      </w:r>
      <w:r>
        <w:rPr>
          <w:rFonts w:hAnsi="宋体"/>
          <w:sz w:val="24"/>
        </w:rPr>
        <w:t>）/2 – T</w:t>
      </w:r>
      <w:r>
        <w:rPr>
          <w:rFonts w:hAnsi="宋体"/>
          <w:sz w:val="24"/>
          <w:vertAlign w:val="subscript"/>
        </w:rPr>
        <w:t>base</w:t>
      </w:r>
      <w:r>
        <w:rPr>
          <w:rFonts w:hAnsi="宋体"/>
          <w:sz w:val="24"/>
        </w:rPr>
        <w:t xml:space="preserve">] ……………………（1） </w:t>
      </w:r>
    </w:p>
    <w:p>
      <w:pPr>
        <w:spacing w:line="360" w:lineRule="auto"/>
        <w:ind w:firstLine="465"/>
        <w:rPr>
          <w:rFonts w:hAnsi="宋体"/>
          <w:sz w:val="24"/>
        </w:rPr>
      </w:pPr>
      <w:r>
        <w:rPr>
          <w:rFonts w:hAnsi="宋体"/>
          <w:sz w:val="24"/>
        </w:rPr>
        <w:t>式中：</w:t>
      </w:r>
    </w:p>
    <w:p>
      <w:pPr>
        <w:spacing w:line="360" w:lineRule="auto"/>
        <w:ind w:firstLine="465"/>
        <w:rPr>
          <w:rFonts w:hAnsi="宋体"/>
          <w:sz w:val="24"/>
        </w:rPr>
      </w:pPr>
      <w:r>
        <w:rPr>
          <w:rFonts w:hAnsi="宋体"/>
          <w:sz w:val="24"/>
        </w:rPr>
        <w:t>GDD</w:t>
      </w:r>
      <w:r>
        <w:rPr>
          <w:rFonts w:hAnsi="宋体"/>
          <w:sz w:val="24"/>
          <w:vertAlign w:val="subscript"/>
        </w:rPr>
        <w:t xml:space="preserve">s </w:t>
      </w:r>
      <w:r>
        <w:rPr>
          <w:rFonts w:hAnsi="宋体"/>
          <w:sz w:val="24"/>
          <w:vertAlign w:val="subscript"/>
        </w:rPr>
        <w:softHyphen/>
      </w:r>
      <w:r>
        <w:rPr>
          <w:rFonts w:hAnsi="宋体"/>
          <w:sz w:val="24"/>
        </w:rPr>
        <w:t>——累积有效积温值，单位是摄氏度（℃）；</w:t>
      </w:r>
    </w:p>
    <w:p>
      <w:pPr>
        <w:spacing w:line="360" w:lineRule="auto"/>
        <w:ind w:firstLine="465"/>
        <w:rPr>
          <w:rFonts w:hAnsi="宋体"/>
          <w:sz w:val="24"/>
        </w:rPr>
      </w:pPr>
      <w:r>
        <w:rPr>
          <w:rFonts w:hAnsi="宋体"/>
          <w:sz w:val="24"/>
        </w:rPr>
        <w:t>T</w:t>
      </w:r>
      <w:r>
        <w:rPr>
          <w:rFonts w:hAnsi="宋体"/>
          <w:sz w:val="24"/>
          <w:vertAlign w:val="subscript"/>
        </w:rPr>
        <w:t xml:space="preserve">max  </w:t>
      </w:r>
      <w:r>
        <w:rPr>
          <w:rFonts w:hAnsi="宋体"/>
          <w:sz w:val="24"/>
        </w:rPr>
        <w:t>——1天中的最高温度，单位是摄氏度（℃）；</w:t>
      </w:r>
    </w:p>
    <w:p>
      <w:pPr>
        <w:spacing w:line="360" w:lineRule="auto"/>
        <w:ind w:firstLine="465"/>
        <w:rPr>
          <w:rFonts w:hAnsi="宋体"/>
          <w:sz w:val="24"/>
        </w:rPr>
      </w:pPr>
      <w:r>
        <w:rPr>
          <w:rFonts w:hAnsi="宋体"/>
          <w:sz w:val="24"/>
        </w:rPr>
        <w:t>T</w:t>
      </w:r>
      <w:r>
        <w:rPr>
          <w:rFonts w:hAnsi="宋体"/>
          <w:sz w:val="24"/>
          <w:vertAlign w:val="subscript"/>
        </w:rPr>
        <w:t xml:space="preserve">min  </w:t>
      </w:r>
      <w:r>
        <w:rPr>
          <w:rFonts w:hAnsi="宋体"/>
          <w:sz w:val="24"/>
        </w:rPr>
        <w:t>——1天中的最低温度，单位是摄氏度（℃）；</w:t>
      </w:r>
    </w:p>
    <w:p>
      <w:pPr>
        <w:spacing w:line="360" w:lineRule="auto"/>
        <w:ind w:firstLine="465"/>
        <w:rPr>
          <w:rFonts w:hAnsi="宋体"/>
          <w:sz w:val="24"/>
        </w:rPr>
      </w:pPr>
      <w:r>
        <w:rPr>
          <w:rFonts w:hAnsi="宋体"/>
          <w:sz w:val="24"/>
        </w:rPr>
        <w:t>T</w:t>
      </w:r>
      <w:r>
        <w:rPr>
          <w:rFonts w:hAnsi="宋体"/>
          <w:sz w:val="24"/>
          <w:vertAlign w:val="subscript"/>
        </w:rPr>
        <w:t xml:space="preserve">base  </w:t>
      </w:r>
      <w:r>
        <w:rPr>
          <w:rFonts w:hAnsi="宋体"/>
          <w:sz w:val="24"/>
        </w:rPr>
        <w:t>——发育基点温度，值为5℃。</w:t>
      </w:r>
    </w:p>
    <w:p>
      <w:pPr>
        <w:spacing w:line="360" w:lineRule="auto"/>
        <w:ind w:firstLine="465"/>
        <w:rPr>
          <w:rFonts w:hAnsi="宋体"/>
          <w:sz w:val="24"/>
        </w:rPr>
      </w:pPr>
      <w:r>
        <w:rPr>
          <w:rFonts w:hint="eastAsia" w:hAnsi="宋体"/>
          <w:sz w:val="24"/>
        </w:rPr>
        <w:t>例如：某日的最高气温和最低气温分别为23</w:t>
      </w:r>
      <w:r>
        <w:rPr>
          <w:rFonts w:hAnsi="宋体"/>
          <w:sz w:val="24"/>
        </w:rPr>
        <w:t>℃</w:t>
      </w:r>
      <w:r>
        <w:rPr>
          <w:rFonts w:hint="eastAsia" w:hAnsi="宋体"/>
          <w:sz w:val="24"/>
        </w:rPr>
        <w:t>和12</w:t>
      </w:r>
      <w:r>
        <w:rPr>
          <w:rFonts w:hAnsi="宋体"/>
          <w:sz w:val="24"/>
        </w:rPr>
        <w:t>℃</w:t>
      </w:r>
      <w:r>
        <w:rPr>
          <w:rFonts w:hint="eastAsia" w:hAnsi="宋体"/>
          <w:sz w:val="24"/>
        </w:rPr>
        <w:t>，那么该天的生长度日</w:t>
      </w:r>
      <w:r>
        <w:rPr>
          <w:rFonts w:hAnsi="宋体"/>
          <w:sz w:val="24"/>
        </w:rPr>
        <w:t>GDD =</w:t>
      </w:r>
      <w:r>
        <w:rPr>
          <w:rFonts w:hint="eastAsia" w:hAnsi="宋体"/>
          <w:sz w:val="24"/>
        </w:rPr>
        <w:t>（23</w:t>
      </w:r>
      <w:r>
        <w:rPr>
          <w:rFonts w:hAnsi="宋体"/>
          <w:sz w:val="24"/>
        </w:rPr>
        <w:t>+</w:t>
      </w:r>
      <w:r>
        <w:rPr>
          <w:rFonts w:hint="eastAsia" w:hAnsi="宋体"/>
          <w:sz w:val="24"/>
        </w:rPr>
        <w:t>12）</w:t>
      </w:r>
      <w:r>
        <w:rPr>
          <w:rFonts w:hAnsi="宋体"/>
          <w:sz w:val="24"/>
        </w:rPr>
        <w:t>/2-</w:t>
      </w:r>
      <w:r>
        <w:rPr>
          <w:rFonts w:hint="eastAsia" w:hAnsi="宋体"/>
          <w:sz w:val="24"/>
        </w:rPr>
        <w:t>5</w:t>
      </w:r>
      <w:r>
        <w:rPr>
          <w:rFonts w:hAnsi="宋体"/>
          <w:sz w:val="24"/>
        </w:rPr>
        <w:t>=1</w:t>
      </w:r>
      <w:r>
        <w:rPr>
          <w:rFonts w:hint="eastAsia" w:hAnsi="宋体"/>
          <w:sz w:val="24"/>
        </w:rPr>
        <w:t>2.5。</w:t>
      </w:r>
    </w:p>
    <w:p>
      <w:pPr>
        <w:spacing w:line="360" w:lineRule="auto"/>
        <w:ind w:firstLine="465"/>
        <w:rPr>
          <w:rFonts w:hAnsi="宋体"/>
          <w:sz w:val="24"/>
        </w:rPr>
      </w:pPr>
      <w:r>
        <w:rPr>
          <w:rFonts w:hint="eastAsia" w:hAnsi="宋体"/>
          <w:sz w:val="24"/>
        </w:rPr>
        <w:t>（2）越年生苜蓿第1次刈割时间的确定</w:t>
      </w:r>
    </w:p>
    <w:p>
      <w:pPr>
        <w:spacing w:line="360" w:lineRule="auto"/>
        <w:ind w:firstLine="480" w:firstLineChars="200"/>
        <w:rPr>
          <w:rFonts w:hAnsi="宋体"/>
          <w:sz w:val="24"/>
        </w:rPr>
      </w:pPr>
      <w:r>
        <w:rPr>
          <w:rFonts w:hint="eastAsia" w:hAnsi="宋体"/>
          <w:sz w:val="24"/>
        </w:rPr>
        <w:t>将不同时间第1次刈割紫花苜蓿粗蛋白质（</w:t>
      </w:r>
      <w:r>
        <w:rPr>
          <w:rFonts w:hAnsi="宋体"/>
          <w:bCs/>
          <w:sz w:val="24"/>
        </w:rPr>
        <w:t>CP</w:t>
      </w:r>
      <w:r>
        <w:rPr>
          <w:rFonts w:hint="eastAsia" w:hAnsi="宋体"/>
          <w:sz w:val="24"/>
        </w:rPr>
        <w:t>）、酸性洗涤纤维（</w:t>
      </w:r>
      <w:r>
        <w:rPr>
          <w:rFonts w:hAnsi="宋体"/>
          <w:bCs/>
          <w:sz w:val="24"/>
        </w:rPr>
        <w:t>ADF</w:t>
      </w:r>
      <w:r>
        <w:rPr>
          <w:rFonts w:hint="eastAsia" w:hAnsi="宋体"/>
          <w:sz w:val="24"/>
        </w:rPr>
        <w:t>）、中性洗涤纤维含量（</w:t>
      </w:r>
      <w:r>
        <w:rPr>
          <w:rFonts w:hAnsi="宋体"/>
          <w:bCs/>
          <w:sz w:val="24"/>
        </w:rPr>
        <w:t>NDF</w:t>
      </w:r>
      <w:r>
        <w:rPr>
          <w:rFonts w:hint="eastAsia" w:hAnsi="宋体"/>
          <w:sz w:val="24"/>
        </w:rPr>
        <w:t>）、相对饲喂价值（</w:t>
      </w:r>
      <w:r>
        <w:rPr>
          <w:rFonts w:hAnsi="宋体"/>
          <w:bCs/>
          <w:sz w:val="24"/>
        </w:rPr>
        <w:t>RFV</w:t>
      </w:r>
      <w:r>
        <w:rPr>
          <w:rFonts w:hint="eastAsia" w:hAnsi="宋体"/>
          <w:sz w:val="24"/>
        </w:rPr>
        <w:t>）与生长</w:t>
      </w:r>
      <w:r>
        <w:rPr>
          <w:rFonts w:hAnsi="宋体"/>
          <w:sz w:val="24"/>
        </w:rPr>
        <w:t>度日</w:t>
      </w:r>
      <w:r>
        <w:rPr>
          <w:rFonts w:hint="eastAsia" w:hAnsi="宋体"/>
          <w:sz w:val="24"/>
        </w:rPr>
        <w:t>（</w:t>
      </w:r>
      <w:r>
        <w:rPr>
          <w:sz w:val="24"/>
        </w:rPr>
        <w:t>Growing degree-days</w:t>
      </w:r>
      <w:r>
        <w:rPr>
          <w:rFonts w:hint="eastAsia"/>
          <w:kern w:val="0"/>
          <w:sz w:val="24"/>
        </w:rPr>
        <w:t>，</w:t>
      </w:r>
      <w:r>
        <w:rPr>
          <w:sz w:val="24"/>
        </w:rPr>
        <w:t>GDD</w:t>
      </w:r>
      <w:r>
        <w:rPr>
          <w:rFonts w:hint="eastAsia" w:hAnsi="宋体"/>
          <w:sz w:val="24"/>
        </w:rPr>
        <w:t>）进行回归分析，建立线性回归方程见表1。结果显示，</w:t>
      </w:r>
      <w:r>
        <w:rPr>
          <w:rFonts w:hAnsi="宋体"/>
          <w:sz w:val="24"/>
        </w:rPr>
        <w:t>在610~650GDD进行</w:t>
      </w:r>
      <w:r>
        <w:rPr>
          <w:rFonts w:hint="eastAsia" w:hAnsi="宋体"/>
          <w:sz w:val="24"/>
        </w:rPr>
        <w:t>，苜蓿干草的</w:t>
      </w:r>
      <w:r>
        <w:rPr>
          <w:rFonts w:hAnsi="宋体"/>
          <w:bCs/>
          <w:sz w:val="24"/>
        </w:rPr>
        <w:t>NDF</w:t>
      </w:r>
      <w:r>
        <w:rPr>
          <w:rFonts w:hint="eastAsia" w:hAnsi="宋体"/>
          <w:sz w:val="24"/>
        </w:rPr>
        <w:t>含量在</w:t>
      </w:r>
      <w:r>
        <w:rPr>
          <w:rFonts w:hAnsi="宋体"/>
          <w:sz w:val="24"/>
        </w:rPr>
        <w:t>40%</w:t>
      </w:r>
      <w:r>
        <w:rPr>
          <w:rFonts w:hint="eastAsia" w:hAnsi="宋体"/>
          <w:sz w:val="24"/>
        </w:rPr>
        <w:t>左右，</w:t>
      </w:r>
      <w:r>
        <w:rPr>
          <w:rFonts w:hAnsi="宋体"/>
          <w:sz w:val="24"/>
        </w:rPr>
        <w:t>ADF</w:t>
      </w:r>
      <w:r>
        <w:rPr>
          <w:rFonts w:hint="eastAsia" w:hAnsi="宋体"/>
          <w:sz w:val="24"/>
        </w:rPr>
        <w:t>含量在</w:t>
      </w:r>
      <w:r>
        <w:rPr>
          <w:rFonts w:hAnsi="宋体"/>
          <w:sz w:val="24"/>
        </w:rPr>
        <w:t>34%</w:t>
      </w:r>
      <w:r>
        <w:rPr>
          <w:rFonts w:hint="eastAsia" w:hAnsi="宋体"/>
          <w:sz w:val="24"/>
        </w:rPr>
        <w:t>左右，</w:t>
      </w:r>
      <w:r>
        <w:rPr>
          <w:rFonts w:hAnsi="宋体"/>
          <w:bCs/>
          <w:sz w:val="24"/>
        </w:rPr>
        <w:t>CP</w:t>
      </w:r>
      <w:r>
        <w:rPr>
          <w:rFonts w:hint="eastAsia" w:hAnsi="宋体"/>
          <w:sz w:val="24"/>
        </w:rPr>
        <w:t>含量在</w:t>
      </w:r>
      <w:r>
        <w:rPr>
          <w:rFonts w:hAnsi="宋体"/>
          <w:sz w:val="24"/>
        </w:rPr>
        <w:t>18%</w:t>
      </w:r>
      <w:r>
        <w:rPr>
          <w:rFonts w:hint="eastAsia" w:hAnsi="宋体"/>
          <w:sz w:val="24"/>
        </w:rPr>
        <w:t>以上，</w:t>
      </w:r>
      <w:r>
        <w:rPr>
          <w:rFonts w:hAnsi="宋体"/>
          <w:sz w:val="24"/>
        </w:rPr>
        <w:t>RFV</w:t>
      </w:r>
      <w:r>
        <w:rPr>
          <w:rFonts w:hint="eastAsia" w:hAnsi="宋体"/>
          <w:sz w:val="24"/>
        </w:rPr>
        <w:t>值</w:t>
      </w:r>
      <w:r>
        <w:rPr>
          <w:rFonts w:hAnsi="宋体"/>
          <w:sz w:val="24"/>
        </w:rPr>
        <w:t>140</w:t>
      </w:r>
      <w:r>
        <w:rPr>
          <w:rFonts w:hint="eastAsia" w:hAnsi="宋体"/>
          <w:sz w:val="24"/>
        </w:rPr>
        <w:t>以上。</w:t>
      </w:r>
    </w:p>
    <w:p>
      <w:pPr>
        <w:autoSpaceDE w:val="0"/>
        <w:autoSpaceDN w:val="0"/>
        <w:adjustRightInd w:val="0"/>
        <w:ind w:firstLine="357"/>
        <w:jc w:val="center"/>
        <w:rPr>
          <w:sz w:val="24"/>
        </w:rPr>
      </w:pPr>
      <w:r>
        <w:rPr>
          <w:rFonts w:hint="eastAsia"/>
          <w:sz w:val="24"/>
        </w:rPr>
        <w:t>表1</w:t>
      </w:r>
      <w:r>
        <w:rPr>
          <w:sz w:val="24"/>
        </w:rPr>
        <w:t xml:space="preserve">   </w:t>
      </w:r>
      <w:r>
        <w:rPr>
          <w:rFonts w:hint="eastAsia"/>
          <w:sz w:val="24"/>
        </w:rPr>
        <w:t>第</w:t>
      </w:r>
      <w:r>
        <w:rPr>
          <w:sz w:val="24"/>
        </w:rPr>
        <w:t>1</w:t>
      </w:r>
      <w:r>
        <w:rPr>
          <w:rFonts w:hint="eastAsia"/>
          <w:sz w:val="24"/>
        </w:rPr>
        <w:t>次刈割紫花苜蓿品质性状与</w:t>
      </w:r>
      <w:r>
        <w:rPr>
          <w:sz w:val="24"/>
        </w:rPr>
        <w:t>GDD</w:t>
      </w:r>
      <w:r>
        <w:rPr>
          <w:rFonts w:hint="eastAsia"/>
          <w:sz w:val="24"/>
        </w:rPr>
        <w:t>的回归分析</w:t>
      </w:r>
    </w:p>
    <w:tbl>
      <w:tblPr>
        <w:tblStyle w:val="9"/>
        <w:tblW w:w="8522"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92"/>
        <w:gridCol w:w="3383"/>
        <w:gridCol w:w="1824"/>
        <w:gridCol w:w="142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892" w:type="dxa"/>
            <w:tcBorders>
              <w:top w:val="single" w:color="auto" w:sz="4" w:space="0"/>
              <w:bottom w:val="single" w:color="auto" w:sz="4" w:space="0"/>
            </w:tcBorders>
            <w:vAlign w:val="center"/>
          </w:tcPr>
          <w:p>
            <w:pPr>
              <w:tabs>
                <w:tab w:val="center" w:pos="5270"/>
              </w:tabs>
              <w:autoSpaceDE w:val="0"/>
              <w:autoSpaceDN w:val="0"/>
              <w:adjustRightInd w:val="0"/>
              <w:jc w:val="center"/>
              <w:rPr>
                <w:rFonts w:hAnsi="Tahoma"/>
                <w:bCs/>
                <w:kern w:val="0"/>
                <w:sz w:val="24"/>
              </w:rPr>
            </w:pPr>
            <w:r>
              <w:rPr>
                <w:rFonts w:hint="eastAsia" w:hAnsi="Tahoma"/>
                <w:bCs/>
                <w:kern w:val="0"/>
                <w:sz w:val="24"/>
              </w:rPr>
              <w:t>品质性状</w:t>
            </w:r>
          </w:p>
        </w:tc>
        <w:tc>
          <w:tcPr>
            <w:tcW w:w="5207" w:type="dxa"/>
            <w:gridSpan w:val="2"/>
            <w:tcBorders>
              <w:top w:val="single" w:color="auto" w:sz="4" w:space="0"/>
              <w:bottom w:val="single" w:color="auto" w:sz="4" w:space="0"/>
            </w:tcBorders>
            <w:vAlign w:val="center"/>
          </w:tcPr>
          <w:p>
            <w:pPr>
              <w:tabs>
                <w:tab w:val="center" w:pos="5270"/>
              </w:tabs>
              <w:autoSpaceDE w:val="0"/>
              <w:autoSpaceDN w:val="0"/>
              <w:adjustRightInd w:val="0"/>
              <w:jc w:val="center"/>
              <w:rPr>
                <w:rFonts w:hAnsi="Tahoma"/>
                <w:bCs/>
                <w:kern w:val="0"/>
                <w:sz w:val="24"/>
              </w:rPr>
            </w:pPr>
            <w:r>
              <w:rPr>
                <w:rFonts w:hint="eastAsia" w:hAnsi="Tahoma"/>
                <w:bCs/>
                <w:kern w:val="0"/>
                <w:sz w:val="24"/>
              </w:rPr>
              <w:t>回归方程</w:t>
            </w:r>
          </w:p>
        </w:tc>
        <w:tc>
          <w:tcPr>
            <w:tcW w:w="1423" w:type="dxa"/>
            <w:tcBorders>
              <w:top w:val="single" w:color="auto" w:sz="4" w:space="0"/>
              <w:bottom w:val="single" w:color="auto" w:sz="4" w:space="0"/>
            </w:tcBorders>
            <w:vAlign w:val="center"/>
          </w:tcPr>
          <w:p>
            <w:pPr>
              <w:tabs>
                <w:tab w:val="center" w:pos="5270"/>
              </w:tabs>
              <w:autoSpaceDE w:val="0"/>
              <w:autoSpaceDN w:val="0"/>
              <w:adjustRightInd w:val="0"/>
              <w:jc w:val="center"/>
              <w:rPr>
                <w:bCs/>
                <w:kern w:val="0"/>
                <w:sz w:val="24"/>
              </w:rPr>
            </w:pPr>
            <w:r>
              <w:rPr>
                <w:i/>
                <w:sz w:val="24"/>
              </w:rPr>
              <w:t>F</w:t>
            </w:r>
            <w:r>
              <w:rPr>
                <w:rFonts w:hint="eastAsia"/>
                <w:bCs/>
                <w:kern w:val="0"/>
                <w:sz w:val="24"/>
              </w:rPr>
              <w:t>值</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892" w:type="dxa"/>
            <w:tcBorders>
              <w:top w:val="single" w:color="auto" w:sz="4" w:space="0"/>
            </w:tcBorders>
            <w:vAlign w:val="center"/>
          </w:tcPr>
          <w:p>
            <w:pPr>
              <w:tabs>
                <w:tab w:val="center" w:pos="5270"/>
              </w:tabs>
              <w:autoSpaceDE w:val="0"/>
              <w:autoSpaceDN w:val="0"/>
              <w:adjustRightInd w:val="0"/>
              <w:spacing w:afterAutospacing="1"/>
              <w:jc w:val="center"/>
              <w:rPr>
                <w:bCs/>
                <w:kern w:val="0"/>
                <w:sz w:val="24"/>
              </w:rPr>
            </w:pPr>
            <w:r>
              <w:rPr>
                <w:bCs/>
                <w:kern w:val="0"/>
                <w:sz w:val="24"/>
              </w:rPr>
              <w:t>CP</w:t>
            </w:r>
          </w:p>
        </w:tc>
        <w:tc>
          <w:tcPr>
            <w:tcW w:w="3383" w:type="dxa"/>
            <w:tcBorders>
              <w:top w:val="single" w:color="auto" w:sz="4" w:space="0"/>
            </w:tcBorders>
            <w:vAlign w:val="center"/>
          </w:tcPr>
          <w:p>
            <w:pPr>
              <w:tabs>
                <w:tab w:val="center" w:pos="5270"/>
              </w:tabs>
              <w:autoSpaceDE w:val="0"/>
              <w:autoSpaceDN w:val="0"/>
              <w:adjustRightInd w:val="0"/>
              <w:spacing w:afterAutospacing="1"/>
              <w:jc w:val="center"/>
              <w:rPr>
                <w:bCs/>
                <w:kern w:val="0"/>
                <w:sz w:val="24"/>
              </w:rPr>
            </w:pPr>
            <w:r>
              <w:rPr>
                <w:bCs/>
                <w:kern w:val="0"/>
                <w:sz w:val="24"/>
              </w:rPr>
              <w:t>y=</w:t>
            </w:r>
            <w:r>
              <w:rPr>
                <w:rFonts w:hint="eastAsia"/>
                <w:bCs/>
                <w:kern w:val="0"/>
                <w:sz w:val="24"/>
              </w:rPr>
              <w:t>—</w:t>
            </w:r>
            <w:r>
              <w:rPr>
                <w:bCs/>
                <w:kern w:val="0"/>
                <w:sz w:val="24"/>
              </w:rPr>
              <w:t>0.005x+21.342</w:t>
            </w:r>
          </w:p>
        </w:tc>
        <w:tc>
          <w:tcPr>
            <w:tcW w:w="1824" w:type="dxa"/>
            <w:tcBorders>
              <w:top w:val="single" w:color="auto" w:sz="4" w:space="0"/>
            </w:tcBorders>
            <w:vAlign w:val="center"/>
          </w:tcPr>
          <w:p>
            <w:pPr>
              <w:tabs>
                <w:tab w:val="center" w:pos="5270"/>
              </w:tabs>
              <w:autoSpaceDE w:val="0"/>
              <w:autoSpaceDN w:val="0"/>
              <w:adjustRightInd w:val="0"/>
              <w:spacing w:afterAutospacing="1"/>
              <w:jc w:val="center"/>
              <w:rPr>
                <w:bCs/>
                <w:kern w:val="0"/>
                <w:sz w:val="24"/>
              </w:rPr>
            </w:pPr>
            <w:r>
              <w:rPr>
                <w:bCs/>
                <w:i/>
                <w:kern w:val="0"/>
                <w:sz w:val="24"/>
              </w:rPr>
              <w:t>R</w:t>
            </w:r>
            <w:r>
              <w:rPr>
                <w:bCs/>
                <w:kern w:val="0"/>
                <w:sz w:val="24"/>
                <w:vertAlign w:val="superscript"/>
              </w:rPr>
              <w:t>2</w:t>
            </w:r>
            <w:r>
              <w:rPr>
                <w:bCs/>
                <w:kern w:val="0"/>
                <w:sz w:val="24"/>
              </w:rPr>
              <w:t>=0.948</w:t>
            </w:r>
          </w:p>
        </w:tc>
        <w:tc>
          <w:tcPr>
            <w:tcW w:w="1423" w:type="dxa"/>
            <w:tcBorders>
              <w:top w:val="single" w:color="auto" w:sz="4" w:space="0"/>
            </w:tcBorders>
            <w:vAlign w:val="center"/>
          </w:tcPr>
          <w:p>
            <w:pPr>
              <w:tabs>
                <w:tab w:val="center" w:pos="5270"/>
              </w:tabs>
              <w:autoSpaceDE w:val="0"/>
              <w:autoSpaceDN w:val="0"/>
              <w:adjustRightInd w:val="0"/>
              <w:spacing w:afterAutospacing="1"/>
              <w:jc w:val="center"/>
              <w:rPr>
                <w:bCs/>
                <w:kern w:val="0"/>
                <w:sz w:val="24"/>
              </w:rPr>
            </w:pPr>
            <w:r>
              <w:rPr>
                <w:bCs/>
                <w:kern w:val="0"/>
                <w:sz w:val="24"/>
              </w:rPr>
              <w:t>54.174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892" w:type="dxa"/>
            <w:vAlign w:val="center"/>
          </w:tcPr>
          <w:p>
            <w:pPr>
              <w:tabs>
                <w:tab w:val="center" w:pos="5270"/>
              </w:tabs>
              <w:autoSpaceDE w:val="0"/>
              <w:autoSpaceDN w:val="0"/>
              <w:adjustRightInd w:val="0"/>
              <w:spacing w:afterAutospacing="1"/>
              <w:jc w:val="center"/>
              <w:rPr>
                <w:bCs/>
                <w:kern w:val="0"/>
                <w:sz w:val="24"/>
              </w:rPr>
            </w:pPr>
            <w:r>
              <w:rPr>
                <w:bCs/>
                <w:kern w:val="0"/>
                <w:sz w:val="24"/>
              </w:rPr>
              <w:t>NDF</w:t>
            </w:r>
          </w:p>
        </w:tc>
        <w:tc>
          <w:tcPr>
            <w:tcW w:w="3383" w:type="dxa"/>
            <w:vAlign w:val="center"/>
          </w:tcPr>
          <w:p>
            <w:pPr>
              <w:tabs>
                <w:tab w:val="center" w:pos="5270"/>
              </w:tabs>
              <w:autoSpaceDE w:val="0"/>
              <w:autoSpaceDN w:val="0"/>
              <w:adjustRightInd w:val="0"/>
              <w:spacing w:afterAutospacing="1"/>
              <w:jc w:val="center"/>
              <w:rPr>
                <w:bCs/>
                <w:kern w:val="0"/>
                <w:sz w:val="24"/>
              </w:rPr>
            </w:pPr>
            <w:r>
              <w:rPr>
                <w:bCs/>
                <w:kern w:val="0"/>
                <w:sz w:val="24"/>
              </w:rPr>
              <w:t>y=0.013x+32.109</w:t>
            </w:r>
          </w:p>
        </w:tc>
        <w:tc>
          <w:tcPr>
            <w:tcW w:w="1824" w:type="dxa"/>
            <w:vAlign w:val="center"/>
          </w:tcPr>
          <w:p>
            <w:pPr>
              <w:tabs>
                <w:tab w:val="center" w:pos="5270"/>
              </w:tabs>
              <w:autoSpaceDE w:val="0"/>
              <w:autoSpaceDN w:val="0"/>
              <w:adjustRightInd w:val="0"/>
              <w:spacing w:afterAutospacing="1"/>
              <w:jc w:val="center"/>
              <w:rPr>
                <w:bCs/>
                <w:kern w:val="0"/>
                <w:sz w:val="24"/>
              </w:rPr>
            </w:pPr>
            <w:r>
              <w:rPr>
                <w:bCs/>
                <w:i/>
                <w:kern w:val="0"/>
                <w:sz w:val="24"/>
              </w:rPr>
              <w:t>R</w:t>
            </w:r>
            <w:r>
              <w:rPr>
                <w:bCs/>
                <w:kern w:val="0"/>
                <w:sz w:val="24"/>
                <w:vertAlign w:val="superscript"/>
              </w:rPr>
              <w:t>2</w:t>
            </w:r>
            <w:r>
              <w:rPr>
                <w:bCs/>
                <w:kern w:val="0"/>
                <w:sz w:val="24"/>
              </w:rPr>
              <w:t>=0.865</w:t>
            </w:r>
          </w:p>
        </w:tc>
        <w:tc>
          <w:tcPr>
            <w:tcW w:w="1423" w:type="dxa"/>
            <w:vAlign w:val="center"/>
          </w:tcPr>
          <w:p>
            <w:pPr>
              <w:tabs>
                <w:tab w:val="center" w:pos="5270"/>
              </w:tabs>
              <w:autoSpaceDE w:val="0"/>
              <w:autoSpaceDN w:val="0"/>
              <w:adjustRightInd w:val="0"/>
              <w:spacing w:afterAutospacing="1"/>
              <w:jc w:val="center"/>
              <w:rPr>
                <w:bCs/>
                <w:kern w:val="0"/>
                <w:sz w:val="24"/>
              </w:rPr>
            </w:pPr>
            <w:r>
              <w:rPr>
                <w:bCs/>
                <w:kern w:val="0"/>
                <w:sz w:val="24"/>
              </w:rPr>
              <w:t>19.169</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892" w:type="dxa"/>
            <w:vAlign w:val="center"/>
          </w:tcPr>
          <w:p>
            <w:pPr>
              <w:tabs>
                <w:tab w:val="center" w:pos="5270"/>
              </w:tabs>
              <w:autoSpaceDE w:val="0"/>
              <w:autoSpaceDN w:val="0"/>
              <w:adjustRightInd w:val="0"/>
              <w:spacing w:afterAutospacing="1"/>
              <w:jc w:val="center"/>
              <w:rPr>
                <w:bCs/>
                <w:kern w:val="0"/>
                <w:sz w:val="24"/>
              </w:rPr>
            </w:pPr>
            <w:r>
              <w:rPr>
                <w:bCs/>
                <w:kern w:val="0"/>
                <w:sz w:val="24"/>
              </w:rPr>
              <w:t>ADF</w:t>
            </w:r>
          </w:p>
        </w:tc>
        <w:tc>
          <w:tcPr>
            <w:tcW w:w="3383" w:type="dxa"/>
            <w:vAlign w:val="center"/>
          </w:tcPr>
          <w:p>
            <w:pPr>
              <w:tabs>
                <w:tab w:val="center" w:pos="5270"/>
              </w:tabs>
              <w:autoSpaceDE w:val="0"/>
              <w:autoSpaceDN w:val="0"/>
              <w:adjustRightInd w:val="0"/>
              <w:spacing w:afterAutospacing="1"/>
              <w:jc w:val="center"/>
              <w:rPr>
                <w:bCs/>
                <w:kern w:val="0"/>
                <w:sz w:val="24"/>
              </w:rPr>
            </w:pPr>
            <w:r>
              <w:rPr>
                <w:bCs/>
                <w:kern w:val="0"/>
                <w:sz w:val="24"/>
              </w:rPr>
              <w:t>y=0.015x+24.942</w:t>
            </w:r>
          </w:p>
        </w:tc>
        <w:tc>
          <w:tcPr>
            <w:tcW w:w="1824" w:type="dxa"/>
            <w:vAlign w:val="center"/>
          </w:tcPr>
          <w:p>
            <w:pPr>
              <w:tabs>
                <w:tab w:val="center" w:pos="5270"/>
              </w:tabs>
              <w:autoSpaceDE w:val="0"/>
              <w:autoSpaceDN w:val="0"/>
              <w:adjustRightInd w:val="0"/>
              <w:spacing w:afterAutospacing="1"/>
              <w:jc w:val="center"/>
              <w:rPr>
                <w:bCs/>
                <w:kern w:val="0"/>
                <w:sz w:val="24"/>
              </w:rPr>
            </w:pPr>
            <w:r>
              <w:rPr>
                <w:bCs/>
                <w:i/>
                <w:kern w:val="0"/>
                <w:sz w:val="24"/>
              </w:rPr>
              <w:t>R</w:t>
            </w:r>
            <w:r>
              <w:rPr>
                <w:bCs/>
                <w:kern w:val="0"/>
                <w:sz w:val="24"/>
                <w:vertAlign w:val="superscript"/>
              </w:rPr>
              <w:t>2</w:t>
            </w:r>
            <w:r>
              <w:rPr>
                <w:bCs/>
                <w:kern w:val="0"/>
                <w:sz w:val="24"/>
              </w:rPr>
              <w:t>=0.877</w:t>
            </w:r>
          </w:p>
        </w:tc>
        <w:tc>
          <w:tcPr>
            <w:tcW w:w="1423" w:type="dxa"/>
            <w:vAlign w:val="center"/>
          </w:tcPr>
          <w:p>
            <w:pPr>
              <w:tabs>
                <w:tab w:val="center" w:pos="5270"/>
              </w:tabs>
              <w:autoSpaceDE w:val="0"/>
              <w:autoSpaceDN w:val="0"/>
              <w:adjustRightInd w:val="0"/>
              <w:spacing w:afterAutospacing="1"/>
              <w:jc w:val="center"/>
              <w:rPr>
                <w:bCs/>
                <w:kern w:val="0"/>
                <w:sz w:val="24"/>
              </w:rPr>
            </w:pPr>
            <w:r>
              <w:rPr>
                <w:bCs/>
                <w:kern w:val="0"/>
                <w:sz w:val="24"/>
              </w:rPr>
              <w:t>21.320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892" w:type="dxa"/>
            <w:tcBorders>
              <w:bottom w:val="single" w:color="auto" w:sz="4" w:space="0"/>
            </w:tcBorders>
            <w:vAlign w:val="center"/>
          </w:tcPr>
          <w:p>
            <w:pPr>
              <w:tabs>
                <w:tab w:val="center" w:pos="5270"/>
              </w:tabs>
              <w:autoSpaceDE w:val="0"/>
              <w:autoSpaceDN w:val="0"/>
              <w:adjustRightInd w:val="0"/>
              <w:spacing w:afterAutospacing="1"/>
              <w:jc w:val="center"/>
              <w:rPr>
                <w:bCs/>
                <w:kern w:val="0"/>
                <w:sz w:val="24"/>
              </w:rPr>
            </w:pPr>
            <w:r>
              <w:rPr>
                <w:bCs/>
                <w:kern w:val="0"/>
                <w:sz w:val="24"/>
              </w:rPr>
              <w:t>RFV</w:t>
            </w:r>
          </w:p>
        </w:tc>
        <w:tc>
          <w:tcPr>
            <w:tcW w:w="3383" w:type="dxa"/>
            <w:tcBorders>
              <w:bottom w:val="single" w:color="auto" w:sz="4" w:space="0"/>
            </w:tcBorders>
            <w:vAlign w:val="center"/>
          </w:tcPr>
          <w:p>
            <w:pPr>
              <w:tabs>
                <w:tab w:val="center" w:pos="5270"/>
              </w:tabs>
              <w:autoSpaceDE w:val="0"/>
              <w:autoSpaceDN w:val="0"/>
              <w:adjustRightInd w:val="0"/>
              <w:spacing w:afterAutospacing="1"/>
              <w:jc w:val="center"/>
              <w:rPr>
                <w:bCs/>
                <w:kern w:val="0"/>
                <w:sz w:val="24"/>
              </w:rPr>
            </w:pPr>
            <w:r>
              <w:rPr>
                <w:bCs/>
                <w:kern w:val="0"/>
                <w:sz w:val="24"/>
              </w:rPr>
              <w:t>y=</w:t>
            </w:r>
            <w:r>
              <w:rPr>
                <w:rFonts w:hint="eastAsia"/>
                <w:bCs/>
                <w:kern w:val="0"/>
                <w:sz w:val="24"/>
              </w:rPr>
              <w:t>—</w:t>
            </w:r>
            <w:r>
              <w:rPr>
                <w:bCs/>
                <w:kern w:val="0"/>
                <w:sz w:val="24"/>
              </w:rPr>
              <w:t>0.065x+183.652</w:t>
            </w:r>
          </w:p>
        </w:tc>
        <w:tc>
          <w:tcPr>
            <w:tcW w:w="1824" w:type="dxa"/>
            <w:tcBorders>
              <w:bottom w:val="single" w:color="auto" w:sz="4" w:space="0"/>
            </w:tcBorders>
            <w:vAlign w:val="center"/>
          </w:tcPr>
          <w:p>
            <w:pPr>
              <w:tabs>
                <w:tab w:val="center" w:pos="5270"/>
              </w:tabs>
              <w:autoSpaceDE w:val="0"/>
              <w:autoSpaceDN w:val="0"/>
              <w:adjustRightInd w:val="0"/>
              <w:spacing w:afterAutospacing="1"/>
              <w:jc w:val="center"/>
              <w:rPr>
                <w:bCs/>
                <w:kern w:val="0"/>
                <w:sz w:val="24"/>
              </w:rPr>
            </w:pPr>
            <w:r>
              <w:rPr>
                <w:bCs/>
                <w:i/>
                <w:kern w:val="0"/>
                <w:sz w:val="24"/>
              </w:rPr>
              <w:t>R</w:t>
            </w:r>
            <w:r>
              <w:rPr>
                <w:bCs/>
                <w:kern w:val="0"/>
                <w:sz w:val="24"/>
                <w:vertAlign w:val="superscript"/>
              </w:rPr>
              <w:t>2</w:t>
            </w:r>
            <w:r>
              <w:rPr>
                <w:bCs/>
                <w:kern w:val="0"/>
                <w:sz w:val="24"/>
              </w:rPr>
              <w:t>=0.932</w:t>
            </w:r>
          </w:p>
        </w:tc>
        <w:tc>
          <w:tcPr>
            <w:tcW w:w="1423" w:type="dxa"/>
            <w:tcBorders>
              <w:bottom w:val="single" w:color="auto" w:sz="4" w:space="0"/>
            </w:tcBorders>
            <w:vAlign w:val="center"/>
          </w:tcPr>
          <w:p>
            <w:pPr>
              <w:tabs>
                <w:tab w:val="center" w:pos="5270"/>
              </w:tabs>
              <w:autoSpaceDE w:val="0"/>
              <w:autoSpaceDN w:val="0"/>
              <w:adjustRightInd w:val="0"/>
              <w:spacing w:afterAutospacing="1"/>
              <w:jc w:val="center"/>
              <w:rPr>
                <w:bCs/>
                <w:kern w:val="0"/>
                <w:sz w:val="24"/>
              </w:rPr>
            </w:pPr>
            <w:r>
              <w:rPr>
                <w:bCs/>
                <w:kern w:val="0"/>
                <w:sz w:val="24"/>
              </w:rPr>
              <w:t>41.353</w:t>
            </w:r>
          </w:p>
        </w:tc>
      </w:tr>
    </w:tbl>
    <w:p>
      <w:pPr>
        <w:spacing w:line="360" w:lineRule="auto"/>
        <w:ind w:firstLine="480" w:firstLineChars="200"/>
        <w:rPr>
          <w:rFonts w:hAnsi="宋体"/>
          <w:sz w:val="24"/>
        </w:rPr>
      </w:pPr>
      <w:r>
        <w:rPr>
          <w:rFonts w:hint="eastAsia" w:hAnsi="宋体"/>
          <w:sz w:val="24"/>
        </w:rPr>
        <w:t>2、夏播苜蓿播期与当年刈割时间</w:t>
      </w:r>
    </w:p>
    <w:p>
      <w:pPr>
        <w:spacing w:line="360" w:lineRule="auto"/>
        <w:ind w:firstLine="480" w:firstLineChars="200"/>
        <w:rPr>
          <w:rFonts w:hAnsi="宋体"/>
          <w:sz w:val="24"/>
        </w:rPr>
      </w:pPr>
      <w:r>
        <w:rPr>
          <w:rFonts w:hAnsi="宋体"/>
          <w:sz w:val="24"/>
        </w:rPr>
        <w:t>随着夏播时间的延迟，未刈割处理苜蓿的越冬率</w:t>
      </w:r>
      <w:r>
        <w:rPr>
          <w:rFonts w:hint="eastAsia" w:hAnsi="宋体"/>
          <w:sz w:val="24"/>
        </w:rPr>
        <w:t>呈</w:t>
      </w:r>
      <w:r>
        <w:rPr>
          <w:rFonts w:hAnsi="宋体"/>
          <w:sz w:val="24"/>
        </w:rPr>
        <w:t>现出逐渐降低的趋势，7月份播种苜蓿的越冬率均极显著高于8月2日和8月10日</w:t>
      </w:r>
      <w:r>
        <w:rPr>
          <w:rFonts w:hint="eastAsia" w:hAnsi="宋体"/>
          <w:sz w:val="24"/>
        </w:rPr>
        <w:t>；</w:t>
      </w:r>
      <w:r>
        <w:rPr>
          <w:rFonts w:hAnsi="宋体"/>
          <w:sz w:val="24"/>
        </w:rPr>
        <w:t>7月2日至7月24日播种苜蓿各处理平均越冬率达到70%以上</w:t>
      </w:r>
      <w:r>
        <w:rPr>
          <w:rFonts w:hint="eastAsia" w:hAnsi="宋体"/>
          <w:sz w:val="24"/>
        </w:rPr>
        <w:t>；</w:t>
      </w:r>
      <w:r>
        <w:rPr>
          <w:rFonts w:hAnsi="宋体"/>
          <w:sz w:val="24"/>
        </w:rPr>
        <w:t>7月初播种同时在9月</w:t>
      </w:r>
      <w:r>
        <w:rPr>
          <w:rFonts w:hint="eastAsia" w:hAnsi="宋体"/>
          <w:sz w:val="24"/>
        </w:rPr>
        <w:t>初</w:t>
      </w:r>
      <w:r>
        <w:rPr>
          <w:rFonts w:hAnsi="宋体"/>
          <w:sz w:val="24"/>
        </w:rPr>
        <w:t>刈割</w:t>
      </w:r>
      <w:r>
        <w:rPr>
          <w:rFonts w:hint="eastAsia" w:hAnsi="宋体"/>
          <w:sz w:val="24"/>
        </w:rPr>
        <w:t>，</w:t>
      </w:r>
      <w:r>
        <w:rPr>
          <w:rFonts w:hAnsi="宋体"/>
          <w:sz w:val="24"/>
        </w:rPr>
        <w:t>越冬率与未刈割相比差异不显著；7月12日至7月29日播种的苜蓿各刈割处理越冬率均要</w:t>
      </w:r>
      <w:r>
        <w:rPr>
          <w:rFonts w:hint="eastAsia" w:hAnsi="宋体"/>
          <w:sz w:val="24"/>
        </w:rPr>
        <w:t>低</w:t>
      </w:r>
      <w:r>
        <w:rPr>
          <w:rFonts w:hAnsi="宋体"/>
          <w:sz w:val="24"/>
        </w:rPr>
        <w:t>于未刈割处理，建议播种当年不进行刈割</w:t>
      </w:r>
      <w:r>
        <w:rPr>
          <w:rFonts w:hint="eastAsia" w:hAnsi="宋体"/>
          <w:sz w:val="24"/>
        </w:rPr>
        <w:t>。综上所述，在阿鲁科尔沁旗地区，夏</w:t>
      </w:r>
      <w:r>
        <w:rPr>
          <w:rFonts w:hAnsi="宋体"/>
          <w:sz w:val="24"/>
        </w:rPr>
        <w:t>播</w:t>
      </w:r>
      <w:r>
        <w:rPr>
          <w:rFonts w:hint="eastAsia" w:hAnsi="宋体"/>
          <w:sz w:val="24"/>
        </w:rPr>
        <w:t>时间</w:t>
      </w:r>
      <w:r>
        <w:rPr>
          <w:rFonts w:hAnsi="宋体"/>
          <w:sz w:val="24"/>
        </w:rPr>
        <w:t>以7月</w:t>
      </w:r>
      <w:r>
        <w:rPr>
          <w:rFonts w:hint="eastAsia" w:hAnsi="宋体"/>
          <w:sz w:val="24"/>
        </w:rPr>
        <w:t>24</w:t>
      </w:r>
      <w:r>
        <w:rPr>
          <w:rFonts w:hAnsi="宋体"/>
          <w:sz w:val="24"/>
        </w:rPr>
        <w:t>日以前为宜</w:t>
      </w:r>
      <w:r>
        <w:rPr>
          <w:rFonts w:hint="eastAsia" w:hAnsi="宋体"/>
          <w:sz w:val="24"/>
        </w:rPr>
        <w:t>，</w:t>
      </w:r>
      <w:r>
        <w:rPr>
          <w:rFonts w:hAnsi="宋体"/>
          <w:sz w:val="24"/>
        </w:rPr>
        <w:t>7月</w:t>
      </w:r>
      <w:r>
        <w:rPr>
          <w:rFonts w:hint="eastAsia" w:hAnsi="宋体"/>
          <w:sz w:val="24"/>
        </w:rPr>
        <w:t>初</w:t>
      </w:r>
      <w:r>
        <w:rPr>
          <w:rFonts w:hAnsi="宋体"/>
          <w:sz w:val="24"/>
        </w:rPr>
        <w:t>播种的苜蓿适宜在播种当年9月</w:t>
      </w:r>
      <w:r>
        <w:rPr>
          <w:rFonts w:hint="eastAsia" w:hAnsi="宋体"/>
          <w:sz w:val="24"/>
        </w:rPr>
        <w:t>初</w:t>
      </w:r>
      <w:r>
        <w:rPr>
          <w:rFonts w:hAnsi="宋体"/>
          <w:sz w:val="24"/>
        </w:rPr>
        <w:t>刈割</w:t>
      </w:r>
      <w:r>
        <w:rPr>
          <w:rFonts w:hint="eastAsia" w:hAnsi="宋体"/>
          <w:sz w:val="24"/>
        </w:rPr>
        <w:t>（表2）。</w:t>
      </w:r>
    </w:p>
    <w:p>
      <w:pPr>
        <w:jc w:val="center"/>
        <w:rPr>
          <w:sz w:val="24"/>
        </w:rPr>
      </w:pPr>
      <w:r>
        <w:rPr>
          <w:rFonts w:hint="eastAsia"/>
          <w:sz w:val="24"/>
        </w:rPr>
        <w:t>表2 夏播时间与当年刈割时间苜蓿株高、产量和越冬率</w:t>
      </w:r>
    </w:p>
    <w:tbl>
      <w:tblPr>
        <w:tblStyle w:val="10"/>
        <w:tblW w:w="8528"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2"/>
        <w:gridCol w:w="2132"/>
        <w:gridCol w:w="2132"/>
        <w:gridCol w:w="2132"/>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tcBorders>
              <w:top w:val="single" w:color="auto" w:sz="4" w:space="0"/>
              <w:bottom w:val="single" w:color="auto" w:sz="4" w:space="0"/>
            </w:tcBorders>
          </w:tcPr>
          <w:p>
            <w:pPr>
              <w:jc w:val="center"/>
              <w:rPr>
                <w:rFonts w:hAnsi="宋体"/>
                <w:sz w:val="24"/>
              </w:rPr>
            </w:pPr>
            <w:r>
              <w:rPr>
                <w:rFonts w:hint="eastAsia" w:hAnsi="宋体"/>
                <w:sz w:val="24"/>
              </w:rPr>
              <w:t>播种时间</w:t>
            </w:r>
          </w:p>
        </w:tc>
        <w:tc>
          <w:tcPr>
            <w:tcW w:w="2132" w:type="dxa"/>
            <w:tcBorders>
              <w:top w:val="single" w:color="auto" w:sz="4" w:space="0"/>
              <w:bottom w:val="single" w:color="auto" w:sz="4" w:space="0"/>
            </w:tcBorders>
          </w:tcPr>
          <w:p>
            <w:pPr>
              <w:jc w:val="center"/>
              <w:rPr>
                <w:rFonts w:hAnsi="宋体"/>
                <w:sz w:val="24"/>
              </w:rPr>
            </w:pPr>
            <w:r>
              <w:rPr>
                <w:rFonts w:hint="eastAsia" w:hAnsi="宋体"/>
                <w:sz w:val="24"/>
              </w:rPr>
              <w:t>刈割时间</w:t>
            </w:r>
          </w:p>
        </w:tc>
        <w:tc>
          <w:tcPr>
            <w:tcW w:w="2132" w:type="dxa"/>
            <w:tcBorders>
              <w:top w:val="single" w:color="auto" w:sz="4" w:space="0"/>
              <w:bottom w:val="single" w:color="auto" w:sz="4" w:space="0"/>
            </w:tcBorders>
          </w:tcPr>
          <w:p>
            <w:pPr>
              <w:jc w:val="center"/>
              <w:rPr>
                <w:rFonts w:hAnsi="宋体"/>
                <w:sz w:val="24"/>
              </w:rPr>
            </w:pPr>
            <w:r>
              <w:rPr>
                <w:rFonts w:hint="eastAsia" w:hAnsi="宋体"/>
                <w:sz w:val="24"/>
              </w:rPr>
              <w:t>株高（cm）</w:t>
            </w:r>
          </w:p>
        </w:tc>
        <w:tc>
          <w:tcPr>
            <w:tcW w:w="2132" w:type="dxa"/>
            <w:tcBorders>
              <w:top w:val="single" w:color="auto" w:sz="4" w:space="0"/>
              <w:bottom w:val="single" w:color="auto" w:sz="4" w:space="0"/>
            </w:tcBorders>
          </w:tcPr>
          <w:p>
            <w:pPr>
              <w:jc w:val="center"/>
              <w:rPr>
                <w:rFonts w:hAnsi="宋体"/>
                <w:sz w:val="24"/>
              </w:rPr>
            </w:pPr>
            <w:r>
              <w:rPr>
                <w:rFonts w:hint="eastAsia" w:hAnsi="宋体"/>
                <w:sz w:val="24"/>
              </w:rPr>
              <w:t>越冬率（%）</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restart"/>
            <w:tcBorders>
              <w:top w:val="single" w:color="auto" w:sz="4" w:space="0"/>
              <w:bottom w:val="single" w:color="auto" w:sz="4" w:space="0"/>
            </w:tcBorders>
            <w:vAlign w:val="center"/>
          </w:tcPr>
          <w:p>
            <w:pPr>
              <w:jc w:val="center"/>
              <w:rPr>
                <w:sz w:val="24"/>
              </w:rPr>
            </w:pPr>
            <w:r>
              <w:rPr>
                <w:sz w:val="24"/>
              </w:rPr>
              <w:t>7/2</w:t>
            </w:r>
          </w:p>
        </w:tc>
        <w:tc>
          <w:tcPr>
            <w:tcW w:w="2132" w:type="dxa"/>
            <w:tcBorders>
              <w:top w:val="single" w:color="auto" w:sz="4" w:space="0"/>
              <w:bottom w:val="nil"/>
            </w:tcBorders>
            <w:vAlign w:val="center"/>
          </w:tcPr>
          <w:p>
            <w:pPr>
              <w:jc w:val="center"/>
              <w:rPr>
                <w:sz w:val="24"/>
              </w:rPr>
            </w:pPr>
            <w:r>
              <w:rPr>
                <w:sz w:val="24"/>
              </w:rPr>
              <w:t>9/4</w:t>
            </w:r>
          </w:p>
        </w:tc>
        <w:tc>
          <w:tcPr>
            <w:tcW w:w="2132" w:type="dxa"/>
            <w:tcBorders>
              <w:top w:val="single" w:color="auto" w:sz="4" w:space="0"/>
              <w:bottom w:val="nil"/>
            </w:tcBorders>
          </w:tcPr>
          <w:p>
            <w:pPr>
              <w:jc w:val="left"/>
              <w:rPr>
                <w:sz w:val="24"/>
              </w:rPr>
            </w:pPr>
            <w:r>
              <w:rPr>
                <w:sz w:val="24"/>
              </w:rPr>
              <w:t>45.8</w:t>
            </w:r>
          </w:p>
        </w:tc>
        <w:tc>
          <w:tcPr>
            <w:tcW w:w="2132" w:type="dxa"/>
            <w:tcBorders>
              <w:top w:val="single" w:color="auto" w:sz="4" w:space="0"/>
              <w:bottom w:val="nil"/>
            </w:tcBorders>
          </w:tcPr>
          <w:p>
            <w:pPr>
              <w:spacing w:line="240" w:lineRule="atLeast"/>
              <w:jc w:val="left"/>
              <w:rPr>
                <w:sz w:val="24"/>
              </w:rPr>
            </w:pPr>
            <w:r>
              <w:rPr>
                <w:sz w:val="24"/>
              </w:rPr>
              <w:t>96.6</w:t>
            </w:r>
            <w:r>
              <w:rPr>
                <w:rFonts w:hint="eastAsia"/>
                <w:sz w:val="24"/>
              </w:rPr>
              <w:t>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nil"/>
            </w:tcBorders>
            <w:vAlign w:val="center"/>
          </w:tcPr>
          <w:p>
            <w:pPr>
              <w:jc w:val="center"/>
              <w:rPr>
                <w:sz w:val="24"/>
              </w:rPr>
            </w:pPr>
            <w:r>
              <w:rPr>
                <w:sz w:val="24"/>
              </w:rPr>
              <w:t>9/11</w:t>
            </w:r>
          </w:p>
        </w:tc>
        <w:tc>
          <w:tcPr>
            <w:tcW w:w="2132" w:type="dxa"/>
            <w:tcBorders>
              <w:top w:val="nil"/>
              <w:bottom w:val="nil"/>
            </w:tcBorders>
          </w:tcPr>
          <w:p>
            <w:pPr>
              <w:jc w:val="left"/>
              <w:rPr>
                <w:sz w:val="24"/>
              </w:rPr>
            </w:pPr>
            <w:r>
              <w:rPr>
                <w:sz w:val="24"/>
              </w:rPr>
              <w:t>47.7</w:t>
            </w:r>
          </w:p>
        </w:tc>
        <w:tc>
          <w:tcPr>
            <w:tcW w:w="2132" w:type="dxa"/>
            <w:tcBorders>
              <w:top w:val="nil"/>
              <w:bottom w:val="nil"/>
            </w:tcBorders>
          </w:tcPr>
          <w:p>
            <w:pPr>
              <w:spacing w:line="240" w:lineRule="atLeast"/>
              <w:jc w:val="left"/>
              <w:rPr>
                <w:sz w:val="24"/>
              </w:rPr>
            </w:pPr>
            <w:r>
              <w:rPr>
                <w:sz w:val="24"/>
              </w:rPr>
              <w:t>83.7</w:t>
            </w:r>
            <w:r>
              <w:rPr>
                <w:rFonts w:hint="eastAsia"/>
                <w:sz w:val="24"/>
              </w:rPr>
              <w:t>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nil"/>
            </w:tcBorders>
            <w:vAlign w:val="center"/>
          </w:tcPr>
          <w:p>
            <w:pPr>
              <w:jc w:val="center"/>
              <w:rPr>
                <w:sz w:val="24"/>
              </w:rPr>
            </w:pPr>
            <w:r>
              <w:rPr>
                <w:sz w:val="24"/>
              </w:rPr>
              <w:t>9/18</w:t>
            </w:r>
          </w:p>
        </w:tc>
        <w:tc>
          <w:tcPr>
            <w:tcW w:w="2132" w:type="dxa"/>
            <w:tcBorders>
              <w:top w:val="nil"/>
              <w:bottom w:val="nil"/>
            </w:tcBorders>
          </w:tcPr>
          <w:p>
            <w:pPr>
              <w:jc w:val="left"/>
              <w:rPr>
                <w:sz w:val="24"/>
              </w:rPr>
            </w:pPr>
            <w:r>
              <w:rPr>
                <w:sz w:val="24"/>
              </w:rPr>
              <w:t>48.1</w:t>
            </w:r>
          </w:p>
        </w:tc>
        <w:tc>
          <w:tcPr>
            <w:tcW w:w="2132" w:type="dxa"/>
            <w:tcBorders>
              <w:top w:val="nil"/>
              <w:bottom w:val="nil"/>
            </w:tcBorders>
          </w:tcPr>
          <w:p>
            <w:pPr>
              <w:spacing w:line="240" w:lineRule="atLeast"/>
              <w:jc w:val="left"/>
              <w:rPr>
                <w:sz w:val="24"/>
              </w:rPr>
            </w:pPr>
            <w:r>
              <w:rPr>
                <w:sz w:val="24"/>
              </w:rPr>
              <w:t>70.8</w:t>
            </w:r>
            <w:r>
              <w:rPr>
                <w:rFonts w:hint="eastAsia"/>
                <w:sz w:val="24"/>
              </w:rPr>
              <w:t>0</w:t>
            </w:r>
            <w:r>
              <w:rPr>
                <w:kern w:val="0"/>
                <w:sz w:val="24"/>
                <w:vertAlign w:val="superscript"/>
              </w:rPr>
              <w:t>E</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nil"/>
            </w:tcBorders>
            <w:vAlign w:val="center"/>
          </w:tcPr>
          <w:p>
            <w:pPr>
              <w:jc w:val="center"/>
              <w:rPr>
                <w:sz w:val="24"/>
              </w:rPr>
            </w:pPr>
            <w:r>
              <w:rPr>
                <w:sz w:val="24"/>
              </w:rPr>
              <w:t>9/26</w:t>
            </w:r>
          </w:p>
        </w:tc>
        <w:tc>
          <w:tcPr>
            <w:tcW w:w="2132" w:type="dxa"/>
            <w:tcBorders>
              <w:top w:val="nil"/>
              <w:bottom w:val="nil"/>
            </w:tcBorders>
          </w:tcPr>
          <w:p>
            <w:pPr>
              <w:jc w:val="left"/>
              <w:rPr>
                <w:sz w:val="24"/>
              </w:rPr>
            </w:pPr>
            <w:r>
              <w:rPr>
                <w:sz w:val="24"/>
              </w:rPr>
              <w:t>48.4</w:t>
            </w:r>
          </w:p>
        </w:tc>
        <w:tc>
          <w:tcPr>
            <w:tcW w:w="2132" w:type="dxa"/>
            <w:tcBorders>
              <w:top w:val="nil"/>
              <w:bottom w:val="nil"/>
            </w:tcBorders>
          </w:tcPr>
          <w:p>
            <w:pPr>
              <w:spacing w:line="240" w:lineRule="atLeast"/>
              <w:jc w:val="left"/>
              <w:rPr>
                <w:sz w:val="24"/>
              </w:rPr>
            </w:pPr>
            <w:r>
              <w:rPr>
                <w:sz w:val="24"/>
              </w:rPr>
              <w:t>85.4</w:t>
            </w:r>
            <w:r>
              <w:rPr>
                <w:rFonts w:hint="eastAsia"/>
                <w:sz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nil"/>
            </w:tcBorders>
            <w:vAlign w:val="center"/>
          </w:tcPr>
          <w:p>
            <w:pPr>
              <w:jc w:val="center"/>
              <w:rPr>
                <w:sz w:val="24"/>
              </w:rPr>
            </w:pPr>
            <w:r>
              <w:rPr>
                <w:sz w:val="24"/>
              </w:rPr>
              <w:t>10/11</w:t>
            </w:r>
          </w:p>
        </w:tc>
        <w:tc>
          <w:tcPr>
            <w:tcW w:w="2132" w:type="dxa"/>
            <w:tcBorders>
              <w:top w:val="nil"/>
              <w:bottom w:val="nil"/>
            </w:tcBorders>
          </w:tcPr>
          <w:p>
            <w:pPr>
              <w:jc w:val="left"/>
              <w:rPr>
                <w:sz w:val="24"/>
              </w:rPr>
            </w:pPr>
            <w:r>
              <w:rPr>
                <w:sz w:val="24"/>
              </w:rPr>
              <w:t>49.0</w:t>
            </w:r>
          </w:p>
        </w:tc>
        <w:tc>
          <w:tcPr>
            <w:tcW w:w="2132" w:type="dxa"/>
            <w:tcBorders>
              <w:top w:val="nil"/>
              <w:bottom w:val="nil"/>
            </w:tcBorders>
          </w:tcPr>
          <w:p>
            <w:pPr>
              <w:spacing w:line="240" w:lineRule="atLeast"/>
              <w:jc w:val="left"/>
              <w:rPr>
                <w:sz w:val="24"/>
              </w:rPr>
            </w:pPr>
            <w:r>
              <w:rPr>
                <w:sz w:val="24"/>
              </w:rPr>
              <w:t>90.</w:t>
            </w:r>
            <w:r>
              <w:rPr>
                <w:rFonts w:hint="eastAsia"/>
                <w:sz w:val="24"/>
              </w:rPr>
              <w:t>56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nil"/>
            </w:tcBorders>
            <w:vAlign w:val="center"/>
          </w:tcPr>
          <w:p>
            <w:pPr>
              <w:jc w:val="center"/>
              <w:rPr>
                <w:sz w:val="24"/>
              </w:rPr>
            </w:pPr>
            <w:r>
              <w:rPr>
                <w:sz w:val="24"/>
              </w:rPr>
              <w:t>11/2</w:t>
            </w:r>
          </w:p>
        </w:tc>
        <w:tc>
          <w:tcPr>
            <w:tcW w:w="2132" w:type="dxa"/>
            <w:tcBorders>
              <w:top w:val="nil"/>
              <w:bottom w:val="nil"/>
            </w:tcBorders>
          </w:tcPr>
          <w:p>
            <w:pPr>
              <w:jc w:val="left"/>
              <w:rPr>
                <w:sz w:val="24"/>
              </w:rPr>
            </w:pPr>
            <w:r>
              <w:rPr>
                <w:sz w:val="24"/>
              </w:rPr>
              <w:t>42.0</w:t>
            </w:r>
          </w:p>
        </w:tc>
        <w:tc>
          <w:tcPr>
            <w:tcW w:w="2132" w:type="dxa"/>
            <w:tcBorders>
              <w:top w:val="nil"/>
              <w:bottom w:val="nil"/>
            </w:tcBorders>
          </w:tcPr>
          <w:p>
            <w:pPr>
              <w:spacing w:line="240" w:lineRule="atLeast"/>
              <w:jc w:val="left"/>
              <w:rPr>
                <w:sz w:val="24"/>
              </w:rPr>
            </w:pPr>
            <w:r>
              <w:rPr>
                <w:sz w:val="24"/>
              </w:rPr>
              <w:t>81.</w:t>
            </w:r>
            <w:r>
              <w:rPr>
                <w:rFonts w:hint="eastAsia"/>
                <w:sz w:val="24"/>
              </w:rPr>
              <w:t>56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single" w:color="auto" w:sz="4" w:space="0"/>
            </w:tcBorders>
            <w:vAlign w:val="center"/>
          </w:tcPr>
          <w:p>
            <w:pPr>
              <w:jc w:val="center"/>
              <w:rPr>
                <w:sz w:val="24"/>
              </w:rPr>
            </w:pPr>
            <w:r>
              <w:rPr>
                <w:sz w:val="24"/>
              </w:rPr>
              <w:t>不刈割</w:t>
            </w:r>
          </w:p>
        </w:tc>
        <w:tc>
          <w:tcPr>
            <w:tcW w:w="2132" w:type="dxa"/>
            <w:tcBorders>
              <w:top w:val="nil"/>
              <w:bottom w:val="single" w:color="auto" w:sz="4" w:space="0"/>
            </w:tcBorders>
          </w:tcPr>
          <w:p>
            <w:pPr>
              <w:jc w:val="left"/>
              <w:rPr>
                <w:sz w:val="24"/>
              </w:rPr>
            </w:pPr>
            <w:r>
              <w:rPr>
                <w:sz w:val="24"/>
              </w:rPr>
              <w:t>42.0</w:t>
            </w:r>
          </w:p>
        </w:tc>
        <w:tc>
          <w:tcPr>
            <w:tcW w:w="2132" w:type="dxa"/>
            <w:tcBorders>
              <w:top w:val="nil"/>
              <w:bottom w:val="single" w:color="auto" w:sz="4" w:space="0"/>
            </w:tcBorders>
          </w:tcPr>
          <w:p>
            <w:pPr>
              <w:spacing w:line="240" w:lineRule="atLeast"/>
              <w:jc w:val="left"/>
              <w:rPr>
                <w:sz w:val="24"/>
              </w:rPr>
            </w:pPr>
            <w:r>
              <w:rPr>
                <w:sz w:val="24"/>
              </w:rPr>
              <w:t>94.9</w:t>
            </w:r>
            <w:r>
              <w:rPr>
                <w:rFonts w:hint="eastAsia"/>
                <w:sz w:val="24"/>
              </w:rPr>
              <w:t>5</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restart"/>
            <w:tcBorders>
              <w:top w:val="single" w:color="auto" w:sz="4" w:space="0"/>
              <w:bottom w:val="nil"/>
            </w:tcBorders>
            <w:vAlign w:val="center"/>
          </w:tcPr>
          <w:p>
            <w:pPr>
              <w:jc w:val="center"/>
              <w:rPr>
                <w:sz w:val="24"/>
              </w:rPr>
            </w:pPr>
            <w:r>
              <w:rPr>
                <w:sz w:val="24"/>
              </w:rPr>
              <w:t>7/12</w:t>
            </w:r>
          </w:p>
        </w:tc>
        <w:tc>
          <w:tcPr>
            <w:tcW w:w="2132" w:type="dxa"/>
            <w:tcBorders>
              <w:top w:val="single" w:color="auto" w:sz="4" w:space="0"/>
              <w:bottom w:val="nil"/>
            </w:tcBorders>
            <w:vAlign w:val="center"/>
          </w:tcPr>
          <w:p>
            <w:pPr>
              <w:jc w:val="center"/>
              <w:rPr>
                <w:sz w:val="24"/>
              </w:rPr>
            </w:pPr>
            <w:r>
              <w:rPr>
                <w:sz w:val="24"/>
              </w:rPr>
              <w:t>9/11</w:t>
            </w:r>
          </w:p>
        </w:tc>
        <w:tc>
          <w:tcPr>
            <w:tcW w:w="2132" w:type="dxa"/>
            <w:tcBorders>
              <w:top w:val="single" w:color="auto" w:sz="4" w:space="0"/>
              <w:bottom w:val="nil"/>
            </w:tcBorders>
          </w:tcPr>
          <w:p>
            <w:pPr>
              <w:jc w:val="left"/>
              <w:rPr>
                <w:sz w:val="24"/>
              </w:rPr>
            </w:pPr>
            <w:r>
              <w:rPr>
                <w:sz w:val="24"/>
              </w:rPr>
              <w:t>40.7</w:t>
            </w:r>
          </w:p>
        </w:tc>
        <w:tc>
          <w:tcPr>
            <w:tcW w:w="2132" w:type="dxa"/>
            <w:tcBorders>
              <w:top w:val="single" w:color="auto" w:sz="4" w:space="0"/>
              <w:bottom w:val="nil"/>
            </w:tcBorders>
          </w:tcPr>
          <w:p>
            <w:pPr>
              <w:spacing w:line="240" w:lineRule="atLeast"/>
              <w:jc w:val="left"/>
              <w:rPr>
                <w:sz w:val="24"/>
              </w:rPr>
            </w:pPr>
            <w:r>
              <w:rPr>
                <w:sz w:val="24"/>
              </w:rPr>
              <w:t>79.9</w:t>
            </w:r>
            <w:r>
              <w:rPr>
                <w:rFonts w:hint="eastAsia"/>
                <w:sz w:val="24"/>
              </w:rPr>
              <w:t>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nil"/>
            </w:tcBorders>
          </w:tcPr>
          <w:p>
            <w:pPr>
              <w:jc w:val="center"/>
              <w:rPr>
                <w:sz w:val="24"/>
              </w:rPr>
            </w:pPr>
          </w:p>
        </w:tc>
        <w:tc>
          <w:tcPr>
            <w:tcW w:w="2132" w:type="dxa"/>
            <w:tcBorders>
              <w:top w:val="nil"/>
              <w:bottom w:val="nil"/>
            </w:tcBorders>
            <w:vAlign w:val="center"/>
          </w:tcPr>
          <w:p>
            <w:pPr>
              <w:jc w:val="center"/>
              <w:rPr>
                <w:sz w:val="24"/>
              </w:rPr>
            </w:pPr>
            <w:r>
              <w:rPr>
                <w:sz w:val="24"/>
              </w:rPr>
              <w:t>9/18</w:t>
            </w:r>
          </w:p>
        </w:tc>
        <w:tc>
          <w:tcPr>
            <w:tcW w:w="2132" w:type="dxa"/>
            <w:tcBorders>
              <w:top w:val="nil"/>
              <w:bottom w:val="nil"/>
            </w:tcBorders>
          </w:tcPr>
          <w:p>
            <w:pPr>
              <w:jc w:val="left"/>
              <w:rPr>
                <w:sz w:val="24"/>
              </w:rPr>
            </w:pPr>
            <w:r>
              <w:rPr>
                <w:sz w:val="24"/>
              </w:rPr>
              <w:t>44.7</w:t>
            </w:r>
          </w:p>
        </w:tc>
        <w:tc>
          <w:tcPr>
            <w:tcW w:w="2132" w:type="dxa"/>
            <w:tcBorders>
              <w:top w:val="nil"/>
              <w:bottom w:val="nil"/>
            </w:tcBorders>
          </w:tcPr>
          <w:p>
            <w:pPr>
              <w:spacing w:line="240" w:lineRule="atLeast"/>
              <w:jc w:val="left"/>
              <w:rPr>
                <w:sz w:val="24"/>
              </w:rPr>
            </w:pPr>
            <w:r>
              <w:rPr>
                <w:sz w:val="24"/>
              </w:rPr>
              <w:t>66.</w:t>
            </w:r>
            <w:r>
              <w:rPr>
                <w:rFonts w:hint="eastAsia"/>
                <w:sz w:val="24"/>
              </w:rPr>
              <w:t>07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nil"/>
            </w:tcBorders>
          </w:tcPr>
          <w:p>
            <w:pPr>
              <w:jc w:val="center"/>
              <w:rPr>
                <w:sz w:val="24"/>
              </w:rPr>
            </w:pPr>
          </w:p>
        </w:tc>
        <w:tc>
          <w:tcPr>
            <w:tcW w:w="2132" w:type="dxa"/>
            <w:tcBorders>
              <w:top w:val="nil"/>
              <w:bottom w:val="nil"/>
            </w:tcBorders>
            <w:vAlign w:val="center"/>
          </w:tcPr>
          <w:p>
            <w:pPr>
              <w:jc w:val="center"/>
              <w:rPr>
                <w:sz w:val="24"/>
              </w:rPr>
            </w:pPr>
            <w:r>
              <w:rPr>
                <w:sz w:val="24"/>
              </w:rPr>
              <w:t>9/26</w:t>
            </w:r>
          </w:p>
        </w:tc>
        <w:tc>
          <w:tcPr>
            <w:tcW w:w="2132" w:type="dxa"/>
            <w:tcBorders>
              <w:top w:val="nil"/>
              <w:bottom w:val="nil"/>
            </w:tcBorders>
          </w:tcPr>
          <w:p>
            <w:pPr>
              <w:jc w:val="left"/>
              <w:rPr>
                <w:sz w:val="24"/>
              </w:rPr>
            </w:pPr>
            <w:r>
              <w:rPr>
                <w:sz w:val="24"/>
              </w:rPr>
              <w:t>46.9</w:t>
            </w:r>
          </w:p>
        </w:tc>
        <w:tc>
          <w:tcPr>
            <w:tcW w:w="2132" w:type="dxa"/>
            <w:tcBorders>
              <w:top w:val="nil"/>
              <w:bottom w:val="nil"/>
            </w:tcBorders>
          </w:tcPr>
          <w:p>
            <w:pPr>
              <w:spacing w:line="240" w:lineRule="atLeast"/>
              <w:jc w:val="left"/>
              <w:rPr>
                <w:sz w:val="24"/>
              </w:rPr>
            </w:pPr>
            <w:r>
              <w:rPr>
                <w:sz w:val="24"/>
              </w:rPr>
              <w:t>76.</w:t>
            </w:r>
            <w:r>
              <w:rPr>
                <w:rFonts w:hint="eastAsia"/>
                <w:sz w:val="24"/>
              </w:rPr>
              <w:t>47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nil"/>
            </w:tcBorders>
          </w:tcPr>
          <w:p>
            <w:pPr>
              <w:jc w:val="center"/>
              <w:rPr>
                <w:sz w:val="24"/>
              </w:rPr>
            </w:pPr>
          </w:p>
        </w:tc>
        <w:tc>
          <w:tcPr>
            <w:tcW w:w="2132" w:type="dxa"/>
            <w:tcBorders>
              <w:top w:val="nil"/>
              <w:bottom w:val="nil"/>
            </w:tcBorders>
            <w:vAlign w:val="center"/>
          </w:tcPr>
          <w:p>
            <w:pPr>
              <w:jc w:val="center"/>
              <w:rPr>
                <w:sz w:val="24"/>
              </w:rPr>
            </w:pPr>
            <w:r>
              <w:rPr>
                <w:sz w:val="24"/>
              </w:rPr>
              <w:t>10/11</w:t>
            </w:r>
          </w:p>
        </w:tc>
        <w:tc>
          <w:tcPr>
            <w:tcW w:w="2132" w:type="dxa"/>
            <w:tcBorders>
              <w:top w:val="nil"/>
              <w:bottom w:val="nil"/>
            </w:tcBorders>
          </w:tcPr>
          <w:p>
            <w:pPr>
              <w:jc w:val="left"/>
              <w:rPr>
                <w:sz w:val="24"/>
              </w:rPr>
            </w:pPr>
            <w:r>
              <w:rPr>
                <w:sz w:val="24"/>
              </w:rPr>
              <w:t>47.1</w:t>
            </w:r>
          </w:p>
        </w:tc>
        <w:tc>
          <w:tcPr>
            <w:tcW w:w="2132" w:type="dxa"/>
            <w:tcBorders>
              <w:top w:val="nil"/>
              <w:bottom w:val="nil"/>
            </w:tcBorders>
          </w:tcPr>
          <w:p>
            <w:pPr>
              <w:spacing w:line="240" w:lineRule="atLeast"/>
              <w:jc w:val="left"/>
              <w:rPr>
                <w:sz w:val="24"/>
              </w:rPr>
            </w:pPr>
            <w:r>
              <w:rPr>
                <w:sz w:val="24"/>
              </w:rPr>
              <w:t>74.8</w:t>
            </w:r>
            <w:r>
              <w:rPr>
                <w:rFonts w:hint="eastAsia"/>
                <w:sz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nil"/>
            </w:tcBorders>
          </w:tcPr>
          <w:p>
            <w:pPr>
              <w:jc w:val="center"/>
              <w:rPr>
                <w:sz w:val="24"/>
              </w:rPr>
            </w:pPr>
          </w:p>
        </w:tc>
        <w:tc>
          <w:tcPr>
            <w:tcW w:w="2132" w:type="dxa"/>
            <w:tcBorders>
              <w:top w:val="nil"/>
              <w:bottom w:val="nil"/>
            </w:tcBorders>
            <w:vAlign w:val="center"/>
          </w:tcPr>
          <w:p>
            <w:pPr>
              <w:jc w:val="center"/>
              <w:rPr>
                <w:sz w:val="24"/>
              </w:rPr>
            </w:pPr>
            <w:r>
              <w:rPr>
                <w:sz w:val="24"/>
              </w:rPr>
              <w:t>11/2</w:t>
            </w:r>
          </w:p>
        </w:tc>
        <w:tc>
          <w:tcPr>
            <w:tcW w:w="2132" w:type="dxa"/>
            <w:tcBorders>
              <w:top w:val="nil"/>
              <w:bottom w:val="nil"/>
            </w:tcBorders>
          </w:tcPr>
          <w:p>
            <w:pPr>
              <w:jc w:val="left"/>
              <w:rPr>
                <w:sz w:val="24"/>
              </w:rPr>
            </w:pPr>
            <w:r>
              <w:rPr>
                <w:sz w:val="24"/>
              </w:rPr>
              <w:t>42.9</w:t>
            </w:r>
          </w:p>
        </w:tc>
        <w:tc>
          <w:tcPr>
            <w:tcW w:w="2132" w:type="dxa"/>
            <w:tcBorders>
              <w:top w:val="nil"/>
              <w:bottom w:val="nil"/>
            </w:tcBorders>
          </w:tcPr>
          <w:p>
            <w:pPr>
              <w:spacing w:line="240" w:lineRule="atLeast"/>
              <w:jc w:val="left"/>
              <w:rPr>
                <w:sz w:val="24"/>
              </w:rPr>
            </w:pPr>
            <w:r>
              <w:rPr>
                <w:sz w:val="24"/>
              </w:rPr>
              <w:t>82.1</w:t>
            </w:r>
            <w:r>
              <w:rPr>
                <w:rFonts w:hint="eastAsia"/>
                <w:sz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single" w:color="auto" w:sz="4" w:space="0"/>
            </w:tcBorders>
            <w:vAlign w:val="center"/>
          </w:tcPr>
          <w:p>
            <w:pPr>
              <w:jc w:val="center"/>
              <w:rPr>
                <w:sz w:val="24"/>
              </w:rPr>
            </w:pPr>
            <w:r>
              <w:rPr>
                <w:sz w:val="24"/>
              </w:rPr>
              <w:t>不刈割</w:t>
            </w:r>
          </w:p>
        </w:tc>
        <w:tc>
          <w:tcPr>
            <w:tcW w:w="2132" w:type="dxa"/>
            <w:tcBorders>
              <w:top w:val="nil"/>
              <w:bottom w:val="single" w:color="auto" w:sz="4" w:space="0"/>
            </w:tcBorders>
          </w:tcPr>
          <w:p>
            <w:pPr>
              <w:jc w:val="left"/>
              <w:rPr>
                <w:sz w:val="24"/>
              </w:rPr>
            </w:pPr>
            <w:r>
              <w:rPr>
                <w:sz w:val="24"/>
              </w:rPr>
              <w:t>42.9</w:t>
            </w:r>
          </w:p>
        </w:tc>
        <w:tc>
          <w:tcPr>
            <w:tcW w:w="2132" w:type="dxa"/>
            <w:tcBorders>
              <w:top w:val="nil"/>
              <w:bottom w:val="single" w:color="auto" w:sz="4" w:space="0"/>
            </w:tcBorders>
          </w:tcPr>
          <w:p>
            <w:pPr>
              <w:spacing w:line="240" w:lineRule="atLeast"/>
              <w:jc w:val="left"/>
              <w:rPr>
                <w:sz w:val="24"/>
              </w:rPr>
            </w:pPr>
            <w:r>
              <w:rPr>
                <w:sz w:val="24"/>
              </w:rPr>
              <w:t>8</w:t>
            </w:r>
            <w:r>
              <w:rPr>
                <w:rFonts w:hint="eastAsia"/>
                <w:sz w:val="24"/>
              </w:rPr>
              <w:t>5.97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restart"/>
            <w:tcBorders>
              <w:top w:val="single" w:color="auto" w:sz="4" w:space="0"/>
              <w:bottom w:val="nil"/>
            </w:tcBorders>
            <w:vAlign w:val="center"/>
          </w:tcPr>
          <w:p>
            <w:pPr>
              <w:jc w:val="center"/>
              <w:rPr>
                <w:sz w:val="24"/>
              </w:rPr>
            </w:pPr>
            <w:r>
              <w:rPr>
                <w:sz w:val="24"/>
              </w:rPr>
              <w:t>7/24</w:t>
            </w:r>
          </w:p>
        </w:tc>
        <w:tc>
          <w:tcPr>
            <w:tcW w:w="2132" w:type="dxa"/>
            <w:tcBorders>
              <w:top w:val="single" w:color="auto" w:sz="4" w:space="0"/>
              <w:bottom w:val="nil"/>
            </w:tcBorders>
            <w:vAlign w:val="center"/>
          </w:tcPr>
          <w:p>
            <w:pPr>
              <w:jc w:val="center"/>
              <w:rPr>
                <w:sz w:val="24"/>
              </w:rPr>
            </w:pPr>
            <w:r>
              <w:rPr>
                <w:sz w:val="24"/>
              </w:rPr>
              <w:t>9/18</w:t>
            </w:r>
          </w:p>
        </w:tc>
        <w:tc>
          <w:tcPr>
            <w:tcW w:w="2132" w:type="dxa"/>
            <w:tcBorders>
              <w:top w:val="single" w:color="auto" w:sz="4" w:space="0"/>
              <w:bottom w:val="nil"/>
            </w:tcBorders>
          </w:tcPr>
          <w:p>
            <w:pPr>
              <w:jc w:val="left"/>
              <w:rPr>
                <w:sz w:val="24"/>
              </w:rPr>
            </w:pPr>
            <w:r>
              <w:rPr>
                <w:sz w:val="24"/>
              </w:rPr>
              <w:t>42.6</w:t>
            </w:r>
          </w:p>
        </w:tc>
        <w:tc>
          <w:tcPr>
            <w:tcW w:w="2132" w:type="dxa"/>
            <w:tcBorders>
              <w:top w:val="single" w:color="auto" w:sz="4" w:space="0"/>
              <w:bottom w:val="nil"/>
            </w:tcBorders>
          </w:tcPr>
          <w:p>
            <w:pPr>
              <w:jc w:val="left"/>
              <w:rPr>
                <w:sz w:val="24"/>
              </w:rPr>
            </w:pPr>
            <w:r>
              <w:rPr>
                <w:sz w:val="24"/>
              </w:rPr>
              <w:t>7</w:t>
            </w:r>
            <w:r>
              <w:rPr>
                <w:rFonts w:hint="eastAsia"/>
                <w:sz w:val="24"/>
              </w:rPr>
              <w:t>0.97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nil"/>
            </w:tcBorders>
          </w:tcPr>
          <w:p>
            <w:pPr>
              <w:jc w:val="center"/>
              <w:rPr>
                <w:sz w:val="24"/>
              </w:rPr>
            </w:pPr>
          </w:p>
        </w:tc>
        <w:tc>
          <w:tcPr>
            <w:tcW w:w="2132" w:type="dxa"/>
            <w:tcBorders>
              <w:top w:val="nil"/>
              <w:bottom w:val="nil"/>
            </w:tcBorders>
            <w:vAlign w:val="center"/>
          </w:tcPr>
          <w:p>
            <w:pPr>
              <w:jc w:val="center"/>
              <w:rPr>
                <w:sz w:val="24"/>
              </w:rPr>
            </w:pPr>
            <w:r>
              <w:rPr>
                <w:sz w:val="24"/>
              </w:rPr>
              <w:t>9/26</w:t>
            </w:r>
          </w:p>
        </w:tc>
        <w:tc>
          <w:tcPr>
            <w:tcW w:w="2132" w:type="dxa"/>
            <w:tcBorders>
              <w:top w:val="nil"/>
              <w:bottom w:val="nil"/>
            </w:tcBorders>
          </w:tcPr>
          <w:p>
            <w:pPr>
              <w:jc w:val="left"/>
              <w:rPr>
                <w:sz w:val="24"/>
              </w:rPr>
            </w:pPr>
            <w:r>
              <w:rPr>
                <w:sz w:val="24"/>
              </w:rPr>
              <w:t>42.9</w:t>
            </w:r>
          </w:p>
        </w:tc>
        <w:tc>
          <w:tcPr>
            <w:tcW w:w="2132" w:type="dxa"/>
            <w:tcBorders>
              <w:top w:val="nil"/>
              <w:bottom w:val="nil"/>
            </w:tcBorders>
          </w:tcPr>
          <w:p>
            <w:pPr>
              <w:jc w:val="left"/>
              <w:rPr>
                <w:sz w:val="24"/>
              </w:rPr>
            </w:pPr>
            <w:r>
              <w:rPr>
                <w:sz w:val="24"/>
              </w:rPr>
              <w:t>75.</w:t>
            </w:r>
            <w:r>
              <w:rPr>
                <w:rFonts w:hint="eastAsia"/>
                <w:sz w:val="24"/>
              </w:rPr>
              <w:t>6</w:t>
            </w:r>
            <w:r>
              <w:rPr>
                <w:sz w:val="24"/>
              </w:rPr>
              <w:t>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nil"/>
            </w:tcBorders>
          </w:tcPr>
          <w:p>
            <w:pPr>
              <w:jc w:val="center"/>
              <w:rPr>
                <w:sz w:val="24"/>
              </w:rPr>
            </w:pPr>
          </w:p>
        </w:tc>
        <w:tc>
          <w:tcPr>
            <w:tcW w:w="2132" w:type="dxa"/>
            <w:tcBorders>
              <w:top w:val="nil"/>
              <w:bottom w:val="nil"/>
            </w:tcBorders>
            <w:vAlign w:val="center"/>
          </w:tcPr>
          <w:p>
            <w:pPr>
              <w:jc w:val="center"/>
              <w:rPr>
                <w:sz w:val="24"/>
              </w:rPr>
            </w:pPr>
            <w:r>
              <w:rPr>
                <w:sz w:val="24"/>
              </w:rPr>
              <w:t>10/11</w:t>
            </w:r>
          </w:p>
        </w:tc>
        <w:tc>
          <w:tcPr>
            <w:tcW w:w="2132" w:type="dxa"/>
            <w:tcBorders>
              <w:top w:val="nil"/>
              <w:bottom w:val="nil"/>
            </w:tcBorders>
          </w:tcPr>
          <w:p>
            <w:pPr>
              <w:jc w:val="left"/>
              <w:rPr>
                <w:sz w:val="24"/>
              </w:rPr>
            </w:pPr>
            <w:r>
              <w:rPr>
                <w:sz w:val="24"/>
              </w:rPr>
              <w:t>44.6</w:t>
            </w:r>
          </w:p>
        </w:tc>
        <w:tc>
          <w:tcPr>
            <w:tcW w:w="2132" w:type="dxa"/>
            <w:tcBorders>
              <w:top w:val="nil"/>
              <w:bottom w:val="nil"/>
            </w:tcBorders>
          </w:tcPr>
          <w:p>
            <w:pPr>
              <w:spacing w:line="240" w:lineRule="atLeast"/>
              <w:jc w:val="left"/>
              <w:rPr>
                <w:sz w:val="24"/>
              </w:rPr>
            </w:pPr>
            <w:r>
              <w:rPr>
                <w:sz w:val="24"/>
              </w:rPr>
              <w:t>71.6</w:t>
            </w:r>
            <w:r>
              <w:rPr>
                <w:rFonts w:hint="eastAsia"/>
                <w:sz w:val="24"/>
              </w:rPr>
              <w:t>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nil"/>
            </w:tcBorders>
          </w:tcPr>
          <w:p>
            <w:pPr>
              <w:jc w:val="center"/>
              <w:rPr>
                <w:sz w:val="24"/>
              </w:rPr>
            </w:pPr>
          </w:p>
        </w:tc>
        <w:tc>
          <w:tcPr>
            <w:tcW w:w="2132" w:type="dxa"/>
            <w:tcBorders>
              <w:top w:val="nil"/>
              <w:bottom w:val="nil"/>
            </w:tcBorders>
            <w:vAlign w:val="center"/>
          </w:tcPr>
          <w:p>
            <w:pPr>
              <w:jc w:val="center"/>
              <w:rPr>
                <w:sz w:val="24"/>
              </w:rPr>
            </w:pPr>
            <w:r>
              <w:rPr>
                <w:sz w:val="24"/>
              </w:rPr>
              <w:t>11/2</w:t>
            </w:r>
          </w:p>
        </w:tc>
        <w:tc>
          <w:tcPr>
            <w:tcW w:w="2132" w:type="dxa"/>
            <w:tcBorders>
              <w:top w:val="nil"/>
              <w:bottom w:val="nil"/>
            </w:tcBorders>
          </w:tcPr>
          <w:p>
            <w:pPr>
              <w:jc w:val="left"/>
              <w:rPr>
                <w:sz w:val="24"/>
              </w:rPr>
            </w:pPr>
            <w:r>
              <w:rPr>
                <w:sz w:val="24"/>
              </w:rPr>
              <w:t>41.5</w:t>
            </w:r>
          </w:p>
        </w:tc>
        <w:tc>
          <w:tcPr>
            <w:tcW w:w="2132" w:type="dxa"/>
            <w:tcBorders>
              <w:top w:val="nil"/>
              <w:bottom w:val="nil"/>
            </w:tcBorders>
          </w:tcPr>
          <w:p>
            <w:pPr>
              <w:spacing w:line="240" w:lineRule="atLeast"/>
              <w:jc w:val="left"/>
              <w:rPr>
                <w:sz w:val="24"/>
              </w:rPr>
            </w:pPr>
            <w:r>
              <w:rPr>
                <w:sz w:val="24"/>
              </w:rPr>
              <w:t>70.7</w:t>
            </w:r>
            <w:r>
              <w:rPr>
                <w:rFonts w:hint="eastAsia"/>
                <w:sz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single" w:color="auto" w:sz="4" w:space="0"/>
            </w:tcBorders>
            <w:vAlign w:val="center"/>
          </w:tcPr>
          <w:p>
            <w:pPr>
              <w:jc w:val="center"/>
              <w:rPr>
                <w:sz w:val="24"/>
              </w:rPr>
            </w:pPr>
            <w:r>
              <w:rPr>
                <w:sz w:val="24"/>
              </w:rPr>
              <w:t>不刈割</w:t>
            </w:r>
          </w:p>
        </w:tc>
        <w:tc>
          <w:tcPr>
            <w:tcW w:w="2132" w:type="dxa"/>
            <w:tcBorders>
              <w:top w:val="nil"/>
              <w:bottom w:val="single" w:color="auto" w:sz="4" w:space="0"/>
            </w:tcBorders>
          </w:tcPr>
          <w:p>
            <w:pPr>
              <w:jc w:val="left"/>
              <w:rPr>
                <w:sz w:val="24"/>
              </w:rPr>
            </w:pPr>
            <w:r>
              <w:rPr>
                <w:sz w:val="24"/>
              </w:rPr>
              <w:t>41.5</w:t>
            </w:r>
          </w:p>
        </w:tc>
        <w:tc>
          <w:tcPr>
            <w:tcW w:w="2132" w:type="dxa"/>
            <w:tcBorders>
              <w:top w:val="nil"/>
              <w:bottom w:val="single" w:color="auto" w:sz="4" w:space="0"/>
            </w:tcBorders>
          </w:tcPr>
          <w:p>
            <w:pPr>
              <w:spacing w:line="240" w:lineRule="atLeast"/>
              <w:jc w:val="left"/>
              <w:rPr>
                <w:sz w:val="24"/>
              </w:rPr>
            </w:pPr>
            <w:r>
              <w:rPr>
                <w:sz w:val="24"/>
              </w:rPr>
              <w:t>84.</w:t>
            </w:r>
            <w:r>
              <w:rPr>
                <w:rFonts w:hint="eastAsia"/>
                <w:sz w:val="24"/>
              </w:rPr>
              <w:t>6</w:t>
            </w:r>
            <w:r>
              <w:rPr>
                <w:sz w:val="24"/>
              </w:rPr>
              <w:t>7</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restart"/>
            <w:tcBorders>
              <w:top w:val="single" w:color="auto" w:sz="4" w:space="0"/>
              <w:bottom w:val="single" w:color="auto" w:sz="4" w:space="0"/>
            </w:tcBorders>
            <w:vAlign w:val="center"/>
          </w:tcPr>
          <w:p>
            <w:pPr>
              <w:jc w:val="center"/>
              <w:rPr>
                <w:sz w:val="24"/>
              </w:rPr>
            </w:pPr>
            <w:r>
              <w:rPr>
                <w:sz w:val="24"/>
              </w:rPr>
              <w:t>7/29</w:t>
            </w:r>
          </w:p>
        </w:tc>
        <w:tc>
          <w:tcPr>
            <w:tcW w:w="2132" w:type="dxa"/>
            <w:tcBorders>
              <w:top w:val="single" w:color="auto" w:sz="4" w:space="0"/>
            </w:tcBorders>
            <w:vAlign w:val="center"/>
          </w:tcPr>
          <w:p>
            <w:pPr>
              <w:jc w:val="center"/>
              <w:rPr>
                <w:sz w:val="24"/>
              </w:rPr>
            </w:pPr>
            <w:r>
              <w:rPr>
                <w:sz w:val="24"/>
              </w:rPr>
              <w:t>9/26</w:t>
            </w:r>
          </w:p>
        </w:tc>
        <w:tc>
          <w:tcPr>
            <w:tcW w:w="2132" w:type="dxa"/>
            <w:tcBorders>
              <w:top w:val="single" w:color="auto" w:sz="4" w:space="0"/>
            </w:tcBorders>
          </w:tcPr>
          <w:p>
            <w:pPr>
              <w:jc w:val="left"/>
              <w:rPr>
                <w:sz w:val="24"/>
              </w:rPr>
            </w:pPr>
            <w:r>
              <w:rPr>
                <w:sz w:val="24"/>
              </w:rPr>
              <w:t>44.8</w:t>
            </w:r>
          </w:p>
        </w:tc>
        <w:tc>
          <w:tcPr>
            <w:tcW w:w="2132" w:type="dxa"/>
            <w:tcBorders>
              <w:top w:val="single" w:color="auto" w:sz="4" w:space="0"/>
            </w:tcBorders>
          </w:tcPr>
          <w:p>
            <w:pPr>
              <w:spacing w:line="240" w:lineRule="atLeast"/>
              <w:jc w:val="left"/>
              <w:rPr>
                <w:sz w:val="24"/>
                <w:highlight w:val="red"/>
              </w:rPr>
            </w:pPr>
            <w:r>
              <w:rPr>
                <w:sz w:val="24"/>
              </w:rPr>
              <w:t>55.0</w:t>
            </w:r>
            <w:r>
              <w:rPr>
                <w:rFonts w:hint="eastAsia"/>
                <w:sz w:val="24"/>
              </w:rPr>
              <w:t>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bottom w:val="nil"/>
            </w:tcBorders>
            <w:vAlign w:val="center"/>
          </w:tcPr>
          <w:p>
            <w:pPr>
              <w:jc w:val="center"/>
              <w:rPr>
                <w:sz w:val="24"/>
              </w:rPr>
            </w:pPr>
            <w:r>
              <w:rPr>
                <w:sz w:val="24"/>
              </w:rPr>
              <w:t>10/11</w:t>
            </w:r>
          </w:p>
        </w:tc>
        <w:tc>
          <w:tcPr>
            <w:tcW w:w="2132" w:type="dxa"/>
            <w:tcBorders>
              <w:bottom w:val="nil"/>
            </w:tcBorders>
          </w:tcPr>
          <w:p>
            <w:pPr>
              <w:jc w:val="left"/>
              <w:rPr>
                <w:sz w:val="24"/>
              </w:rPr>
            </w:pPr>
            <w:r>
              <w:rPr>
                <w:sz w:val="24"/>
              </w:rPr>
              <w:t>45.4</w:t>
            </w:r>
          </w:p>
        </w:tc>
        <w:tc>
          <w:tcPr>
            <w:tcW w:w="2132" w:type="dxa"/>
            <w:tcBorders>
              <w:bottom w:val="nil"/>
            </w:tcBorders>
          </w:tcPr>
          <w:p>
            <w:pPr>
              <w:spacing w:line="240" w:lineRule="atLeast"/>
              <w:jc w:val="left"/>
              <w:rPr>
                <w:sz w:val="24"/>
              </w:rPr>
            </w:pPr>
            <w:r>
              <w:rPr>
                <w:sz w:val="24"/>
              </w:rPr>
              <w:t>52.3</w:t>
            </w:r>
            <w:r>
              <w:rPr>
                <w:rFonts w:hint="eastAsia"/>
                <w:sz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nil"/>
            </w:tcBorders>
            <w:vAlign w:val="center"/>
          </w:tcPr>
          <w:p>
            <w:pPr>
              <w:jc w:val="center"/>
              <w:rPr>
                <w:sz w:val="24"/>
              </w:rPr>
            </w:pPr>
            <w:r>
              <w:rPr>
                <w:sz w:val="24"/>
              </w:rPr>
              <w:t>11/2</w:t>
            </w:r>
          </w:p>
        </w:tc>
        <w:tc>
          <w:tcPr>
            <w:tcW w:w="2132" w:type="dxa"/>
            <w:tcBorders>
              <w:top w:val="nil"/>
              <w:bottom w:val="nil"/>
            </w:tcBorders>
          </w:tcPr>
          <w:p>
            <w:pPr>
              <w:jc w:val="left"/>
              <w:rPr>
                <w:sz w:val="24"/>
              </w:rPr>
            </w:pPr>
            <w:r>
              <w:rPr>
                <w:sz w:val="24"/>
              </w:rPr>
              <w:t>39.</w:t>
            </w:r>
          </w:p>
        </w:tc>
        <w:tc>
          <w:tcPr>
            <w:tcW w:w="2132" w:type="dxa"/>
            <w:tcBorders>
              <w:top w:val="nil"/>
              <w:bottom w:val="nil"/>
            </w:tcBorders>
          </w:tcPr>
          <w:p>
            <w:pPr>
              <w:spacing w:line="240" w:lineRule="atLeast"/>
              <w:jc w:val="left"/>
              <w:rPr>
                <w:sz w:val="24"/>
              </w:rPr>
            </w:pPr>
            <w:r>
              <w:rPr>
                <w:sz w:val="24"/>
              </w:rPr>
              <w:t>28.</w:t>
            </w:r>
            <w:r>
              <w:rPr>
                <w:rFonts w:hint="eastAsia"/>
                <w:sz w:val="24"/>
              </w:rPr>
              <w:t>53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vMerge w:val="continue"/>
            <w:tcBorders>
              <w:top w:val="nil"/>
              <w:bottom w:val="single" w:color="auto" w:sz="4" w:space="0"/>
            </w:tcBorders>
          </w:tcPr>
          <w:p>
            <w:pPr>
              <w:jc w:val="center"/>
              <w:rPr>
                <w:sz w:val="24"/>
              </w:rPr>
            </w:pPr>
          </w:p>
        </w:tc>
        <w:tc>
          <w:tcPr>
            <w:tcW w:w="2132" w:type="dxa"/>
            <w:tcBorders>
              <w:top w:val="nil"/>
              <w:bottom w:val="single" w:color="auto" w:sz="4" w:space="0"/>
            </w:tcBorders>
            <w:vAlign w:val="center"/>
          </w:tcPr>
          <w:p>
            <w:pPr>
              <w:jc w:val="center"/>
              <w:rPr>
                <w:sz w:val="24"/>
              </w:rPr>
            </w:pPr>
            <w:r>
              <w:rPr>
                <w:sz w:val="24"/>
              </w:rPr>
              <w:t>不刈割</w:t>
            </w:r>
          </w:p>
        </w:tc>
        <w:tc>
          <w:tcPr>
            <w:tcW w:w="2132" w:type="dxa"/>
            <w:tcBorders>
              <w:top w:val="nil"/>
              <w:bottom w:val="single" w:color="auto" w:sz="4" w:space="0"/>
            </w:tcBorders>
          </w:tcPr>
          <w:p>
            <w:pPr>
              <w:jc w:val="left"/>
              <w:rPr>
                <w:sz w:val="24"/>
              </w:rPr>
            </w:pPr>
            <w:r>
              <w:rPr>
                <w:sz w:val="24"/>
              </w:rPr>
              <w:t>39.9</w:t>
            </w:r>
          </w:p>
        </w:tc>
        <w:tc>
          <w:tcPr>
            <w:tcW w:w="2132" w:type="dxa"/>
            <w:tcBorders>
              <w:top w:val="nil"/>
              <w:bottom w:val="single" w:color="auto" w:sz="4" w:space="0"/>
            </w:tcBorders>
          </w:tcPr>
          <w:p>
            <w:pPr>
              <w:spacing w:line="240" w:lineRule="atLeast"/>
              <w:jc w:val="left"/>
              <w:rPr>
                <w:sz w:val="24"/>
              </w:rPr>
            </w:pPr>
            <w:r>
              <w:rPr>
                <w:sz w:val="24"/>
              </w:rPr>
              <w:t>83.0</w:t>
            </w:r>
            <w:r>
              <w:rPr>
                <w:rFonts w:hint="eastAsia"/>
                <w:sz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tcBorders>
              <w:top w:val="single" w:color="auto" w:sz="4" w:space="0"/>
            </w:tcBorders>
          </w:tcPr>
          <w:p>
            <w:pPr>
              <w:jc w:val="center"/>
              <w:rPr>
                <w:sz w:val="24"/>
              </w:rPr>
            </w:pPr>
            <w:r>
              <w:rPr>
                <w:sz w:val="24"/>
              </w:rPr>
              <w:t>8/2</w:t>
            </w:r>
          </w:p>
        </w:tc>
        <w:tc>
          <w:tcPr>
            <w:tcW w:w="2132" w:type="dxa"/>
            <w:tcBorders>
              <w:top w:val="single" w:color="auto" w:sz="4" w:space="0"/>
            </w:tcBorders>
            <w:vAlign w:val="center"/>
          </w:tcPr>
          <w:p>
            <w:pPr>
              <w:jc w:val="center"/>
              <w:rPr>
                <w:sz w:val="24"/>
              </w:rPr>
            </w:pPr>
            <w:r>
              <w:rPr>
                <w:sz w:val="24"/>
              </w:rPr>
              <w:t>不刈割</w:t>
            </w:r>
          </w:p>
        </w:tc>
        <w:tc>
          <w:tcPr>
            <w:tcW w:w="2132" w:type="dxa"/>
            <w:tcBorders>
              <w:top w:val="single" w:color="auto" w:sz="4" w:space="0"/>
            </w:tcBorders>
          </w:tcPr>
          <w:p>
            <w:pPr>
              <w:jc w:val="left"/>
              <w:rPr>
                <w:sz w:val="24"/>
              </w:rPr>
            </w:pPr>
            <w:r>
              <w:rPr>
                <w:sz w:val="24"/>
              </w:rPr>
              <w:t>19.0</w:t>
            </w:r>
          </w:p>
        </w:tc>
        <w:tc>
          <w:tcPr>
            <w:tcW w:w="2132" w:type="dxa"/>
            <w:tcBorders>
              <w:top w:val="single" w:color="auto" w:sz="4" w:space="0"/>
            </w:tcBorders>
          </w:tcPr>
          <w:p>
            <w:pPr>
              <w:spacing w:line="240" w:lineRule="atLeast"/>
              <w:jc w:val="left"/>
              <w:rPr>
                <w:sz w:val="24"/>
              </w:rPr>
            </w:pPr>
            <w:r>
              <w:rPr>
                <w:sz w:val="24"/>
              </w:rPr>
              <w:t>47.2</w:t>
            </w:r>
            <w:r>
              <w:rPr>
                <w:rFonts w:hint="eastAsia"/>
                <w:sz w:val="24"/>
              </w:rPr>
              <w:t>3</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2" w:type="dxa"/>
          </w:tcPr>
          <w:p>
            <w:pPr>
              <w:jc w:val="center"/>
              <w:rPr>
                <w:sz w:val="24"/>
              </w:rPr>
            </w:pPr>
            <w:r>
              <w:rPr>
                <w:sz w:val="24"/>
              </w:rPr>
              <w:t>8/10</w:t>
            </w:r>
          </w:p>
        </w:tc>
        <w:tc>
          <w:tcPr>
            <w:tcW w:w="2132" w:type="dxa"/>
            <w:vAlign w:val="center"/>
          </w:tcPr>
          <w:p>
            <w:pPr>
              <w:jc w:val="center"/>
              <w:rPr>
                <w:sz w:val="24"/>
              </w:rPr>
            </w:pPr>
            <w:r>
              <w:rPr>
                <w:sz w:val="24"/>
              </w:rPr>
              <w:t>不刈割</w:t>
            </w:r>
          </w:p>
        </w:tc>
        <w:tc>
          <w:tcPr>
            <w:tcW w:w="2132" w:type="dxa"/>
          </w:tcPr>
          <w:p>
            <w:pPr>
              <w:jc w:val="left"/>
              <w:rPr>
                <w:sz w:val="24"/>
              </w:rPr>
            </w:pPr>
            <w:r>
              <w:rPr>
                <w:sz w:val="24"/>
              </w:rPr>
              <w:t>17.5</w:t>
            </w:r>
          </w:p>
        </w:tc>
        <w:tc>
          <w:tcPr>
            <w:tcW w:w="2132" w:type="dxa"/>
          </w:tcPr>
          <w:p>
            <w:pPr>
              <w:spacing w:line="240" w:lineRule="atLeast"/>
              <w:jc w:val="left"/>
              <w:rPr>
                <w:sz w:val="24"/>
                <w:highlight w:val="red"/>
              </w:rPr>
            </w:pPr>
            <w:r>
              <w:rPr>
                <w:sz w:val="24"/>
              </w:rPr>
              <w:t>42.2</w:t>
            </w:r>
            <w:r>
              <w:rPr>
                <w:rFonts w:hint="eastAsia"/>
                <w:sz w:val="24"/>
              </w:rPr>
              <w:t>7</w:t>
            </w:r>
          </w:p>
        </w:tc>
      </w:tr>
    </w:tbl>
    <w:p>
      <w:pPr>
        <w:pStyle w:val="2"/>
        <w:rPr>
          <w:sz w:val="30"/>
        </w:rPr>
      </w:pPr>
      <w:r>
        <w:rPr>
          <w:sz w:val="30"/>
        </w:rPr>
        <w:t>六、重大意见分歧的处理依据和结果</w:t>
      </w:r>
    </w:p>
    <w:p>
      <w:pPr>
        <w:pStyle w:val="15"/>
        <w:ind w:firstLine="720" w:firstLineChars="300"/>
        <w:rPr>
          <w:kern w:val="2"/>
          <w:sz w:val="24"/>
          <w:szCs w:val="24"/>
        </w:rPr>
      </w:pPr>
      <w:r>
        <w:rPr>
          <w:rFonts w:hint="eastAsia"/>
          <w:kern w:val="2"/>
          <w:sz w:val="24"/>
          <w:szCs w:val="24"/>
        </w:rPr>
        <w:t>不涉及重大意见分歧。</w:t>
      </w:r>
    </w:p>
    <w:p>
      <w:pPr>
        <w:pStyle w:val="2"/>
        <w:rPr>
          <w:sz w:val="30"/>
        </w:rPr>
      </w:pPr>
      <w:r>
        <w:rPr>
          <w:rFonts w:hint="eastAsia"/>
          <w:sz w:val="30"/>
        </w:rPr>
        <w:t>七、</w:t>
      </w:r>
      <w:r>
        <w:rPr>
          <w:sz w:val="30"/>
        </w:rPr>
        <w:t>其他应说明的事项</w:t>
      </w:r>
    </w:p>
    <w:p>
      <w:pPr>
        <w:widowControl/>
        <w:shd w:val="clear" w:color="auto" w:fill="FFFFFF"/>
        <w:wordWrap w:val="0"/>
        <w:spacing w:line="450" w:lineRule="atLeast"/>
        <w:rPr>
          <w:rFonts w:ascii="Helvetica" w:hAnsi="Helvetica" w:cs="Helvetica"/>
          <w:color w:val="333333"/>
          <w:kern w:val="0"/>
          <w:sz w:val="24"/>
          <w:lang w:bidi="he-IL"/>
        </w:rPr>
      </w:pPr>
      <w:r>
        <w:rPr>
          <w:rFonts w:hint="eastAsia" w:ascii="Helvetica" w:hAnsi="Helvetica" w:cs="Helvetica"/>
          <w:color w:val="333333"/>
          <w:kern w:val="0"/>
          <w:sz w:val="24"/>
          <w:lang w:bidi="he-IL"/>
        </w:rPr>
        <w:t xml:space="preserve">     没有其他说明事项。</w:t>
      </w:r>
    </w:p>
    <w:p>
      <w:pPr>
        <w:pStyle w:val="2"/>
        <w:rPr>
          <w:sz w:val="30"/>
        </w:rPr>
      </w:pPr>
      <w:r>
        <w:rPr>
          <w:rFonts w:hint="eastAsia"/>
          <w:sz w:val="30"/>
        </w:rPr>
        <w:t>八、标准草稿征求意见情况汇总表</w:t>
      </w:r>
    </w:p>
    <w:tbl>
      <w:tblPr>
        <w:tblStyle w:val="9"/>
        <w:tblW w:w="85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126"/>
        <w:gridCol w:w="993"/>
        <w:gridCol w:w="1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17" w:type="dxa"/>
            <w:vAlign w:val="center"/>
          </w:tcPr>
          <w:p>
            <w:pPr>
              <w:jc w:val="center"/>
            </w:pPr>
            <w:r>
              <w:rPr>
                <w:rFonts w:hint="eastAsia"/>
              </w:rPr>
              <w:t>序号</w:t>
            </w:r>
          </w:p>
        </w:tc>
        <w:tc>
          <w:tcPr>
            <w:tcW w:w="2835" w:type="dxa"/>
            <w:vAlign w:val="center"/>
          </w:tcPr>
          <w:p>
            <w:pPr>
              <w:jc w:val="center"/>
            </w:pPr>
            <w:r>
              <w:rPr>
                <w:rFonts w:hint="eastAsia"/>
              </w:rPr>
              <w:t>意见</w:t>
            </w:r>
          </w:p>
        </w:tc>
        <w:tc>
          <w:tcPr>
            <w:tcW w:w="2126" w:type="dxa"/>
            <w:vAlign w:val="center"/>
          </w:tcPr>
          <w:p>
            <w:pPr>
              <w:jc w:val="center"/>
            </w:pPr>
            <w:r>
              <w:rPr>
                <w:rFonts w:hint="eastAsia"/>
              </w:rPr>
              <w:t>提出单位/专家</w:t>
            </w:r>
          </w:p>
        </w:tc>
        <w:tc>
          <w:tcPr>
            <w:tcW w:w="993" w:type="dxa"/>
            <w:vAlign w:val="center"/>
          </w:tcPr>
          <w:p>
            <w:pPr>
              <w:jc w:val="center"/>
            </w:pPr>
            <w:r>
              <w:rPr>
                <w:rFonts w:hint="eastAsia"/>
              </w:rPr>
              <w:t>采纳</w:t>
            </w:r>
          </w:p>
        </w:tc>
        <w:tc>
          <w:tcPr>
            <w:tcW w:w="1801" w:type="dxa"/>
            <w:vAlign w:val="center"/>
          </w:tcPr>
          <w:p>
            <w:pPr>
              <w:jc w:val="center"/>
            </w:pPr>
            <w:r>
              <w:rPr>
                <w:rFonts w:hint="eastAsia"/>
              </w:rPr>
              <w:t>不采纳（说明原因）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w:t>
            </w:r>
          </w:p>
        </w:tc>
        <w:tc>
          <w:tcPr>
            <w:tcW w:w="2835" w:type="dxa"/>
            <w:vAlign w:val="center"/>
          </w:tcPr>
          <w:p>
            <w:pPr>
              <w:jc w:val="center"/>
            </w:pPr>
            <w:r>
              <w:rPr>
                <w:rFonts w:hint="eastAsia"/>
              </w:rPr>
              <w:t>建议将标题改为《科尔沁沙地灌溉苜蓿刈割技术规程》。因为从《规程》“</w:t>
            </w:r>
            <w:r>
              <w:t>3.1刈割制度</w:t>
            </w:r>
            <w:r>
              <w:rPr>
                <w:rFonts w:hint="eastAsia"/>
              </w:rPr>
              <w:t>”的术语看，</w:t>
            </w:r>
            <w:r>
              <w:t>刈割次数、每次刈割时间及留茬高度</w:t>
            </w:r>
            <w:r>
              <w:rPr>
                <w:rFonts w:hint="eastAsia"/>
              </w:rPr>
              <w:t>均属于刈割技术范畴</w:t>
            </w:r>
            <w:r>
              <w:t>。</w:t>
            </w:r>
          </w:p>
        </w:tc>
        <w:tc>
          <w:tcPr>
            <w:tcW w:w="2126" w:type="dxa"/>
            <w:vAlign w:val="center"/>
          </w:tcPr>
          <w:p>
            <w:pPr>
              <w:jc w:val="center"/>
            </w:pPr>
            <w:r>
              <w:rPr>
                <w:rFonts w:hint="eastAsia"/>
              </w:rPr>
              <w:t>内蒙古农业大学</w:t>
            </w:r>
          </w:p>
          <w:p>
            <w:pPr>
              <w:jc w:val="center"/>
            </w:pPr>
            <w:r>
              <w:rPr>
                <w:rFonts w:hint="eastAsia"/>
              </w:rPr>
              <w:t>/卫智军</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2</w:t>
            </w:r>
          </w:p>
        </w:tc>
        <w:tc>
          <w:tcPr>
            <w:tcW w:w="2835" w:type="dxa"/>
            <w:vAlign w:val="center"/>
          </w:tcPr>
          <w:p>
            <w:pPr>
              <w:jc w:val="left"/>
            </w:pPr>
            <w:r>
              <w:rPr>
                <w:rFonts w:hint="eastAsia"/>
              </w:rPr>
              <w:t>建议“</w:t>
            </w:r>
            <w:r>
              <w:t>3.5免耕播种</w:t>
            </w:r>
            <w:r>
              <w:rPr>
                <w:rFonts w:hint="eastAsia"/>
              </w:rPr>
              <w:t>”术语为：</w:t>
            </w:r>
            <w:r>
              <w:t>苜蓿播前不耕</w:t>
            </w:r>
            <w:r>
              <w:rPr>
                <w:rFonts w:hint="eastAsia"/>
              </w:rPr>
              <w:t>翻、</w:t>
            </w:r>
            <w:r>
              <w:t>不耙地</w:t>
            </w:r>
            <w:r>
              <w:rPr>
                <w:rFonts w:hint="eastAsia"/>
              </w:rPr>
              <w:t>整地</w:t>
            </w:r>
            <w:r>
              <w:t>，直接在前茬地上播种的耕作方法。</w:t>
            </w:r>
          </w:p>
        </w:tc>
        <w:tc>
          <w:tcPr>
            <w:tcW w:w="2126" w:type="dxa"/>
            <w:vAlign w:val="center"/>
          </w:tcPr>
          <w:p>
            <w:pPr>
              <w:jc w:val="center"/>
            </w:pPr>
            <w:r>
              <w:rPr>
                <w:rFonts w:hint="eastAsia"/>
              </w:rPr>
              <w:t>内蒙古农业大学</w:t>
            </w:r>
          </w:p>
          <w:p>
            <w:pPr>
              <w:jc w:val="center"/>
            </w:pPr>
            <w:r>
              <w:rPr>
                <w:rFonts w:hint="eastAsia"/>
              </w:rPr>
              <w:t>/卫智军</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3</w:t>
            </w:r>
          </w:p>
        </w:tc>
        <w:tc>
          <w:tcPr>
            <w:tcW w:w="2835" w:type="dxa"/>
            <w:vAlign w:val="center"/>
          </w:tcPr>
          <w:p>
            <w:pPr>
              <w:jc w:val="left"/>
              <w:rPr>
                <w:rFonts w:ascii="宋体"/>
                <w:kern w:val="0"/>
                <w:szCs w:val="20"/>
              </w:rPr>
            </w:pPr>
            <w:r>
              <w:rPr>
                <w:rFonts w:hint="eastAsia" w:ascii="宋体"/>
                <w:kern w:val="0"/>
                <w:szCs w:val="20"/>
              </w:rPr>
              <w:t>“</w:t>
            </w:r>
            <w:r>
              <w:rPr>
                <w:rFonts w:ascii="宋体"/>
                <w:kern w:val="0"/>
                <w:szCs w:val="20"/>
              </w:rPr>
              <w:t>3.7种肥</w:t>
            </w:r>
            <w:r>
              <w:rPr>
                <w:rFonts w:hint="eastAsia" w:ascii="宋体"/>
                <w:kern w:val="0"/>
                <w:szCs w:val="20"/>
              </w:rPr>
              <w:t>”：</w:t>
            </w:r>
            <w:r>
              <w:rPr>
                <w:rFonts w:ascii="宋体"/>
                <w:kern w:val="0"/>
                <w:szCs w:val="20"/>
              </w:rPr>
              <w:t>在播种时，将肥料施于种子附近或与种子混播供给苜蓿初期生长所需</w:t>
            </w:r>
            <w:r>
              <w:rPr>
                <w:rFonts w:hint="eastAsia" w:ascii="宋体"/>
                <w:kern w:val="0"/>
                <w:szCs w:val="20"/>
              </w:rPr>
              <w:t>营养</w:t>
            </w:r>
            <w:r>
              <w:rPr>
                <w:rFonts w:ascii="宋体"/>
                <w:kern w:val="0"/>
                <w:szCs w:val="20"/>
              </w:rPr>
              <w:t>的</w:t>
            </w:r>
            <w:r>
              <w:rPr>
                <w:rFonts w:hint="eastAsia" w:ascii="宋体"/>
                <w:kern w:val="0"/>
                <w:szCs w:val="20"/>
              </w:rPr>
              <w:t>肥料</w:t>
            </w:r>
            <w:r>
              <w:rPr>
                <w:rFonts w:ascii="宋体"/>
                <w:kern w:val="0"/>
                <w:szCs w:val="20"/>
              </w:rPr>
              <w:t>。</w:t>
            </w:r>
          </w:p>
        </w:tc>
        <w:tc>
          <w:tcPr>
            <w:tcW w:w="2126" w:type="dxa"/>
            <w:vAlign w:val="center"/>
          </w:tcPr>
          <w:p>
            <w:pPr>
              <w:jc w:val="center"/>
            </w:pPr>
            <w:r>
              <w:rPr>
                <w:rFonts w:hint="eastAsia"/>
              </w:rPr>
              <w:t>内蒙古农业大学</w:t>
            </w:r>
          </w:p>
          <w:p>
            <w:pPr>
              <w:jc w:val="center"/>
            </w:pPr>
            <w:r>
              <w:rPr>
                <w:rFonts w:hint="eastAsia"/>
              </w:rPr>
              <w:t>/卫智军</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4</w:t>
            </w:r>
          </w:p>
        </w:tc>
        <w:tc>
          <w:tcPr>
            <w:tcW w:w="2835" w:type="dxa"/>
            <w:vAlign w:val="center"/>
          </w:tcPr>
          <w:p>
            <w:pPr>
              <w:jc w:val="left"/>
            </w:pPr>
            <w:r>
              <w:rPr>
                <w:rFonts w:hint="eastAsia"/>
              </w:rPr>
              <w:t>“</w:t>
            </w:r>
            <w:r>
              <w:t>4.2.1免耕播种</w:t>
            </w:r>
            <w:r>
              <w:rPr>
                <w:rFonts w:hint="eastAsia"/>
              </w:rPr>
              <w:t>”是否改为“</w:t>
            </w:r>
            <w:r>
              <w:t>免耕播种</w:t>
            </w:r>
            <w:r>
              <w:rPr>
                <w:rFonts w:hint="eastAsia"/>
              </w:rPr>
              <w:t>地面处理”，需要斟酌。</w:t>
            </w:r>
          </w:p>
        </w:tc>
        <w:tc>
          <w:tcPr>
            <w:tcW w:w="2126" w:type="dxa"/>
            <w:vAlign w:val="center"/>
          </w:tcPr>
          <w:p>
            <w:pPr>
              <w:jc w:val="center"/>
            </w:pPr>
            <w:r>
              <w:rPr>
                <w:rFonts w:hint="eastAsia"/>
              </w:rPr>
              <w:t>内蒙古农业大学</w:t>
            </w:r>
          </w:p>
          <w:p>
            <w:pPr>
              <w:jc w:val="center"/>
            </w:pPr>
            <w:r>
              <w:rPr>
                <w:rFonts w:hint="eastAsia"/>
              </w:rPr>
              <w:t>/卫智军</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5</w:t>
            </w:r>
          </w:p>
        </w:tc>
        <w:tc>
          <w:tcPr>
            <w:tcW w:w="2835" w:type="dxa"/>
            <w:vAlign w:val="center"/>
          </w:tcPr>
          <w:p>
            <w:pPr>
              <w:pStyle w:val="16"/>
              <w:ind w:firstLine="0" w:firstLineChars="0"/>
              <w:jc w:val="left"/>
              <w:rPr>
                <w:rFonts w:ascii="Times New Roman"/>
                <w:kern w:val="2"/>
                <w:szCs w:val="24"/>
              </w:rPr>
            </w:pPr>
            <w:r>
              <w:rPr>
                <w:rFonts w:hint="eastAsia" w:ascii="Times New Roman"/>
                <w:kern w:val="2"/>
                <w:szCs w:val="24"/>
              </w:rPr>
              <w:t>“</w:t>
            </w:r>
            <w:r>
              <w:rPr>
                <w:rFonts w:ascii="Times New Roman"/>
                <w:kern w:val="2"/>
                <w:szCs w:val="24"/>
              </w:rPr>
              <w:t>4.2.2翻耕播种</w:t>
            </w:r>
            <w:r>
              <w:rPr>
                <w:rFonts w:hint="eastAsia" w:ascii="Times New Roman"/>
                <w:kern w:val="2"/>
                <w:szCs w:val="24"/>
              </w:rPr>
              <w:t>”是否改为“</w:t>
            </w:r>
            <w:r>
              <w:rPr>
                <w:rFonts w:ascii="Times New Roman"/>
                <w:kern w:val="2"/>
                <w:szCs w:val="24"/>
              </w:rPr>
              <w:t>翻耕播种</w:t>
            </w:r>
            <w:r>
              <w:rPr>
                <w:rFonts w:hint="eastAsia" w:ascii="Times New Roman"/>
                <w:kern w:val="2"/>
                <w:szCs w:val="24"/>
              </w:rPr>
              <w:t>土壤耕作”需要斟酌。且“</w:t>
            </w:r>
            <w:r>
              <w:rPr>
                <w:rFonts w:ascii="Times New Roman"/>
                <w:kern w:val="2"/>
                <w:szCs w:val="24"/>
              </w:rPr>
              <w:t>4.2.2翻耕播种</w:t>
            </w:r>
            <w:r>
              <w:rPr>
                <w:rFonts w:hint="eastAsia" w:ascii="Times New Roman"/>
                <w:kern w:val="2"/>
                <w:szCs w:val="24"/>
              </w:rPr>
              <w:t>”中“</w:t>
            </w:r>
            <w:r>
              <w:rPr>
                <w:rFonts w:ascii="Times New Roman"/>
                <w:kern w:val="2"/>
                <w:szCs w:val="24"/>
              </w:rPr>
              <w:t>沙质土地翻耕深度不低于30 cm</w:t>
            </w:r>
            <w:r>
              <w:rPr>
                <w:rFonts w:hint="eastAsia" w:ascii="Times New Roman"/>
                <w:kern w:val="2"/>
                <w:szCs w:val="24"/>
              </w:rPr>
              <w:t>”。不确切，应该给出</w:t>
            </w:r>
            <w:r>
              <w:rPr>
                <w:rFonts w:ascii="Times New Roman"/>
                <w:kern w:val="2"/>
                <w:szCs w:val="24"/>
              </w:rPr>
              <w:t>翻耕深度</w:t>
            </w:r>
            <w:r>
              <w:rPr>
                <w:rFonts w:hint="eastAsia" w:ascii="Times New Roman"/>
                <w:kern w:val="2"/>
                <w:szCs w:val="24"/>
              </w:rPr>
              <w:t>范围，或直接用“</w:t>
            </w:r>
            <w:r>
              <w:rPr>
                <w:rFonts w:ascii="Times New Roman"/>
                <w:kern w:val="2"/>
                <w:szCs w:val="24"/>
              </w:rPr>
              <w:t>30 cm</w:t>
            </w:r>
            <w:r>
              <w:rPr>
                <w:rFonts w:hint="eastAsia" w:ascii="Times New Roman"/>
                <w:kern w:val="2"/>
                <w:szCs w:val="24"/>
              </w:rPr>
              <w:t>”。</w:t>
            </w:r>
          </w:p>
        </w:tc>
        <w:tc>
          <w:tcPr>
            <w:tcW w:w="2126" w:type="dxa"/>
            <w:vAlign w:val="center"/>
          </w:tcPr>
          <w:p>
            <w:pPr>
              <w:jc w:val="center"/>
            </w:pPr>
            <w:r>
              <w:rPr>
                <w:rFonts w:hint="eastAsia"/>
              </w:rPr>
              <w:t>内蒙古农业大学</w:t>
            </w:r>
          </w:p>
          <w:p>
            <w:pPr>
              <w:jc w:val="center"/>
            </w:pPr>
            <w:r>
              <w:rPr>
                <w:rFonts w:hint="eastAsia"/>
              </w:rPr>
              <w:t>/卫智军</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6</w:t>
            </w:r>
          </w:p>
        </w:tc>
        <w:tc>
          <w:tcPr>
            <w:tcW w:w="2835" w:type="dxa"/>
            <w:vAlign w:val="center"/>
          </w:tcPr>
          <w:p>
            <w:pPr>
              <w:jc w:val="left"/>
            </w:pPr>
            <w:r>
              <w:rPr>
                <w:rFonts w:hint="eastAsia"/>
              </w:rPr>
              <w:t>建议：利用附录形式，或在编制说明中例举生长度日（GDD）的计算过程；或将前期研究的实际生长度日的计算过程例举出来。因本《规程》“</w:t>
            </w:r>
            <w:r>
              <w:t>7.3 第1茬刈割时间</w:t>
            </w:r>
            <w:r>
              <w:rPr>
                <w:rFonts w:hint="eastAsia"/>
              </w:rPr>
              <w:t>”需要计算生长度日，亦是本《规程》付诸实施的难点。</w:t>
            </w:r>
          </w:p>
        </w:tc>
        <w:tc>
          <w:tcPr>
            <w:tcW w:w="2126" w:type="dxa"/>
            <w:vAlign w:val="center"/>
          </w:tcPr>
          <w:p>
            <w:pPr>
              <w:jc w:val="center"/>
            </w:pPr>
            <w:r>
              <w:rPr>
                <w:rFonts w:hint="eastAsia"/>
              </w:rPr>
              <w:t>内蒙古农业大学</w:t>
            </w:r>
          </w:p>
          <w:p>
            <w:pPr>
              <w:jc w:val="center"/>
            </w:pPr>
            <w:r>
              <w:rPr>
                <w:rFonts w:hint="eastAsia"/>
              </w:rPr>
              <w:t>/卫智军</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7</w:t>
            </w:r>
          </w:p>
        </w:tc>
        <w:tc>
          <w:tcPr>
            <w:tcW w:w="2835" w:type="dxa"/>
            <w:vAlign w:val="center"/>
          </w:tcPr>
          <w:p>
            <w:pPr>
              <w:jc w:val="left"/>
            </w:pPr>
            <w:r>
              <w:rPr>
                <w:rFonts w:hint="eastAsia"/>
              </w:rPr>
              <w:t>封面补充完善，如“ICS 65.020.01”、“B 25”；</w:t>
            </w:r>
          </w:p>
        </w:tc>
        <w:tc>
          <w:tcPr>
            <w:tcW w:w="2126" w:type="dxa"/>
            <w:vAlign w:val="center"/>
          </w:tcPr>
          <w:p>
            <w:pPr>
              <w:jc w:val="center"/>
            </w:pPr>
            <w:r>
              <w:rPr>
                <w:rFonts w:hint="eastAsia"/>
              </w:rPr>
              <w:t>内蒙古自治区农牧业科学院/羿  静</w:t>
            </w:r>
          </w:p>
        </w:tc>
        <w:tc>
          <w:tcPr>
            <w:tcW w:w="993" w:type="dxa"/>
            <w:vAlign w:val="center"/>
          </w:tcPr>
          <w:p>
            <w:pPr>
              <w:jc w:val="center"/>
            </w:pPr>
            <w:r>
              <w:rPr>
                <w:rFonts w:hint="eastAsia"/>
              </w:rPr>
              <w:t>不采纳</w:t>
            </w:r>
          </w:p>
        </w:tc>
        <w:tc>
          <w:tcPr>
            <w:tcW w:w="1801" w:type="dxa"/>
            <w:vAlign w:val="center"/>
          </w:tcPr>
          <w:p>
            <w:pPr>
              <w:jc w:val="center"/>
            </w:pPr>
            <w:r>
              <w:rPr>
                <w:rFonts w:hint="eastAsia"/>
              </w:rPr>
              <w:t>中国标准文献分类号由内蒙古市场监督管理局补充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8</w:t>
            </w:r>
          </w:p>
        </w:tc>
        <w:tc>
          <w:tcPr>
            <w:tcW w:w="2835" w:type="dxa"/>
            <w:vAlign w:val="center"/>
          </w:tcPr>
          <w:p>
            <w:pPr>
              <w:jc w:val="left"/>
            </w:pPr>
            <w:r>
              <w:rPr>
                <w:rFonts w:hint="eastAsia"/>
              </w:rPr>
              <w:t>删掉“点击此处添加与国际标准一致性程度的标识”和“本稿完成日期：”；“文稿版次选择”为“征求意见稿”；</w:t>
            </w:r>
          </w:p>
        </w:tc>
        <w:tc>
          <w:tcPr>
            <w:tcW w:w="2126" w:type="dxa"/>
            <w:vAlign w:val="center"/>
          </w:tcPr>
          <w:p>
            <w:pPr>
              <w:jc w:val="center"/>
            </w:pPr>
            <w:r>
              <w:rPr>
                <w:rFonts w:hint="eastAsia"/>
              </w:rPr>
              <w:t>内蒙古自治区农牧业科学院/羿  静</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9</w:t>
            </w:r>
          </w:p>
        </w:tc>
        <w:tc>
          <w:tcPr>
            <w:tcW w:w="2835" w:type="dxa"/>
            <w:vAlign w:val="center"/>
          </w:tcPr>
          <w:p>
            <w:pPr>
              <w:jc w:val="left"/>
            </w:pPr>
            <w:r>
              <w:rPr>
                <w:rFonts w:hint="eastAsia"/>
              </w:rPr>
              <w:t>前言每行内容对齐；</w:t>
            </w:r>
          </w:p>
        </w:tc>
        <w:tc>
          <w:tcPr>
            <w:tcW w:w="2126" w:type="dxa"/>
            <w:vAlign w:val="center"/>
          </w:tcPr>
          <w:p>
            <w:pPr>
              <w:jc w:val="center"/>
            </w:pPr>
            <w:r>
              <w:rPr>
                <w:rFonts w:hint="eastAsia"/>
              </w:rPr>
              <w:t>内蒙古自治区农牧业科学院/羿  静</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10</w:t>
            </w:r>
          </w:p>
        </w:tc>
        <w:tc>
          <w:tcPr>
            <w:tcW w:w="2835" w:type="dxa"/>
            <w:vAlign w:val="center"/>
          </w:tcPr>
          <w:p>
            <w:pPr>
              <w:jc w:val="center"/>
            </w:pPr>
            <w:r>
              <w:rPr>
                <w:rFonts w:hint="eastAsia"/>
              </w:rPr>
              <w:t>术语和定义里，3.1后面的术语另起一行，首位空两格；3.1</w:t>
            </w:r>
            <w:r>
              <w:t>……</w:t>
            </w:r>
            <w:r>
              <w:rPr>
                <w:rFonts w:hint="eastAsia"/>
              </w:rPr>
              <w:t>3.7雷同；</w:t>
            </w:r>
          </w:p>
        </w:tc>
        <w:tc>
          <w:tcPr>
            <w:tcW w:w="2126" w:type="dxa"/>
            <w:vAlign w:val="center"/>
          </w:tcPr>
          <w:p>
            <w:pPr>
              <w:jc w:val="center"/>
            </w:pPr>
            <w:r>
              <w:rPr>
                <w:rFonts w:hint="eastAsia"/>
              </w:rPr>
              <w:t>内蒙古自治区农牧业科学院/羿  静</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11</w:t>
            </w:r>
          </w:p>
        </w:tc>
        <w:tc>
          <w:tcPr>
            <w:tcW w:w="2835" w:type="dxa"/>
            <w:vAlign w:val="center"/>
          </w:tcPr>
          <w:p>
            <w:pPr>
              <w:jc w:val="center"/>
            </w:pPr>
            <w:r>
              <w:rPr>
                <w:rFonts w:hint="eastAsia"/>
              </w:rPr>
              <w:t>结束符距正文空两行；</w:t>
            </w:r>
          </w:p>
        </w:tc>
        <w:tc>
          <w:tcPr>
            <w:tcW w:w="2126" w:type="dxa"/>
            <w:vAlign w:val="center"/>
          </w:tcPr>
          <w:p>
            <w:pPr>
              <w:jc w:val="center"/>
            </w:pPr>
            <w:r>
              <w:rPr>
                <w:rFonts w:hint="eastAsia"/>
              </w:rPr>
              <w:t>内蒙古自治区农牧业科学院/羿  静</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12</w:t>
            </w:r>
          </w:p>
        </w:tc>
        <w:tc>
          <w:tcPr>
            <w:tcW w:w="2835" w:type="dxa"/>
            <w:vAlign w:val="center"/>
          </w:tcPr>
          <w:p>
            <w:pPr>
              <w:jc w:val="center"/>
            </w:pPr>
            <w:r>
              <w:rPr>
                <w:rFonts w:hint="eastAsia"/>
              </w:rPr>
              <w:t>编制说明最后加一节“专家意见采纳与否”</w:t>
            </w:r>
          </w:p>
        </w:tc>
        <w:tc>
          <w:tcPr>
            <w:tcW w:w="2126" w:type="dxa"/>
            <w:vAlign w:val="center"/>
          </w:tcPr>
          <w:p>
            <w:pPr>
              <w:jc w:val="center"/>
            </w:pPr>
            <w:r>
              <w:rPr>
                <w:rFonts w:hint="eastAsia"/>
              </w:rPr>
              <w:t>内蒙古自治区农牧业科学院/羿  静</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13</w:t>
            </w:r>
          </w:p>
        </w:tc>
        <w:tc>
          <w:tcPr>
            <w:tcW w:w="2835" w:type="dxa"/>
            <w:vAlign w:val="center"/>
          </w:tcPr>
          <w:p>
            <w:r>
              <w:rPr>
                <w:rFonts w:hint="eastAsia"/>
              </w:rPr>
              <w:t>3.4 生长度日（GDD的计算公式）是否为原创？如非原创，建议在名词术语部分删除。</w:t>
            </w:r>
          </w:p>
        </w:tc>
        <w:tc>
          <w:tcPr>
            <w:tcW w:w="2126" w:type="dxa"/>
            <w:vAlign w:val="center"/>
          </w:tcPr>
          <w:p>
            <w:pPr>
              <w:jc w:val="center"/>
            </w:pPr>
            <w:r>
              <w:rPr>
                <w:rFonts w:hint="eastAsia"/>
              </w:rPr>
              <w:t>内蒙古大学</w:t>
            </w:r>
          </w:p>
          <w:p>
            <w:pPr>
              <w:jc w:val="center"/>
            </w:pPr>
            <w:r>
              <w:rPr>
                <w:rFonts w:hint="eastAsia"/>
              </w:rPr>
              <w:t>/宝音陶格涛</w:t>
            </w:r>
          </w:p>
        </w:tc>
        <w:tc>
          <w:tcPr>
            <w:tcW w:w="993" w:type="dxa"/>
            <w:vAlign w:val="center"/>
          </w:tcPr>
          <w:p>
            <w:pPr>
              <w:jc w:val="center"/>
            </w:pPr>
            <w:r>
              <w:rPr>
                <w:rFonts w:hint="eastAsia"/>
              </w:rPr>
              <w:t>不采纳</w:t>
            </w:r>
          </w:p>
        </w:tc>
        <w:tc>
          <w:tcPr>
            <w:tcW w:w="1801" w:type="dxa"/>
            <w:vAlign w:val="center"/>
          </w:tcPr>
          <w:p>
            <w:pPr>
              <w:jc w:val="center"/>
            </w:pPr>
            <w:r>
              <w:rPr>
                <w:rFonts w:hint="eastAsia"/>
              </w:rPr>
              <w:t>GDD的计算公式非原创，标准文稿末会补充参考文献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14</w:t>
            </w:r>
          </w:p>
        </w:tc>
        <w:tc>
          <w:tcPr>
            <w:tcW w:w="2835" w:type="dxa"/>
            <w:vAlign w:val="center"/>
          </w:tcPr>
          <w:p>
            <w:r>
              <w:rPr>
                <w:rFonts w:hint="eastAsia"/>
              </w:rPr>
              <w:t>4.2.1免耕播种和4.2.2翻耕播种，播种量是否有差距？</w:t>
            </w:r>
          </w:p>
        </w:tc>
        <w:tc>
          <w:tcPr>
            <w:tcW w:w="2126" w:type="dxa"/>
            <w:vAlign w:val="center"/>
          </w:tcPr>
          <w:p>
            <w:pPr>
              <w:jc w:val="center"/>
            </w:pPr>
            <w:r>
              <w:rPr>
                <w:rFonts w:hint="eastAsia"/>
              </w:rPr>
              <w:t>内蒙古大学</w:t>
            </w:r>
          </w:p>
          <w:p>
            <w:pPr>
              <w:jc w:val="center"/>
            </w:pPr>
            <w:r>
              <w:rPr>
                <w:rFonts w:hint="eastAsia"/>
              </w:rPr>
              <w:t>/宝音陶格涛</w:t>
            </w:r>
          </w:p>
        </w:tc>
        <w:tc>
          <w:tcPr>
            <w:tcW w:w="993" w:type="dxa"/>
            <w:vAlign w:val="center"/>
          </w:tcPr>
          <w:p>
            <w:pPr>
              <w:jc w:val="center"/>
            </w:pPr>
            <w:r>
              <w:rPr>
                <w:rFonts w:hint="eastAsia"/>
              </w:rPr>
              <w:t>采纳</w:t>
            </w:r>
          </w:p>
        </w:tc>
        <w:tc>
          <w:tcPr>
            <w:tcW w:w="1801" w:type="dxa"/>
            <w:vAlign w:val="center"/>
          </w:tcPr>
          <w:p>
            <w:pPr>
              <w:jc w:val="center"/>
            </w:pPr>
            <w:r>
              <w:t>播种量一样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15</w:t>
            </w:r>
          </w:p>
        </w:tc>
        <w:tc>
          <w:tcPr>
            <w:tcW w:w="2835" w:type="dxa"/>
            <w:vAlign w:val="center"/>
          </w:tcPr>
          <w:p>
            <w:pPr>
              <w:jc w:val="left"/>
            </w:pPr>
            <w:r>
              <w:t>在标准中生长度日</w:t>
            </w:r>
            <w:r>
              <w:rPr>
                <w:rFonts w:hint="eastAsia"/>
              </w:rPr>
              <w:t>（GDD）指标计算首次刈割时间外，可以确定刈割苜蓿生长高度指标，这样便于在实践中操作。</w:t>
            </w:r>
          </w:p>
        </w:tc>
        <w:tc>
          <w:tcPr>
            <w:tcW w:w="2126" w:type="dxa"/>
          </w:tcPr>
          <w:p>
            <w:pPr>
              <w:jc w:val="center"/>
            </w:pPr>
            <w:r>
              <w:rPr>
                <w:rFonts w:hint="eastAsia"/>
              </w:rPr>
              <w:t>内蒙古大学</w:t>
            </w:r>
          </w:p>
          <w:p>
            <w:pPr>
              <w:jc w:val="center"/>
            </w:pPr>
            <w:r>
              <w:rPr>
                <w:rFonts w:hint="eastAsia"/>
              </w:rPr>
              <w:t>/宝音陶格涛</w:t>
            </w:r>
          </w:p>
        </w:tc>
        <w:tc>
          <w:tcPr>
            <w:tcW w:w="993" w:type="dxa"/>
            <w:vAlign w:val="center"/>
          </w:tcPr>
          <w:p>
            <w:pPr>
              <w:jc w:val="center"/>
            </w:pPr>
            <w:r>
              <w:rPr>
                <w:rFonts w:hint="eastAsia"/>
              </w:rPr>
              <w:t>不采纳</w:t>
            </w:r>
          </w:p>
        </w:tc>
        <w:tc>
          <w:tcPr>
            <w:tcW w:w="1801" w:type="dxa"/>
            <w:vAlign w:val="center"/>
          </w:tcPr>
          <w:p>
            <w:pPr>
              <w:jc w:val="center"/>
            </w:pPr>
            <w:r>
              <w:t>目前还未开展根据苜蓿生长高度确定苜蓿刈割时间的研究</w:t>
            </w:r>
            <w:r>
              <w:rPr>
                <w:rFonts w:hint="eastAsia"/>
              </w:rPr>
              <w:t>，</w:t>
            </w:r>
            <w:r>
              <w:t>据相关文献报道</w:t>
            </w:r>
            <w:r>
              <w:rPr>
                <w:rFonts w:hint="eastAsia"/>
              </w:rPr>
              <w:t>，</w:t>
            </w:r>
            <w:r>
              <w:t>根据苜蓿生长高度确定苜蓿刈割时间需要苜蓿地植株密度条件好</w:t>
            </w:r>
            <w:r>
              <w:rPr>
                <w:rFonts w:hint="eastAsia"/>
              </w:rPr>
              <w:t>，</w:t>
            </w:r>
            <w:r>
              <w:t>否则</w:t>
            </w:r>
            <w:r>
              <w:rPr>
                <w:rFonts w:hint="eastAsia"/>
              </w:rPr>
              <w:t>此</w:t>
            </w:r>
            <w:r>
              <w:t>标准不适宜确定苜蓿刈割时间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16</w:t>
            </w:r>
          </w:p>
        </w:tc>
        <w:tc>
          <w:tcPr>
            <w:tcW w:w="2835" w:type="dxa"/>
            <w:vAlign w:val="center"/>
          </w:tcPr>
          <w:p>
            <w:pPr>
              <w:jc w:val="center"/>
            </w:pPr>
            <w:r>
              <w:rPr>
                <w:rFonts w:hint="eastAsia"/>
              </w:rPr>
              <w:t>范围中应改为本标准规定了科尔沁沙地灌溉苜蓿刈割时间、刈割次数和留茬高度技术要求。</w:t>
            </w:r>
          </w:p>
        </w:tc>
        <w:tc>
          <w:tcPr>
            <w:tcW w:w="2126" w:type="dxa"/>
            <w:vAlign w:val="center"/>
          </w:tcPr>
          <w:p>
            <w:pPr>
              <w:jc w:val="center"/>
            </w:pPr>
            <w:r>
              <w:rPr>
                <w:rFonts w:hint="eastAsia"/>
              </w:rPr>
              <w:t>中国农业科学院草原研究所/闫志坚</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17</w:t>
            </w:r>
          </w:p>
        </w:tc>
        <w:tc>
          <w:tcPr>
            <w:tcW w:w="2835" w:type="dxa"/>
            <w:vAlign w:val="center"/>
          </w:tcPr>
          <w:p>
            <w:r>
              <w:rPr>
                <w:rFonts w:hint="eastAsia"/>
              </w:rPr>
              <w:t>3.1为术语，应表述为苜蓿年刈割次数，刈割时间和留茬高度。</w:t>
            </w:r>
          </w:p>
        </w:tc>
        <w:tc>
          <w:tcPr>
            <w:tcW w:w="2126" w:type="dxa"/>
            <w:vAlign w:val="center"/>
          </w:tcPr>
          <w:p>
            <w:pPr>
              <w:jc w:val="center"/>
            </w:pPr>
            <w:r>
              <w:rPr>
                <w:rFonts w:hint="eastAsia"/>
              </w:rPr>
              <w:t>中国农业科学院草原研究所/闫志坚</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18</w:t>
            </w:r>
          </w:p>
        </w:tc>
        <w:tc>
          <w:tcPr>
            <w:tcW w:w="2835" w:type="dxa"/>
            <w:vAlign w:val="center"/>
          </w:tcPr>
          <w:p>
            <w:pPr>
              <w:jc w:val="left"/>
            </w:pPr>
            <w:r>
              <w:rPr>
                <w:rFonts w:hint="eastAsia"/>
              </w:rPr>
              <w:t>秋眠级和抗寒指数为国外通用标准，不必应用在这里。</w:t>
            </w:r>
          </w:p>
        </w:tc>
        <w:tc>
          <w:tcPr>
            <w:tcW w:w="2126" w:type="dxa"/>
            <w:vAlign w:val="center"/>
          </w:tcPr>
          <w:p>
            <w:pPr>
              <w:jc w:val="center"/>
            </w:pPr>
            <w:r>
              <w:rPr>
                <w:rFonts w:hint="eastAsia"/>
              </w:rPr>
              <w:t>中国农业科学院草原研究所/闫志坚</w:t>
            </w:r>
          </w:p>
        </w:tc>
        <w:tc>
          <w:tcPr>
            <w:tcW w:w="993" w:type="dxa"/>
            <w:vAlign w:val="center"/>
          </w:tcPr>
          <w:p>
            <w:pPr>
              <w:jc w:val="center"/>
            </w:pPr>
            <w:r>
              <w:rPr>
                <w:rFonts w:hint="eastAsia"/>
              </w:rPr>
              <w:t>不采纳</w:t>
            </w:r>
          </w:p>
        </w:tc>
        <w:tc>
          <w:tcPr>
            <w:tcW w:w="1801" w:type="dxa"/>
            <w:vAlign w:val="center"/>
          </w:tcPr>
          <w:p>
            <w:pPr>
              <w:jc w:val="center"/>
            </w:pPr>
            <w:r>
              <w:t>在科尔沁沙地</w:t>
            </w:r>
            <w:r>
              <w:rPr>
                <w:rFonts w:hint="eastAsia"/>
              </w:rPr>
              <w:t>，种植国外苜蓿品种占90%以上，秋眠级和抗寒指数是选择种植适宜苜蓿品种和确定刈割技术的重要依据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19</w:t>
            </w:r>
          </w:p>
        </w:tc>
        <w:tc>
          <w:tcPr>
            <w:tcW w:w="2835" w:type="dxa"/>
            <w:vAlign w:val="center"/>
          </w:tcPr>
          <w:p>
            <w:r>
              <w:rPr>
                <w:rFonts w:hint="eastAsia"/>
              </w:rPr>
              <w:t>本标准应去除苜蓿播种以及免耕等内容，重点制定苜蓿刈割制度。</w:t>
            </w:r>
          </w:p>
        </w:tc>
        <w:tc>
          <w:tcPr>
            <w:tcW w:w="2126" w:type="dxa"/>
            <w:vAlign w:val="center"/>
          </w:tcPr>
          <w:p>
            <w:pPr>
              <w:jc w:val="center"/>
            </w:pPr>
            <w:r>
              <w:rPr>
                <w:rFonts w:hint="eastAsia"/>
              </w:rPr>
              <w:t>中国农业科学院草原研究所/闫志坚</w:t>
            </w:r>
          </w:p>
        </w:tc>
        <w:tc>
          <w:tcPr>
            <w:tcW w:w="993" w:type="dxa"/>
            <w:vAlign w:val="center"/>
          </w:tcPr>
          <w:p>
            <w:pPr>
              <w:jc w:val="center"/>
            </w:pPr>
            <w:r>
              <w:rPr>
                <w:rFonts w:hint="eastAsia"/>
              </w:rPr>
              <w:t>不采纳</w:t>
            </w:r>
          </w:p>
        </w:tc>
        <w:tc>
          <w:tcPr>
            <w:tcW w:w="1801" w:type="dxa"/>
            <w:vAlign w:val="center"/>
          </w:tcPr>
          <w:p>
            <w:pPr>
              <w:jc w:val="left"/>
            </w:pPr>
            <w:r>
              <w:t>苜蓿的播种时间与当年刈割时间息息相关</w:t>
            </w:r>
            <w:r>
              <w:rPr>
                <w:rFonts w:hint="eastAsia"/>
              </w:rPr>
              <w:t>，</w:t>
            </w:r>
            <w:r>
              <w:t>不</w:t>
            </w:r>
            <w:r>
              <w:rPr>
                <w:rFonts w:hint="eastAsia"/>
              </w:rPr>
              <w:t>能去除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20</w:t>
            </w:r>
          </w:p>
        </w:tc>
        <w:tc>
          <w:tcPr>
            <w:tcW w:w="2835" w:type="dxa"/>
            <w:vAlign w:val="center"/>
          </w:tcPr>
          <w:p>
            <w:pPr>
              <w:jc w:val="left"/>
            </w:pPr>
            <w:r>
              <w:rPr>
                <w:rFonts w:hint="eastAsia"/>
              </w:rPr>
              <w:t>第一茬苜蓿刈割生长度日计算在编制说明中应指出来源于研究数据。</w:t>
            </w:r>
          </w:p>
        </w:tc>
        <w:tc>
          <w:tcPr>
            <w:tcW w:w="2126" w:type="dxa"/>
            <w:vAlign w:val="center"/>
          </w:tcPr>
          <w:p>
            <w:pPr>
              <w:jc w:val="center"/>
            </w:pPr>
            <w:r>
              <w:rPr>
                <w:rFonts w:hint="eastAsia"/>
              </w:rPr>
              <w:t>中国农业科学院草原研究所/闫志坚</w:t>
            </w:r>
          </w:p>
        </w:tc>
        <w:tc>
          <w:tcPr>
            <w:tcW w:w="993" w:type="dxa"/>
            <w:vAlign w:val="center"/>
          </w:tcPr>
          <w:p>
            <w:pPr>
              <w:jc w:val="center"/>
            </w:pPr>
            <w:r>
              <w:rPr>
                <w:rFonts w:hint="eastAsia"/>
              </w:rPr>
              <w:t>采纳</w:t>
            </w:r>
          </w:p>
        </w:tc>
        <w:tc>
          <w:tcPr>
            <w:tcW w:w="180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trPr>
        <w:tc>
          <w:tcPr>
            <w:tcW w:w="817" w:type="dxa"/>
            <w:vAlign w:val="center"/>
          </w:tcPr>
          <w:p>
            <w:pPr>
              <w:jc w:val="center"/>
            </w:pPr>
            <w:r>
              <w:rPr>
                <w:rFonts w:hint="eastAsia"/>
              </w:rPr>
              <w:t>21</w:t>
            </w:r>
          </w:p>
        </w:tc>
        <w:tc>
          <w:tcPr>
            <w:tcW w:w="2835" w:type="dxa"/>
            <w:vAlign w:val="center"/>
          </w:tcPr>
          <w:p>
            <w:r>
              <w:rPr>
                <w:rFonts w:hint="eastAsia"/>
              </w:rPr>
              <w:t>简化和精炼语言，符合标准书写规范。</w:t>
            </w:r>
          </w:p>
        </w:tc>
        <w:tc>
          <w:tcPr>
            <w:tcW w:w="2126" w:type="dxa"/>
            <w:vAlign w:val="center"/>
          </w:tcPr>
          <w:p>
            <w:pPr>
              <w:jc w:val="center"/>
            </w:pPr>
            <w:r>
              <w:rPr>
                <w:rFonts w:hint="eastAsia"/>
              </w:rPr>
              <w:t>中国农业科学院草原研究所/闫志坚</w:t>
            </w:r>
          </w:p>
        </w:tc>
        <w:tc>
          <w:tcPr>
            <w:tcW w:w="993" w:type="dxa"/>
            <w:vAlign w:val="center"/>
          </w:tcPr>
          <w:p>
            <w:pPr>
              <w:jc w:val="center"/>
            </w:pPr>
            <w:r>
              <w:rPr>
                <w:rFonts w:hint="eastAsia"/>
              </w:rPr>
              <w:t>采纳</w:t>
            </w:r>
          </w:p>
        </w:tc>
        <w:tc>
          <w:tcPr>
            <w:tcW w:w="1801" w:type="dxa"/>
            <w:vAlign w:val="center"/>
          </w:tcPr>
          <w:p>
            <w:pPr>
              <w:jc w:val="center"/>
            </w:pPr>
          </w:p>
        </w:tc>
      </w:tr>
    </w:tbl>
    <w:p/>
    <w:sectPr>
      <w:headerReference r:id="rId3" w:type="default"/>
      <w:footerReference r:id="rId4" w:type="even"/>
      <w:pgSz w:w="11906" w:h="16838"/>
      <w:pgMar w:top="1247" w:right="1797" w:bottom="124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fldChar w:fldCharType="begin"/>
    </w:r>
    <w:r>
      <w:rPr>
        <w:rStyle w:val="8"/>
      </w:rPr>
      <w:instrText xml:space="preserve"> PAGE </w:instrText>
    </w:r>
    <w:r>
      <w:fldChar w:fldCharType="separate"/>
    </w:r>
    <w:r>
      <w:rPr>
        <w:rStyle w:val="8"/>
      </w:rPr>
      <w:t>22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404C"/>
    <w:rsid w:val="000136E3"/>
    <w:rsid w:val="00021B16"/>
    <w:rsid w:val="000255AF"/>
    <w:rsid w:val="00033743"/>
    <w:rsid w:val="00051BFE"/>
    <w:rsid w:val="0006002A"/>
    <w:rsid w:val="00091081"/>
    <w:rsid w:val="000A35D9"/>
    <w:rsid w:val="000B1900"/>
    <w:rsid w:val="000B3983"/>
    <w:rsid w:val="000E255B"/>
    <w:rsid w:val="001064DB"/>
    <w:rsid w:val="00113907"/>
    <w:rsid w:val="0012670F"/>
    <w:rsid w:val="00175F4C"/>
    <w:rsid w:val="001D297D"/>
    <w:rsid w:val="001D5561"/>
    <w:rsid w:val="001E5099"/>
    <w:rsid w:val="001E50C3"/>
    <w:rsid w:val="00205857"/>
    <w:rsid w:val="00205BAE"/>
    <w:rsid w:val="00252639"/>
    <w:rsid w:val="002717EA"/>
    <w:rsid w:val="00292EF0"/>
    <w:rsid w:val="002B3568"/>
    <w:rsid w:val="002B38EA"/>
    <w:rsid w:val="002B678E"/>
    <w:rsid w:val="002C37C0"/>
    <w:rsid w:val="002C58F2"/>
    <w:rsid w:val="002D1737"/>
    <w:rsid w:val="002E6F6F"/>
    <w:rsid w:val="002E7E39"/>
    <w:rsid w:val="002F205D"/>
    <w:rsid w:val="003014E0"/>
    <w:rsid w:val="0030445E"/>
    <w:rsid w:val="00316F1B"/>
    <w:rsid w:val="00320641"/>
    <w:rsid w:val="00320B9B"/>
    <w:rsid w:val="003477FC"/>
    <w:rsid w:val="00351FDA"/>
    <w:rsid w:val="003550F2"/>
    <w:rsid w:val="00376F84"/>
    <w:rsid w:val="003A6632"/>
    <w:rsid w:val="00416419"/>
    <w:rsid w:val="00417E1D"/>
    <w:rsid w:val="00474CA5"/>
    <w:rsid w:val="00476D50"/>
    <w:rsid w:val="004B1166"/>
    <w:rsid w:val="004D6C73"/>
    <w:rsid w:val="004E71D5"/>
    <w:rsid w:val="004F273A"/>
    <w:rsid w:val="00504AF8"/>
    <w:rsid w:val="00505A54"/>
    <w:rsid w:val="0051282A"/>
    <w:rsid w:val="00514697"/>
    <w:rsid w:val="005402CB"/>
    <w:rsid w:val="0054127B"/>
    <w:rsid w:val="0054330E"/>
    <w:rsid w:val="00551C4E"/>
    <w:rsid w:val="0056009A"/>
    <w:rsid w:val="005835E8"/>
    <w:rsid w:val="00591205"/>
    <w:rsid w:val="005B0BE4"/>
    <w:rsid w:val="005B658A"/>
    <w:rsid w:val="005C48DB"/>
    <w:rsid w:val="005E34F3"/>
    <w:rsid w:val="005F7688"/>
    <w:rsid w:val="006068A7"/>
    <w:rsid w:val="00640341"/>
    <w:rsid w:val="00672A13"/>
    <w:rsid w:val="006757EF"/>
    <w:rsid w:val="0068479F"/>
    <w:rsid w:val="006A6432"/>
    <w:rsid w:val="006B0847"/>
    <w:rsid w:val="006B3FAB"/>
    <w:rsid w:val="006F1987"/>
    <w:rsid w:val="00711508"/>
    <w:rsid w:val="00717EBF"/>
    <w:rsid w:val="0072757D"/>
    <w:rsid w:val="007504DB"/>
    <w:rsid w:val="00753168"/>
    <w:rsid w:val="007716CA"/>
    <w:rsid w:val="00773F66"/>
    <w:rsid w:val="00775A0F"/>
    <w:rsid w:val="007808A9"/>
    <w:rsid w:val="007D0947"/>
    <w:rsid w:val="007E5665"/>
    <w:rsid w:val="007F1542"/>
    <w:rsid w:val="008014F6"/>
    <w:rsid w:val="008044F9"/>
    <w:rsid w:val="0080787E"/>
    <w:rsid w:val="00815BEE"/>
    <w:rsid w:val="008340D8"/>
    <w:rsid w:val="00840A76"/>
    <w:rsid w:val="008452EC"/>
    <w:rsid w:val="0085080E"/>
    <w:rsid w:val="00865503"/>
    <w:rsid w:val="008935FC"/>
    <w:rsid w:val="0089536E"/>
    <w:rsid w:val="008A4D78"/>
    <w:rsid w:val="008A5BD5"/>
    <w:rsid w:val="008D6979"/>
    <w:rsid w:val="00906385"/>
    <w:rsid w:val="009064CD"/>
    <w:rsid w:val="0096109D"/>
    <w:rsid w:val="00966DA6"/>
    <w:rsid w:val="00971987"/>
    <w:rsid w:val="00985F24"/>
    <w:rsid w:val="00993FF2"/>
    <w:rsid w:val="009A4F99"/>
    <w:rsid w:val="009E7144"/>
    <w:rsid w:val="009F0255"/>
    <w:rsid w:val="009F5BBD"/>
    <w:rsid w:val="00A04076"/>
    <w:rsid w:val="00A138F4"/>
    <w:rsid w:val="00A20539"/>
    <w:rsid w:val="00A356A2"/>
    <w:rsid w:val="00A4357F"/>
    <w:rsid w:val="00A5221D"/>
    <w:rsid w:val="00A53793"/>
    <w:rsid w:val="00A62A82"/>
    <w:rsid w:val="00A86E81"/>
    <w:rsid w:val="00A919E1"/>
    <w:rsid w:val="00A9235A"/>
    <w:rsid w:val="00AE04C6"/>
    <w:rsid w:val="00AF137D"/>
    <w:rsid w:val="00AF581E"/>
    <w:rsid w:val="00B00445"/>
    <w:rsid w:val="00B0324E"/>
    <w:rsid w:val="00B109C0"/>
    <w:rsid w:val="00B14620"/>
    <w:rsid w:val="00B217D5"/>
    <w:rsid w:val="00B217FF"/>
    <w:rsid w:val="00B44CC5"/>
    <w:rsid w:val="00B46A10"/>
    <w:rsid w:val="00B5320B"/>
    <w:rsid w:val="00B80FC1"/>
    <w:rsid w:val="00B828FB"/>
    <w:rsid w:val="00B8404C"/>
    <w:rsid w:val="00BB03B3"/>
    <w:rsid w:val="00BB2E41"/>
    <w:rsid w:val="00BB62E9"/>
    <w:rsid w:val="00BC479C"/>
    <w:rsid w:val="00BC4C15"/>
    <w:rsid w:val="00BC5B5E"/>
    <w:rsid w:val="00BD20E2"/>
    <w:rsid w:val="00BD7AC4"/>
    <w:rsid w:val="00C12566"/>
    <w:rsid w:val="00C47DD6"/>
    <w:rsid w:val="00C51C11"/>
    <w:rsid w:val="00C9400E"/>
    <w:rsid w:val="00CE20C3"/>
    <w:rsid w:val="00CF323C"/>
    <w:rsid w:val="00D166D2"/>
    <w:rsid w:val="00D2036E"/>
    <w:rsid w:val="00D37C2D"/>
    <w:rsid w:val="00D52E57"/>
    <w:rsid w:val="00D70934"/>
    <w:rsid w:val="00D81A12"/>
    <w:rsid w:val="00DC0B9F"/>
    <w:rsid w:val="00DF29EB"/>
    <w:rsid w:val="00E30F02"/>
    <w:rsid w:val="00E342AD"/>
    <w:rsid w:val="00E448F7"/>
    <w:rsid w:val="00E519D3"/>
    <w:rsid w:val="00E56975"/>
    <w:rsid w:val="00E603EB"/>
    <w:rsid w:val="00E91DB3"/>
    <w:rsid w:val="00EB2B3E"/>
    <w:rsid w:val="00F16FAC"/>
    <w:rsid w:val="00F215F1"/>
    <w:rsid w:val="00F21869"/>
    <w:rsid w:val="00F27558"/>
    <w:rsid w:val="00F37EC5"/>
    <w:rsid w:val="00F73EB2"/>
    <w:rsid w:val="00F76F4B"/>
    <w:rsid w:val="00F912C9"/>
    <w:rsid w:val="00FA33D1"/>
    <w:rsid w:val="00FA4ED7"/>
    <w:rsid w:val="00FB0D07"/>
    <w:rsid w:val="00FB7E3D"/>
    <w:rsid w:val="00FC13EE"/>
    <w:rsid w:val="00FF3708"/>
    <w:rsid w:val="00FF5EE7"/>
    <w:rsid w:val="09A8687F"/>
    <w:rsid w:val="181E7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4"/>
    <w:unhideWhenUsed/>
    <w:uiPriority w:val="99"/>
    <w:rPr>
      <w:sz w:val="18"/>
      <w:szCs w:val="18"/>
    </w:rPr>
  </w:style>
  <w:style w:type="paragraph" w:styleId="4">
    <w:name w:val="footer"/>
    <w:basedOn w:val="1"/>
    <w:link w:val="12"/>
    <w:unhideWhenUsed/>
    <w:uiPriority w:val="0"/>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spacing w:beforeAutospacing="1" w:afterAutospacing="1"/>
      <w:jc w:val="left"/>
    </w:pPr>
    <w:rPr>
      <w:rFonts w:asciiTheme="minorHAnsi" w:hAnsiTheme="minorHAnsi" w:eastAsiaTheme="minorEastAsia"/>
      <w:kern w:val="0"/>
      <w:sz w:val="24"/>
      <w:szCs w:val="22"/>
    </w:rPr>
  </w:style>
  <w:style w:type="character" w:styleId="8">
    <w:name w:val="page number"/>
    <w:uiPriority w:val="0"/>
    <w:rPr>
      <w:rFonts w:ascii="Times New Roman" w:hAnsi="Times New Roman" w:eastAsia="宋体"/>
      <w:sz w:val="18"/>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1">
    <w:name w:val="页眉 Char"/>
    <w:basedOn w:val="7"/>
    <w:link w:val="5"/>
    <w:semiHidden/>
    <w:uiPriority w:val="99"/>
    <w:rPr>
      <w:sz w:val="18"/>
      <w:szCs w:val="18"/>
    </w:rPr>
  </w:style>
  <w:style w:type="character" w:customStyle="1" w:styleId="12">
    <w:name w:val="页脚 Char"/>
    <w:basedOn w:val="7"/>
    <w:link w:val="4"/>
    <w:semiHidden/>
    <w:uiPriority w:val="99"/>
    <w:rPr>
      <w:sz w:val="18"/>
      <w:szCs w:val="18"/>
    </w:rPr>
  </w:style>
  <w:style w:type="character" w:customStyle="1" w:styleId="13">
    <w:name w:val="标题 1 Char"/>
    <w:basedOn w:val="7"/>
    <w:link w:val="2"/>
    <w:uiPriority w:val="0"/>
    <w:rPr>
      <w:rFonts w:ascii="Times New Roman" w:hAnsi="Times New Roman" w:eastAsia="宋体" w:cs="Times New Roman"/>
      <w:b/>
      <w:bCs/>
      <w:kern w:val="44"/>
      <w:sz w:val="44"/>
      <w:szCs w:val="44"/>
    </w:rPr>
  </w:style>
  <w:style w:type="character" w:customStyle="1" w:styleId="14">
    <w:name w:val="批注框文本 Char"/>
    <w:basedOn w:val="7"/>
    <w:link w:val="3"/>
    <w:semiHidden/>
    <w:uiPriority w:val="99"/>
    <w:rPr>
      <w:rFonts w:ascii="Times New Roman" w:hAnsi="Times New Roman" w:eastAsia="宋体" w:cs="Times New Roman"/>
      <w:sz w:val="18"/>
      <w:szCs w:val="18"/>
    </w:rPr>
  </w:style>
  <w:style w:type="paragraph" w:customStyle="1" w:styleId="15">
    <w:name w:val="List Paragraph"/>
    <w:basedOn w:val="1"/>
    <w:qFormat/>
    <w:uiPriority w:val="0"/>
    <w:pPr>
      <w:ind w:firstLine="420" w:firstLineChars="200"/>
    </w:pPr>
    <w:rPr>
      <w:kern w:val="0"/>
      <w:sz w:val="22"/>
      <w:szCs w:val="22"/>
    </w:rPr>
  </w:style>
  <w:style w:type="paragraph" w:customStyle="1" w:styleId="16">
    <w:name w:val="段"/>
    <w:link w:val="17"/>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7">
    <w:name w:val="段 Char"/>
    <w:link w:val="16"/>
    <w:uiPriority w:val="0"/>
    <w:rPr>
      <w:rFonts w:ascii="宋体" w:hAnsi="Times New Roman" w:eastAsia="宋体" w:cs="Times New Roman"/>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693</Words>
  <Characters>3951</Characters>
  <Lines>32</Lines>
  <Paragraphs>9</Paragraphs>
  <TotalTime>236</TotalTime>
  <ScaleCrop>false</ScaleCrop>
  <LinksUpToDate>false</LinksUpToDate>
  <CharactersWithSpaces>4635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2019-11-19T04:59:00Z</dcterms:created>
  <dc:creator>Lenovo</dc:creator>
  <cp:lastModifiedBy>HCH</cp:lastModifiedBy>
  <dcterms:modified xsi:type="dcterms:W3CDTF">2020-05-13T01:50:47Z</dcterms:modified>
  <cp:revision>298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