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方正小标宋简体"/>
          <w:b/>
          <w:bCs w:val="0"/>
          <w:spacing w:val="-20"/>
          <w:sz w:val="44"/>
          <w:szCs w:val="44"/>
        </w:rPr>
      </w:pPr>
      <w:r>
        <w:rPr>
          <w:rFonts w:hint="eastAsia" w:ascii="宋体" w:hAnsi="宋体" w:eastAsia="宋体" w:cs="方正小标宋简体"/>
          <w:b/>
          <w:bCs w:val="0"/>
          <w:spacing w:val="-20"/>
          <w:sz w:val="44"/>
          <w:szCs w:val="44"/>
        </w:rPr>
        <w:t>营养健康餐厅创建与评价技术指南</w:t>
      </w:r>
    </w:p>
    <w:p>
      <w:pPr>
        <w:spacing w:line="600" w:lineRule="exact"/>
        <w:jc w:val="center"/>
        <w:rPr>
          <w:rFonts w:ascii="宋体" w:hAnsi="宋体" w:eastAsia="宋体" w:cs="方正小标宋简体"/>
          <w:b/>
          <w:bCs w:val="0"/>
          <w:spacing w:val="-20"/>
          <w:sz w:val="44"/>
          <w:szCs w:val="44"/>
        </w:rPr>
      </w:pPr>
      <w:r>
        <w:rPr>
          <w:rFonts w:hint="eastAsia" w:ascii="宋体" w:hAnsi="宋体" w:eastAsia="宋体" w:cs="方正小标宋简体"/>
          <w:b/>
          <w:bCs w:val="0"/>
          <w:spacing w:val="-20"/>
          <w:sz w:val="44"/>
          <w:szCs w:val="44"/>
        </w:rPr>
        <w:t>（征求意见稿）编制说明</w:t>
      </w:r>
    </w:p>
    <w:p>
      <w:pPr>
        <w:spacing w:line="600" w:lineRule="exact"/>
        <w:jc w:val="center"/>
        <w:rPr>
          <w:rFonts w:hint="eastAsia" w:ascii="方正小标宋简体" w:hAnsi="方正小标宋简体" w:eastAsia="方正小标宋简体" w:cs="方正小标宋简体"/>
          <w:bCs/>
          <w:spacing w:val="-20"/>
          <w:sz w:val="44"/>
          <w:szCs w:val="44"/>
          <w:lang w:val="en-US" w:eastAsia="zh-CN"/>
        </w:rPr>
      </w:pPr>
      <w:r>
        <w:rPr>
          <w:rFonts w:hint="eastAsia" w:ascii="方正小标宋简体" w:hAnsi="方正小标宋简体" w:eastAsia="方正小标宋简体" w:cs="方正小标宋简体"/>
          <w:bCs/>
          <w:spacing w:val="-20"/>
          <w:sz w:val="44"/>
          <w:szCs w:val="44"/>
          <w:lang w:val="en-US" w:eastAsia="zh-CN"/>
        </w:rPr>
        <w:t xml:space="preserve">    </w:t>
      </w:r>
    </w:p>
    <w:p>
      <w:pPr>
        <w:spacing w:line="600" w:lineRule="exact"/>
        <w:ind w:firstLine="0" w:firstLineChars="0"/>
        <w:rPr>
          <w:rFonts w:ascii="仿宋" w:hAnsi="仿宋" w:eastAsia="仿宋" w:cs="仿宋"/>
          <w:b/>
          <w:bCs/>
          <w:sz w:val="32"/>
          <w:szCs w:val="32"/>
        </w:rPr>
      </w:pPr>
      <w:r>
        <w:rPr>
          <w:rFonts w:hint="eastAsia" w:ascii="方正小标宋简体" w:hAnsi="方正小标宋简体" w:eastAsia="方正小标宋简体" w:cs="方正小标宋简体"/>
          <w:bCs/>
          <w:spacing w:val="-20"/>
          <w:sz w:val="44"/>
          <w:szCs w:val="44"/>
          <w:lang w:val="en-US" w:eastAsia="zh-CN"/>
        </w:rPr>
        <w:t xml:space="preserve">   </w:t>
      </w:r>
      <w:r>
        <w:rPr>
          <w:rFonts w:hint="eastAsia" w:ascii="方正小标宋简体" w:hAnsi="方正小标宋简体" w:eastAsia="方正小标宋简体" w:cs="方正小标宋简体"/>
          <w:b/>
          <w:bCs w:val="0"/>
          <w:spacing w:val="-20"/>
          <w:sz w:val="44"/>
          <w:szCs w:val="44"/>
          <w:lang w:val="en-US" w:eastAsia="zh-CN"/>
        </w:rPr>
        <w:t xml:space="preserve"> </w:t>
      </w:r>
      <w:r>
        <w:rPr>
          <w:rFonts w:hint="eastAsia" w:ascii="黑体" w:hAnsi="宋体" w:eastAsia="黑体" w:cs="黑体"/>
          <w:b/>
          <w:bCs w:val="0"/>
          <w:color w:val="484848"/>
          <w:sz w:val="32"/>
          <w:szCs w:val="32"/>
        </w:rPr>
        <w:t>一、编制</w:t>
      </w:r>
      <w:r>
        <w:rPr>
          <w:rFonts w:ascii="黑体" w:hAnsi="宋体" w:eastAsia="黑体" w:cs="黑体"/>
          <w:b/>
          <w:bCs w:val="0"/>
          <w:color w:val="484848"/>
          <w:sz w:val="32"/>
          <w:szCs w:val="32"/>
        </w:rPr>
        <w:t>背景及过程</w:t>
      </w:r>
    </w:p>
    <w:p>
      <w:pPr>
        <w:spacing w:line="600" w:lineRule="exact"/>
        <w:ind w:firstLine="640" w:firstLineChars="200"/>
        <w:rPr>
          <w:rFonts w:ascii="楷体" w:hAnsi="楷体" w:eastAsia="楷体" w:cs="仿宋"/>
          <w:sz w:val="32"/>
          <w:szCs w:val="32"/>
        </w:rPr>
      </w:pPr>
      <w:r>
        <w:rPr>
          <w:rFonts w:hint="eastAsia" w:ascii="楷体" w:hAnsi="楷体" w:eastAsia="楷体" w:cs="仿宋"/>
          <w:sz w:val="32"/>
          <w:szCs w:val="32"/>
        </w:rPr>
        <w:t>（一）任务来源、编制单位</w:t>
      </w:r>
    </w:p>
    <w:p>
      <w:pPr>
        <w:widowControl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1.任务来源</w:t>
      </w:r>
    </w:p>
    <w:p>
      <w:pPr>
        <w:widowControl/>
        <w:adjustRightInd w:val="0"/>
        <w:snapToGrid w:val="0"/>
        <w:spacing w:line="600" w:lineRule="exact"/>
        <w:ind w:firstLine="640" w:firstLineChars="200"/>
        <w:rPr>
          <w:rFonts w:ascii="仿宋_GB2312" w:eastAsia="仿宋_GB2312"/>
          <w:sz w:val="32"/>
          <w:szCs w:val="32"/>
        </w:rPr>
      </w:pPr>
      <w:r>
        <w:rPr>
          <w:rFonts w:hint="eastAsia" w:ascii="仿宋" w:hAnsi="仿宋" w:eastAsia="仿宋" w:cs="仿宋"/>
          <w:sz w:val="32"/>
          <w:szCs w:val="32"/>
        </w:rPr>
        <w:t>为贯彻落实《国民营养计划（2017</w:t>
      </w:r>
      <w:r>
        <w:rPr>
          <w:rFonts w:hint="default" w:ascii="Times New Roman" w:hAnsi="Times New Roman" w:eastAsia="仿宋" w:cs="Times New Roman"/>
          <w:sz w:val="32"/>
          <w:szCs w:val="32"/>
        </w:rPr>
        <w:t>-</w:t>
      </w:r>
      <w:r>
        <w:rPr>
          <w:rFonts w:hint="eastAsia" w:ascii="仿宋" w:hAnsi="仿宋" w:eastAsia="仿宋" w:cs="仿宋"/>
          <w:sz w:val="32"/>
          <w:szCs w:val="32"/>
        </w:rPr>
        <w:t>2030年）》</w:t>
      </w:r>
      <w:r>
        <w:rPr>
          <w:rFonts w:hint="eastAsia" w:ascii="仿宋" w:hAnsi="仿宋" w:eastAsia="仿宋" w:cs="仿宋"/>
          <w:sz w:val="32"/>
          <w:szCs w:val="32"/>
          <w:lang w:eastAsia="zh-CN"/>
        </w:rPr>
        <w:t>和</w:t>
      </w:r>
      <w:r>
        <w:rPr>
          <w:rFonts w:hint="eastAsia" w:ascii="仿宋" w:hAnsi="仿宋" w:eastAsia="仿宋" w:cs="仿宋"/>
          <w:sz w:val="32"/>
          <w:szCs w:val="32"/>
        </w:rPr>
        <w:t>《健康中国行动（2019</w:t>
      </w:r>
      <w:r>
        <w:rPr>
          <w:rFonts w:hint="default" w:ascii="Times New Roman" w:hAnsi="Times New Roman" w:eastAsia="仿宋" w:cs="Times New Roman"/>
          <w:sz w:val="32"/>
          <w:szCs w:val="32"/>
        </w:rPr>
        <w:t>-</w:t>
      </w:r>
      <w:r>
        <w:rPr>
          <w:rFonts w:hint="eastAsia" w:ascii="仿宋" w:hAnsi="仿宋" w:eastAsia="仿宋" w:cs="仿宋"/>
          <w:sz w:val="32"/>
          <w:szCs w:val="32"/>
        </w:rPr>
        <w:t>2030年）》</w:t>
      </w:r>
      <w:r>
        <w:rPr>
          <w:rFonts w:hint="eastAsia" w:ascii="仿宋" w:hAnsi="仿宋" w:eastAsia="仿宋" w:cs="仿宋"/>
          <w:sz w:val="32"/>
          <w:szCs w:val="32"/>
          <w:lang w:eastAsia="zh-CN"/>
        </w:rPr>
        <w:t>等文件</w:t>
      </w:r>
      <w:r>
        <w:rPr>
          <w:rFonts w:hint="eastAsia" w:ascii="仿宋" w:hAnsi="仿宋" w:eastAsia="仿宋" w:cs="仿宋"/>
          <w:sz w:val="32"/>
          <w:szCs w:val="32"/>
        </w:rPr>
        <w:t>要求，国家卫生健康委</w:t>
      </w:r>
      <w:bookmarkStart w:id="0" w:name="_Hlk41743523"/>
      <w:r>
        <w:rPr>
          <w:rFonts w:hint="eastAsia" w:ascii="仿宋" w:hAnsi="仿宋" w:eastAsia="仿宋" w:cs="仿宋"/>
          <w:sz w:val="32"/>
          <w:szCs w:val="32"/>
        </w:rPr>
        <w:t>食品司</w:t>
      </w:r>
      <w:bookmarkEnd w:id="0"/>
      <w:r>
        <w:rPr>
          <w:rFonts w:hint="eastAsia" w:ascii="仿宋" w:hAnsi="仿宋" w:eastAsia="仿宋" w:cs="仿宋"/>
          <w:sz w:val="32"/>
          <w:szCs w:val="32"/>
        </w:rPr>
        <w:t>把“实施以食品安全为基础的营养健康标准，推进营养标准体系建设”作为2019年重要工作内容，并于2019年5月启动《营养健康餐厅创建指南》标准项目竞争性磋商流程。2019年7月，中国营养学会按照</w:t>
      </w:r>
      <w:r>
        <w:rPr>
          <w:rFonts w:hint="eastAsia" w:ascii="仿宋" w:hAnsi="仿宋" w:eastAsia="仿宋" w:cs="仿宋"/>
          <w:sz w:val="32"/>
          <w:szCs w:val="32"/>
          <w:lang w:val="zh-CN"/>
        </w:rPr>
        <w:t>项目竞争性</w:t>
      </w:r>
      <w:bookmarkStart w:id="1" w:name="_Toc408305863"/>
      <w:r>
        <w:rPr>
          <w:rFonts w:hint="eastAsia" w:ascii="仿宋" w:hAnsi="仿宋" w:eastAsia="仿宋" w:cs="仿宋"/>
          <w:sz w:val="32"/>
          <w:szCs w:val="32"/>
          <w:lang w:val="zh-CN"/>
        </w:rPr>
        <w:t>磋商响应文件</w:t>
      </w:r>
      <w:bookmarkEnd w:id="1"/>
      <w:r>
        <w:rPr>
          <w:rFonts w:hint="eastAsia" w:ascii="仿宋" w:hAnsi="仿宋" w:eastAsia="仿宋" w:cs="仿宋"/>
          <w:sz w:val="32"/>
          <w:szCs w:val="32"/>
          <w:lang w:val="zh-CN"/>
        </w:rPr>
        <w:t>要求积极参与竞标，并于同年</w:t>
      </w:r>
      <w:r>
        <w:rPr>
          <w:rFonts w:hint="eastAsia" w:ascii="仿宋" w:hAnsi="仿宋" w:eastAsia="仿宋" w:cs="仿宋"/>
          <w:sz w:val="32"/>
          <w:szCs w:val="32"/>
        </w:rPr>
        <w:t>10月与国家卫生健康委食品司签订了营养健康餐厅创建与评价技术指南购买服务协议书。</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2.编制单位</w:t>
      </w:r>
    </w:p>
    <w:p>
      <w:pPr>
        <w:widowControl/>
        <w:adjustRightInd w:val="0"/>
        <w:snapToGrid w:val="0"/>
        <w:spacing w:line="600" w:lineRule="exact"/>
        <w:ind w:firstLine="640" w:firstLineChars="200"/>
        <w:rPr>
          <w:rFonts w:ascii="仿宋_GB2312" w:eastAsia="仿宋_GB2312"/>
          <w:sz w:val="32"/>
          <w:szCs w:val="32"/>
        </w:rPr>
      </w:pPr>
      <w:r>
        <w:rPr>
          <w:rFonts w:hint="eastAsia" w:ascii="仿宋" w:hAnsi="仿宋" w:eastAsia="仿宋" w:cs="仿宋"/>
          <w:sz w:val="32"/>
          <w:szCs w:val="32"/>
        </w:rPr>
        <w:t>本指南由中国营养学会负责牵头编制，中国疾病预防控制中心营养与健康所、世界中餐业联合会、中国烹饪协会、北京市营养源研究所等单位作为指南的共同编写单位。</w:t>
      </w:r>
    </w:p>
    <w:p>
      <w:pPr>
        <w:spacing w:line="600" w:lineRule="exact"/>
        <w:ind w:firstLine="640" w:firstLineChars="200"/>
        <w:rPr>
          <w:rFonts w:ascii="楷体" w:hAnsi="楷体" w:eastAsia="楷体" w:cs="仿宋"/>
          <w:sz w:val="32"/>
          <w:szCs w:val="32"/>
        </w:rPr>
      </w:pPr>
      <w:r>
        <w:rPr>
          <w:rFonts w:hint="eastAsia" w:ascii="楷体" w:hAnsi="楷体" w:eastAsia="楷体" w:cs="仿宋"/>
          <w:sz w:val="32"/>
          <w:szCs w:val="32"/>
        </w:rPr>
        <w:t>（二）编制过程</w:t>
      </w:r>
    </w:p>
    <w:p>
      <w:pPr>
        <w:widowControl/>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为做好前期申报准备及标准编制工作，中国营养学会以学会合理膳食专家队伍为主，联合中国疾病预防控制中心营养与健康所、世界中餐业联合会、中国烹饪协会成立了 “营养健康餐厅创建与评价技术指南”工作组，明确工作目的，系统梳理国内外营养健康餐厅建设的成功经验，研究编制计划草案。</w:t>
      </w:r>
    </w:p>
    <w:p>
      <w:pPr>
        <w:widowControl/>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2019年7-9月，工作组查阅与营养健康餐厅创建相关的国内外法律法规规章、标准和技术规范等资料，先后组织召开３次营养健康餐厅创建标准研讨会。</w:t>
      </w:r>
    </w:p>
    <w:p>
      <w:pPr>
        <w:widowControl/>
        <w:numPr>
          <w:ilvl w:val="0"/>
          <w:numId w:val="0"/>
        </w:numPr>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2019年10月24日、12月12日，2020年3月30日、4月13日，国家卫生健康委食品司先后4次在京组织召开研讨会。通过与来自行业协会、企业、食品监管等机构的各类专家学者以及餐饮行业从业人员进行研讨，经认真研究分析并先后５次征集行业内专家意见，最终编制形成营养健康餐厅创建与评价技术指南征求意见稿。</w:t>
      </w:r>
    </w:p>
    <w:p>
      <w:pPr>
        <w:widowControl/>
        <w:numPr>
          <w:ilvl w:val="0"/>
          <w:numId w:val="0"/>
        </w:numPr>
        <w:snapToGrid w:val="0"/>
        <w:spacing w:line="600" w:lineRule="exact"/>
        <w:ind w:left="0" w:leftChars="0" w:firstLine="643" w:firstLineChars="200"/>
        <w:rPr>
          <w:rFonts w:ascii="黑体" w:hAnsi="宋体" w:eastAsia="黑体" w:cs="黑体"/>
          <w:b/>
          <w:bCs/>
          <w:color w:val="484848"/>
          <w:sz w:val="32"/>
          <w:szCs w:val="32"/>
        </w:rPr>
      </w:pPr>
      <w:r>
        <w:rPr>
          <w:rFonts w:hint="eastAsia" w:ascii="黑体" w:hAnsi="宋体" w:eastAsia="黑体" w:cs="黑体"/>
          <w:b/>
          <w:bCs/>
          <w:color w:val="484848"/>
          <w:sz w:val="32"/>
          <w:szCs w:val="32"/>
        </w:rPr>
        <w:t>二、编制目的</w:t>
      </w:r>
    </w:p>
    <w:p>
      <w:pPr>
        <w:spacing w:line="600" w:lineRule="exact"/>
        <w:ind w:firstLine="645"/>
        <w:rPr>
          <w:rFonts w:ascii="仿宋" w:hAnsi="仿宋" w:eastAsia="仿宋"/>
          <w:sz w:val="32"/>
          <w:szCs w:val="32"/>
        </w:rPr>
      </w:pPr>
      <w:r>
        <w:rPr>
          <w:rFonts w:hint="eastAsia" w:ascii="仿宋" w:hAnsi="仿宋" w:eastAsia="仿宋"/>
          <w:sz w:val="32"/>
          <w:szCs w:val="32"/>
        </w:rPr>
        <w:t>为不断提高全民健康水平，推进餐饮业开展合理膳食行动，根据《国民营养计划（2017</w:t>
      </w:r>
      <w:r>
        <w:rPr>
          <w:rFonts w:hint="default" w:ascii="Times New Roman" w:hAnsi="Times New Roman" w:eastAsia="仿宋" w:cs="Times New Roman"/>
          <w:sz w:val="32"/>
          <w:szCs w:val="32"/>
        </w:rPr>
        <w:t>-</w:t>
      </w:r>
      <w:r>
        <w:rPr>
          <w:rFonts w:hint="eastAsia" w:ascii="仿宋" w:hAnsi="仿宋" w:eastAsia="仿宋"/>
          <w:sz w:val="32"/>
          <w:szCs w:val="32"/>
        </w:rPr>
        <w:t>2030年）》</w:t>
      </w:r>
      <w:r>
        <w:rPr>
          <w:rFonts w:hint="eastAsia" w:ascii="仿宋" w:hAnsi="仿宋" w:eastAsia="仿宋"/>
          <w:sz w:val="32"/>
          <w:szCs w:val="32"/>
          <w:lang w:eastAsia="zh-CN"/>
        </w:rPr>
        <w:t>和</w:t>
      </w:r>
      <w:r>
        <w:rPr>
          <w:rFonts w:hint="eastAsia" w:ascii="仿宋" w:hAnsi="仿宋" w:eastAsia="仿宋"/>
          <w:sz w:val="32"/>
          <w:szCs w:val="32"/>
        </w:rPr>
        <w:t>《健康中国行动（2019</w:t>
      </w:r>
      <w:r>
        <w:rPr>
          <w:rFonts w:hint="default" w:ascii="Times New Roman" w:hAnsi="Times New Roman" w:eastAsia="仿宋" w:cs="Times New Roman"/>
          <w:sz w:val="32"/>
          <w:szCs w:val="32"/>
        </w:rPr>
        <w:t>-</w:t>
      </w:r>
      <w:r>
        <w:rPr>
          <w:rFonts w:hint="eastAsia" w:ascii="仿宋" w:hAnsi="仿宋" w:eastAsia="仿宋"/>
          <w:sz w:val="32"/>
          <w:szCs w:val="32"/>
        </w:rPr>
        <w:t>2030年）》</w:t>
      </w:r>
      <w:r>
        <w:rPr>
          <w:rFonts w:hint="eastAsia" w:ascii="仿宋" w:hAnsi="仿宋" w:eastAsia="仿宋"/>
          <w:color w:val="000000"/>
          <w:sz w:val="32"/>
          <w:szCs w:val="32"/>
        </w:rPr>
        <w:t>等文件要求，</w:t>
      </w:r>
      <w:r>
        <w:rPr>
          <w:rFonts w:hint="eastAsia" w:ascii="仿宋" w:hAnsi="仿宋" w:eastAsia="仿宋"/>
          <w:sz w:val="32"/>
          <w:szCs w:val="32"/>
        </w:rPr>
        <w:t>制定本指南。</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三、指南编制原则</w:t>
      </w:r>
    </w:p>
    <w:p>
      <w:pPr>
        <w:spacing w:line="600" w:lineRule="exact"/>
        <w:ind w:firstLine="560"/>
        <w:jc w:val="left"/>
        <w:rPr>
          <w:rFonts w:hint="eastAsia" w:ascii="仿宋" w:hAnsi="仿宋" w:eastAsia="仿宋" w:cs="仿宋"/>
          <w:sz w:val="32"/>
          <w:szCs w:val="32"/>
        </w:rPr>
      </w:pPr>
      <w:r>
        <w:rPr>
          <w:rFonts w:hint="eastAsia" w:ascii="仿宋" w:hAnsi="仿宋" w:eastAsia="仿宋" w:cs="仿宋"/>
          <w:sz w:val="32"/>
          <w:szCs w:val="32"/>
        </w:rPr>
        <w:t>本指南的编制遵循以下三个原则：</w:t>
      </w:r>
    </w:p>
    <w:p>
      <w:pPr>
        <w:spacing w:line="600" w:lineRule="exact"/>
        <w:ind w:firstLine="560"/>
        <w:jc w:val="left"/>
        <w:rPr>
          <w:rFonts w:hint="eastAsia" w:ascii="仿宋" w:hAnsi="仿宋" w:eastAsia="仿宋" w:cs="仿宋"/>
          <w:sz w:val="32"/>
          <w:szCs w:val="32"/>
        </w:rPr>
      </w:pPr>
      <w:r>
        <w:rPr>
          <w:rFonts w:hint="eastAsia" w:ascii="仿宋" w:hAnsi="仿宋" w:eastAsia="仿宋" w:cs="仿宋"/>
          <w:sz w:val="32"/>
          <w:szCs w:val="32"/>
        </w:rPr>
        <w:t>一是科学性原则。在参考国内外法规、指南、标准和有关文献资料，结合专家意见，科学地确定标准体系框架，并对其进行详细的说明。</w:t>
      </w:r>
    </w:p>
    <w:p>
      <w:pPr>
        <w:spacing w:line="600" w:lineRule="exact"/>
        <w:ind w:firstLine="560"/>
        <w:jc w:val="left"/>
        <w:rPr>
          <w:rFonts w:hint="eastAsia" w:ascii="仿宋" w:hAnsi="仿宋" w:eastAsia="仿宋" w:cs="仿宋"/>
          <w:sz w:val="32"/>
          <w:szCs w:val="32"/>
        </w:rPr>
      </w:pPr>
      <w:r>
        <w:rPr>
          <w:rFonts w:hint="eastAsia" w:ascii="仿宋" w:hAnsi="仿宋" w:eastAsia="仿宋" w:cs="仿宋"/>
          <w:sz w:val="32"/>
          <w:szCs w:val="32"/>
        </w:rPr>
        <w:t>二是与国际接轨的原则。尽可能参考或借鉴国际组织及国外发达国家相关标准或经验。</w:t>
      </w:r>
    </w:p>
    <w:p>
      <w:pPr>
        <w:spacing w:line="600" w:lineRule="exact"/>
        <w:ind w:firstLine="560" w:firstLineChars="0"/>
        <w:jc w:val="left"/>
        <w:rPr>
          <w:rFonts w:hint="eastAsia" w:ascii="仿宋" w:hAnsi="仿宋" w:eastAsia="仿宋" w:cs="仿宋"/>
          <w:sz w:val="32"/>
          <w:szCs w:val="32"/>
        </w:rPr>
      </w:pPr>
      <w:r>
        <w:rPr>
          <w:rFonts w:hint="eastAsia" w:ascii="仿宋" w:hAnsi="仿宋" w:eastAsia="仿宋" w:cs="仿宋"/>
          <w:sz w:val="32"/>
          <w:szCs w:val="32"/>
        </w:rPr>
        <w:t>三是适用性原则。与我国现行食品法律、法规协调一致的原则。</w:t>
      </w:r>
    </w:p>
    <w:p>
      <w:pPr>
        <w:spacing w:line="600" w:lineRule="exact"/>
        <w:ind w:left="420" w:leftChars="200" w:firstLine="321" w:firstLineChars="100"/>
        <w:rPr>
          <w:rFonts w:ascii="黑体" w:hAnsi="黑体" w:eastAsia="黑体"/>
          <w:b/>
          <w:bCs/>
          <w:sz w:val="32"/>
          <w:szCs w:val="32"/>
        </w:rPr>
      </w:pPr>
      <w:r>
        <w:rPr>
          <w:rFonts w:hint="eastAsia" w:ascii="黑体" w:hAnsi="黑体" w:eastAsia="黑体"/>
          <w:b/>
          <w:bCs/>
          <w:sz w:val="32"/>
          <w:szCs w:val="32"/>
        </w:rPr>
        <w:t>四、主要内容</w:t>
      </w:r>
    </w:p>
    <w:p>
      <w:pPr>
        <w:spacing w:line="600" w:lineRule="exact"/>
        <w:ind w:firstLine="640" w:firstLineChars="200"/>
        <w:jc w:val="left"/>
        <w:rPr>
          <w:rFonts w:hint="eastAsia" w:ascii="仿宋_GB2312" w:eastAsia="仿宋_GB2312"/>
          <w:sz w:val="32"/>
          <w:szCs w:val="32"/>
        </w:rPr>
      </w:pPr>
      <w:r>
        <w:rPr>
          <w:rFonts w:hint="eastAsia" w:ascii="仿宋" w:hAnsi="仿宋" w:eastAsia="仿宋" w:cs="仿宋"/>
          <w:sz w:val="32"/>
          <w:szCs w:val="32"/>
        </w:rPr>
        <w:t>第一章总则和第二章创建要求，提出指南编制的目的、适用范围和创建的基本条件、人员要求、营养健康环境和供餐服务要求。第三和第四章规定</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营养健康餐厅的评估方法与管理。</w:t>
      </w:r>
    </w:p>
    <w:p>
      <w:pPr>
        <w:spacing w:line="600" w:lineRule="exact"/>
        <w:ind w:left="420" w:leftChars="200" w:firstLine="321" w:firstLineChars="100"/>
        <w:rPr>
          <w:rFonts w:ascii="黑体" w:hAnsi="黑体" w:eastAsia="黑体"/>
          <w:b/>
          <w:bCs/>
          <w:sz w:val="32"/>
          <w:szCs w:val="32"/>
        </w:rPr>
      </w:pPr>
      <w:r>
        <w:rPr>
          <w:rFonts w:hint="eastAsia" w:ascii="黑体" w:hAnsi="黑体" w:eastAsia="黑体"/>
          <w:b/>
          <w:bCs/>
          <w:sz w:val="32"/>
          <w:szCs w:val="32"/>
        </w:rPr>
        <w:t>五、其他需要说明的问题</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（一）与我国有关法律法规和其他标准的关系</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本指南内容符合《</w:t>
      </w:r>
      <w:r>
        <w:rPr>
          <w:rFonts w:hint="eastAsia" w:ascii="仿宋" w:hAnsi="仿宋" w:eastAsia="仿宋" w:cs="仿宋"/>
          <w:sz w:val="32"/>
          <w:szCs w:val="32"/>
        </w:rPr>
        <w:t>中华人民共和国食品安全法</w:t>
      </w:r>
      <w:r>
        <w:rPr>
          <w:rFonts w:hint="eastAsia" w:ascii="仿宋" w:hAnsi="仿宋" w:eastAsia="仿宋" w:cs="仿宋"/>
          <w:sz w:val="32"/>
          <w:szCs w:val="32"/>
          <w:lang w:eastAsia="zh-CN"/>
        </w:rPr>
        <w:t>》《</w:t>
      </w:r>
      <w:r>
        <w:rPr>
          <w:rFonts w:hint="eastAsia" w:ascii="仿宋" w:hAnsi="仿宋" w:eastAsia="仿宋" w:cs="仿宋"/>
          <w:sz w:val="32"/>
          <w:szCs w:val="32"/>
        </w:rPr>
        <w:t>餐饮服务食品安全操作规范 （国家市场监督管理总局公告 2018年 第12号）</w:t>
      </w:r>
      <w:r>
        <w:rPr>
          <w:rFonts w:hint="eastAsia" w:ascii="仿宋" w:hAnsi="仿宋" w:eastAsia="仿宋" w:cs="仿宋"/>
          <w:sz w:val="32"/>
          <w:szCs w:val="32"/>
          <w:lang w:eastAsia="zh-CN"/>
        </w:rPr>
        <w:t>》《</w:t>
      </w:r>
      <w:r>
        <w:rPr>
          <w:rFonts w:hint="eastAsia" w:ascii="仿宋" w:hAnsi="仿宋" w:eastAsia="仿宋" w:cs="仿宋"/>
          <w:sz w:val="32"/>
          <w:szCs w:val="32"/>
        </w:rPr>
        <w:t>SB/T 11143 餐饮分餐服务操作规范</w:t>
      </w:r>
      <w:r>
        <w:rPr>
          <w:rFonts w:hint="eastAsia" w:ascii="仿宋" w:hAnsi="仿宋" w:eastAsia="仿宋" w:cs="仿宋"/>
          <w:sz w:val="32"/>
          <w:szCs w:val="32"/>
          <w:lang w:eastAsia="zh-CN"/>
        </w:rPr>
        <w:t>》《</w:t>
      </w:r>
      <w:r>
        <w:rPr>
          <w:rFonts w:hint="eastAsia" w:ascii="仿宋" w:hAnsi="仿宋" w:eastAsia="仿宋" w:cs="仿宋"/>
          <w:sz w:val="32"/>
          <w:szCs w:val="32"/>
        </w:rPr>
        <w:t>GB/Z 21922 食品营养成分基本术语</w:t>
      </w:r>
      <w:r>
        <w:rPr>
          <w:rFonts w:hint="eastAsia" w:ascii="仿宋" w:hAnsi="仿宋" w:eastAsia="仿宋" w:cs="仿宋"/>
          <w:sz w:val="32"/>
          <w:szCs w:val="32"/>
          <w:lang w:eastAsia="zh-CN"/>
        </w:rPr>
        <w:t>》《</w:t>
      </w:r>
      <w:r>
        <w:rPr>
          <w:rFonts w:hint="eastAsia" w:ascii="仿宋_GB2312" w:eastAsia="仿宋_GB2312"/>
          <w:sz w:val="32"/>
          <w:szCs w:val="32"/>
        </w:rPr>
        <w:t>中国居民膳食指南（2016）</w:t>
      </w:r>
      <w:r>
        <w:rPr>
          <w:rFonts w:hint="eastAsia" w:ascii="仿宋" w:hAnsi="仿宋" w:eastAsia="仿宋" w:cs="仿宋"/>
          <w:sz w:val="32"/>
          <w:szCs w:val="32"/>
          <w:lang w:eastAsia="zh-CN"/>
        </w:rPr>
        <w:t>》等法律法规和指南要求。</w:t>
      </w:r>
      <w:bookmarkStart w:id="2" w:name="_GoBack"/>
      <w:bookmarkEnd w:id="2"/>
    </w:p>
    <w:p>
      <w:pPr>
        <w:spacing w:line="600" w:lineRule="exact"/>
        <w:ind w:firstLine="640" w:firstLineChars="200"/>
        <w:rPr>
          <w:rFonts w:ascii="楷体" w:hAnsi="楷体" w:eastAsia="楷体"/>
          <w:sz w:val="32"/>
          <w:szCs w:val="32"/>
        </w:rPr>
      </w:pPr>
      <w:r>
        <w:rPr>
          <w:rFonts w:hint="eastAsia" w:ascii="楷体" w:hAnsi="楷体" w:eastAsia="楷体"/>
          <w:sz w:val="32"/>
          <w:szCs w:val="32"/>
        </w:rPr>
        <w:t>（二）国外有关法律、法规和标准情况的说明</w:t>
      </w:r>
    </w:p>
    <w:p>
      <w:pPr>
        <w:spacing w:line="600" w:lineRule="exact"/>
        <w:ind w:firstLine="640" w:firstLineChars="200"/>
        <w:rPr>
          <w:rFonts w:ascii="黑体" w:hAnsi="黑体" w:eastAsia="黑体" w:cs="黑体"/>
          <w:b/>
          <w:bCs/>
          <w:sz w:val="32"/>
          <w:szCs w:val="32"/>
        </w:rPr>
      </w:pPr>
      <w:r>
        <w:rPr>
          <w:rFonts w:hint="eastAsia" w:ascii="仿宋" w:hAnsi="仿宋" w:eastAsia="仿宋"/>
          <w:sz w:val="32"/>
          <w:szCs w:val="32"/>
        </w:rPr>
        <w:t>经查询，美国的《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"https://www.fda.gov/food/guidance-documents-regulatory-information-topic/guidance-industry-nutrition-labeling-standard-menu-items-restaurants-and-similar-retail-food" </w:instrText>
      </w:r>
      <w:r>
        <w:rPr>
          <w:rFonts w:hint="eastAsia" w:ascii="仿宋" w:hAnsi="仿宋" w:eastAsia="仿宋"/>
          <w:sz w:val="32"/>
          <w:szCs w:val="32"/>
        </w:rPr>
        <w:fldChar w:fldCharType="separate"/>
      </w:r>
      <w:r>
        <w:rPr>
          <w:rFonts w:hint="eastAsia" w:ascii="仿宋" w:hAnsi="仿宋" w:eastAsia="仿宋"/>
          <w:sz w:val="32"/>
          <w:szCs w:val="32"/>
        </w:rPr>
        <w:t>行业指南：餐馆和类似零售食品店中标准菜单项的营养标签</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"http://news.foodmate.net/tag_173.html" \o "餐饮相关食品资讯" \t "http://news.foodmate.net/2017/11/_blank" </w:instrText>
      </w:r>
      <w:r>
        <w:rPr>
          <w:rFonts w:hint="eastAsia" w:ascii="仿宋" w:hAnsi="仿宋" w:eastAsia="仿宋"/>
          <w:sz w:val="32"/>
          <w:szCs w:val="32"/>
        </w:rPr>
        <w:fldChar w:fldCharType="separate"/>
      </w:r>
      <w:r>
        <w:rPr>
          <w:rFonts w:hint="eastAsia" w:ascii="仿宋" w:hAnsi="仿宋" w:eastAsia="仿宋"/>
          <w:sz w:val="32"/>
          <w:szCs w:val="32"/>
        </w:rPr>
        <w:t>餐饮</w:t>
      </w:r>
      <w:r>
        <w:rPr>
          <w:rFonts w:hint="eastAsia" w:ascii="仿宋" w:hAnsi="仿宋" w:eastAsia="仿宋"/>
          <w:sz w:val="32"/>
          <w:szCs w:val="32"/>
        </w:rPr>
        <w:fldChar w:fldCharType="end"/>
      </w:r>
      <w:r>
        <w:rPr>
          <w:rFonts w:hint="eastAsia" w:ascii="仿宋" w:hAnsi="仿宋" w:eastAsia="仿宋"/>
          <w:sz w:val="32"/>
          <w:szCs w:val="32"/>
        </w:rPr>
        <w:t>标示：行业补充指南》、</w:t>
      </w:r>
      <w:r>
        <w:rPr>
          <w:rFonts w:hint="eastAsia" w:ascii="仿宋" w:hAnsi="仿宋" w:eastAsia="仿宋"/>
          <w:sz w:val="32"/>
          <w:szCs w:val="32"/>
          <w:lang w:eastAsia="zh-CN"/>
        </w:rPr>
        <w:t>英国</w:t>
      </w:r>
      <w:r>
        <w:rPr>
          <w:rFonts w:hint="eastAsia" w:ascii="仿宋" w:hAnsi="仿宋" w:eastAsia="仿宋"/>
          <w:sz w:val="32"/>
          <w:szCs w:val="32"/>
        </w:rPr>
        <w:t>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"http://law.foodmate.net/show-186186.html" \t "http://www.cfda.com.cn/_blank" </w:instrText>
      </w:r>
      <w:r>
        <w:rPr>
          <w:rFonts w:hint="eastAsia" w:ascii="仿宋" w:hAnsi="仿宋" w:eastAsia="仿宋"/>
          <w:sz w:val="32"/>
          <w:szCs w:val="32"/>
        </w:rPr>
        <w:fldChar w:fldCharType="separate"/>
      </w:r>
      <w:r>
        <w:rPr>
          <w:rFonts w:hint="eastAsia" w:ascii="仿宋" w:hAnsi="仿宋" w:eastAsia="仿宋"/>
          <w:sz w:val="32"/>
          <w:szCs w:val="32"/>
        </w:rPr>
        <w:t>食品安全法</w:t>
      </w:r>
      <w:r>
        <w:rPr>
          <w:rFonts w:hint="eastAsia" w:ascii="仿宋" w:hAnsi="仿宋" w:eastAsia="仿宋"/>
          <w:sz w:val="32"/>
          <w:szCs w:val="32"/>
        </w:rPr>
        <w:fldChar w:fldCharType="end"/>
      </w:r>
      <w:r>
        <w:rPr>
          <w:rFonts w:hint="eastAsia" w:ascii="仿宋" w:hAnsi="仿宋" w:eastAsia="仿宋"/>
          <w:sz w:val="32"/>
          <w:szCs w:val="32"/>
        </w:rPr>
        <w:t> 1990》</w:t>
      </w:r>
      <w:r>
        <w:rPr>
          <w:rFonts w:hint="eastAsia" w:ascii="仿宋" w:hAnsi="仿宋" w:eastAsia="仿宋"/>
          <w:sz w:val="32"/>
          <w:szCs w:val="32"/>
          <w:lang w:eastAsia="zh-CN"/>
        </w:rPr>
        <w:t>、加拿大的《加拿大食品安全法案》对</w:t>
      </w:r>
      <w:r>
        <w:rPr>
          <w:rFonts w:hint="eastAsia" w:ascii="仿宋" w:hAnsi="仿宋" w:eastAsia="仿宋"/>
          <w:sz w:val="32"/>
          <w:szCs w:val="32"/>
        </w:rPr>
        <w:t>营养健康餐厅的相关标准</w:t>
      </w:r>
      <w:r>
        <w:rPr>
          <w:rFonts w:hint="eastAsia" w:ascii="仿宋" w:hAnsi="仿宋" w:eastAsia="仿宋"/>
          <w:sz w:val="32"/>
          <w:szCs w:val="32"/>
          <w:lang w:eastAsia="zh-CN"/>
        </w:rPr>
        <w:t>进行说明</w:t>
      </w:r>
      <w:r>
        <w:rPr>
          <w:rFonts w:hint="eastAsia" w:ascii="仿宋" w:hAnsi="仿宋" w:eastAsia="仿宋"/>
          <w:sz w:val="32"/>
          <w:szCs w:val="32"/>
        </w:rPr>
        <w:t>。</w:t>
      </w:r>
    </w:p>
    <w:p>
      <w:pPr>
        <w:spacing w:line="600" w:lineRule="exact"/>
        <w:ind w:firstLine="560"/>
        <w:rPr>
          <w:rFonts w:eastAsia="仿宋_GB2312"/>
          <w:b/>
          <w:color w:val="000000"/>
          <w:szCs w:val="21"/>
        </w:rPr>
      </w:pPr>
    </w:p>
    <w:p>
      <w:pPr>
        <w:widowControl/>
        <w:snapToGrid w:val="0"/>
        <w:spacing w:line="600" w:lineRule="exact"/>
        <w:ind w:firstLine="640" w:firstLineChars="200"/>
        <w:rPr>
          <w:rFonts w:ascii="仿宋_GB2312" w:eastAsia="仿宋_GB2312"/>
          <w:sz w:val="32"/>
          <w:szCs w:val="32"/>
        </w:rPr>
      </w:pPr>
    </w:p>
    <w:p>
      <w:pPr>
        <w:widowControl/>
        <w:snapToGrid w:val="0"/>
        <w:spacing w:line="600" w:lineRule="exact"/>
        <w:ind w:firstLine="0" w:firstLineChars="0"/>
        <w:rPr>
          <w:rFonts w:ascii="仿宋_GB2312" w:eastAsia="仿宋_GB231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39829"/>
                          </w:sdtPr>
                          <w:sdtContent>
                            <w:p>
                              <w:pPr>
                                <w:pStyle w:val="6"/>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9439829"/>
                    </w:sdtPr>
                    <w:sdtContent>
                      <w:p>
                        <w:pPr>
                          <w:pStyle w:val="6"/>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9"/>
    <w:rsid w:val="00012CE6"/>
    <w:rsid w:val="000447D8"/>
    <w:rsid w:val="000454F8"/>
    <w:rsid w:val="00050A6E"/>
    <w:rsid w:val="0006698B"/>
    <w:rsid w:val="00070239"/>
    <w:rsid w:val="000738FC"/>
    <w:rsid w:val="000800C4"/>
    <w:rsid w:val="00087244"/>
    <w:rsid w:val="000C16AA"/>
    <w:rsid w:val="000F6421"/>
    <w:rsid w:val="000F7520"/>
    <w:rsid w:val="001019F1"/>
    <w:rsid w:val="00115DF7"/>
    <w:rsid w:val="001305A1"/>
    <w:rsid w:val="00147528"/>
    <w:rsid w:val="00153122"/>
    <w:rsid w:val="00153DB2"/>
    <w:rsid w:val="0017025A"/>
    <w:rsid w:val="00182CC2"/>
    <w:rsid w:val="00193ED3"/>
    <w:rsid w:val="001C7498"/>
    <w:rsid w:val="001E3A8E"/>
    <w:rsid w:val="001F0F3B"/>
    <w:rsid w:val="001F1814"/>
    <w:rsid w:val="00231464"/>
    <w:rsid w:val="00243DE6"/>
    <w:rsid w:val="0024670D"/>
    <w:rsid w:val="00271F22"/>
    <w:rsid w:val="00272F91"/>
    <w:rsid w:val="00275889"/>
    <w:rsid w:val="00291A5F"/>
    <w:rsid w:val="0029452F"/>
    <w:rsid w:val="002C1305"/>
    <w:rsid w:val="002C351D"/>
    <w:rsid w:val="002C719A"/>
    <w:rsid w:val="002D21F7"/>
    <w:rsid w:val="00303065"/>
    <w:rsid w:val="00304740"/>
    <w:rsid w:val="00307732"/>
    <w:rsid w:val="003415B9"/>
    <w:rsid w:val="0034492E"/>
    <w:rsid w:val="0035426A"/>
    <w:rsid w:val="00363A3D"/>
    <w:rsid w:val="003724C2"/>
    <w:rsid w:val="0037689E"/>
    <w:rsid w:val="0039407E"/>
    <w:rsid w:val="003B0D23"/>
    <w:rsid w:val="003D0D32"/>
    <w:rsid w:val="003D4230"/>
    <w:rsid w:val="003F1EE5"/>
    <w:rsid w:val="003F2796"/>
    <w:rsid w:val="004012AB"/>
    <w:rsid w:val="0045073B"/>
    <w:rsid w:val="00471151"/>
    <w:rsid w:val="0047121F"/>
    <w:rsid w:val="004849D6"/>
    <w:rsid w:val="004A1014"/>
    <w:rsid w:val="004B1F80"/>
    <w:rsid w:val="004B327A"/>
    <w:rsid w:val="004D5A36"/>
    <w:rsid w:val="004E0C5E"/>
    <w:rsid w:val="004E4904"/>
    <w:rsid w:val="004F44C7"/>
    <w:rsid w:val="0050607A"/>
    <w:rsid w:val="0051469C"/>
    <w:rsid w:val="005213B5"/>
    <w:rsid w:val="0053624F"/>
    <w:rsid w:val="00542135"/>
    <w:rsid w:val="00544FF3"/>
    <w:rsid w:val="00551469"/>
    <w:rsid w:val="00562A62"/>
    <w:rsid w:val="00580890"/>
    <w:rsid w:val="0058293B"/>
    <w:rsid w:val="0059253C"/>
    <w:rsid w:val="005C0CC4"/>
    <w:rsid w:val="005D26DA"/>
    <w:rsid w:val="005D5100"/>
    <w:rsid w:val="005E1EE6"/>
    <w:rsid w:val="0060236E"/>
    <w:rsid w:val="00646A47"/>
    <w:rsid w:val="00647792"/>
    <w:rsid w:val="00647FC7"/>
    <w:rsid w:val="00662876"/>
    <w:rsid w:val="00674D8B"/>
    <w:rsid w:val="006B57D0"/>
    <w:rsid w:val="006D0A2F"/>
    <w:rsid w:val="006F74ED"/>
    <w:rsid w:val="00715DBA"/>
    <w:rsid w:val="007344D3"/>
    <w:rsid w:val="00753919"/>
    <w:rsid w:val="00784E88"/>
    <w:rsid w:val="007962F5"/>
    <w:rsid w:val="007A7EBE"/>
    <w:rsid w:val="007C7EF9"/>
    <w:rsid w:val="007F089F"/>
    <w:rsid w:val="00820896"/>
    <w:rsid w:val="00836277"/>
    <w:rsid w:val="0084345E"/>
    <w:rsid w:val="0087061F"/>
    <w:rsid w:val="00877D1A"/>
    <w:rsid w:val="0089293D"/>
    <w:rsid w:val="008952A0"/>
    <w:rsid w:val="008E004A"/>
    <w:rsid w:val="008F2837"/>
    <w:rsid w:val="008F66B4"/>
    <w:rsid w:val="00905AF2"/>
    <w:rsid w:val="00946EDA"/>
    <w:rsid w:val="00950A18"/>
    <w:rsid w:val="00980913"/>
    <w:rsid w:val="00982AF5"/>
    <w:rsid w:val="009C5BAA"/>
    <w:rsid w:val="009E1A76"/>
    <w:rsid w:val="009E2E1B"/>
    <w:rsid w:val="009E40F9"/>
    <w:rsid w:val="009F2A22"/>
    <w:rsid w:val="009F6CF3"/>
    <w:rsid w:val="00A1158A"/>
    <w:rsid w:val="00A4028D"/>
    <w:rsid w:val="00A637D5"/>
    <w:rsid w:val="00A64D80"/>
    <w:rsid w:val="00A731A9"/>
    <w:rsid w:val="00A85AB1"/>
    <w:rsid w:val="00A90BF5"/>
    <w:rsid w:val="00A9632B"/>
    <w:rsid w:val="00AA6FB6"/>
    <w:rsid w:val="00AB3C43"/>
    <w:rsid w:val="00AB6423"/>
    <w:rsid w:val="00AC7EE9"/>
    <w:rsid w:val="00AD49B3"/>
    <w:rsid w:val="00AF11B8"/>
    <w:rsid w:val="00AF131A"/>
    <w:rsid w:val="00AF3248"/>
    <w:rsid w:val="00AF5084"/>
    <w:rsid w:val="00B35ACA"/>
    <w:rsid w:val="00B7070E"/>
    <w:rsid w:val="00B73735"/>
    <w:rsid w:val="00B84BB7"/>
    <w:rsid w:val="00B93BE7"/>
    <w:rsid w:val="00BC3FA4"/>
    <w:rsid w:val="00BF1673"/>
    <w:rsid w:val="00C0355C"/>
    <w:rsid w:val="00C07603"/>
    <w:rsid w:val="00C122B1"/>
    <w:rsid w:val="00C137E4"/>
    <w:rsid w:val="00C428ED"/>
    <w:rsid w:val="00C43125"/>
    <w:rsid w:val="00C51069"/>
    <w:rsid w:val="00C9588E"/>
    <w:rsid w:val="00CA6F11"/>
    <w:rsid w:val="00CC437A"/>
    <w:rsid w:val="00CC7E1B"/>
    <w:rsid w:val="00CD2EC1"/>
    <w:rsid w:val="00CF5668"/>
    <w:rsid w:val="00D06C9A"/>
    <w:rsid w:val="00D243A7"/>
    <w:rsid w:val="00D302CB"/>
    <w:rsid w:val="00D51B48"/>
    <w:rsid w:val="00D64124"/>
    <w:rsid w:val="00D6647A"/>
    <w:rsid w:val="00D733FB"/>
    <w:rsid w:val="00DB6B3B"/>
    <w:rsid w:val="00DC33DF"/>
    <w:rsid w:val="00DC4C8F"/>
    <w:rsid w:val="00DD1BBD"/>
    <w:rsid w:val="00DE7067"/>
    <w:rsid w:val="00DF177A"/>
    <w:rsid w:val="00DF63C5"/>
    <w:rsid w:val="00E25A6B"/>
    <w:rsid w:val="00E34085"/>
    <w:rsid w:val="00E5600B"/>
    <w:rsid w:val="00E75574"/>
    <w:rsid w:val="00E80E6E"/>
    <w:rsid w:val="00E84DB5"/>
    <w:rsid w:val="00E93823"/>
    <w:rsid w:val="00EB6F5E"/>
    <w:rsid w:val="00EE1E5C"/>
    <w:rsid w:val="00F02D4A"/>
    <w:rsid w:val="00F05E5A"/>
    <w:rsid w:val="00F4690C"/>
    <w:rsid w:val="00F47F9F"/>
    <w:rsid w:val="00F53389"/>
    <w:rsid w:val="00F55FCB"/>
    <w:rsid w:val="00F70FFD"/>
    <w:rsid w:val="00F72A70"/>
    <w:rsid w:val="00F756E6"/>
    <w:rsid w:val="00F90B69"/>
    <w:rsid w:val="00FB702F"/>
    <w:rsid w:val="00FC08A1"/>
    <w:rsid w:val="00FC10D5"/>
    <w:rsid w:val="00FC571A"/>
    <w:rsid w:val="00FC7A48"/>
    <w:rsid w:val="00FD3A61"/>
    <w:rsid w:val="00FE1F9C"/>
    <w:rsid w:val="00FE41A5"/>
    <w:rsid w:val="01766968"/>
    <w:rsid w:val="01A163AC"/>
    <w:rsid w:val="01E430ED"/>
    <w:rsid w:val="04284BC6"/>
    <w:rsid w:val="051B2BE6"/>
    <w:rsid w:val="06F017FD"/>
    <w:rsid w:val="083D0645"/>
    <w:rsid w:val="09842C4D"/>
    <w:rsid w:val="0CA21F1E"/>
    <w:rsid w:val="0EE87DD9"/>
    <w:rsid w:val="111844F0"/>
    <w:rsid w:val="113101C0"/>
    <w:rsid w:val="13B05757"/>
    <w:rsid w:val="13C00B77"/>
    <w:rsid w:val="1A403EFB"/>
    <w:rsid w:val="1B463AE0"/>
    <w:rsid w:val="1F685433"/>
    <w:rsid w:val="20AE7889"/>
    <w:rsid w:val="238454B9"/>
    <w:rsid w:val="25C7077C"/>
    <w:rsid w:val="2F3C21AB"/>
    <w:rsid w:val="3060750B"/>
    <w:rsid w:val="33434740"/>
    <w:rsid w:val="335F3111"/>
    <w:rsid w:val="33F47CA8"/>
    <w:rsid w:val="36226618"/>
    <w:rsid w:val="38B267BA"/>
    <w:rsid w:val="3BEF4E49"/>
    <w:rsid w:val="3CB72B66"/>
    <w:rsid w:val="3E613E64"/>
    <w:rsid w:val="427D5A1A"/>
    <w:rsid w:val="4ED62936"/>
    <w:rsid w:val="4F8171AD"/>
    <w:rsid w:val="5016511E"/>
    <w:rsid w:val="538C1063"/>
    <w:rsid w:val="54464025"/>
    <w:rsid w:val="5473232C"/>
    <w:rsid w:val="57497E01"/>
    <w:rsid w:val="57BA63CC"/>
    <w:rsid w:val="58A67D43"/>
    <w:rsid w:val="59754D88"/>
    <w:rsid w:val="5A046ADF"/>
    <w:rsid w:val="5F9F3B4B"/>
    <w:rsid w:val="688213BE"/>
    <w:rsid w:val="6B330C9F"/>
    <w:rsid w:val="6BB23BA4"/>
    <w:rsid w:val="6BC62A7F"/>
    <w:rsid w:val="6C8F2B9B"/>
    <w:rsid w:val="71201C26"/>
    <w:rsid w:val="727A4412"/>
    <w:rsid w:val="73EA0EDA"/>
    <w:rsid w:val="745C597B"/>
    <w:rsid w:val="74A52BAF"/>
    <w:rsid w:val="78C1661E"/>
    <w:rsid w:val="7AE80111"/>
    <w:rsid w:val="7AE9534C"/>
    <w:rsid w:val="7C8D414E"/>
    <w:rsid w:val="7E4E7B09"/>
    <w:rsid w:val="7F133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7"/>
    <w:semiHidden/>
    <w:unhideWhenUsed/>
    <w:qFormat/>
    <w:uiPriority w:val="99"/>
    <w:rPr>
      <w:b/>
      <w:bCs/>
    </w:rPr>
  </w:style>
  <w:style w:type="character" w:styleId="12">
    <w:name w:val="Emphasis"/>
    <w:basedOn w:val="11"/>
    <w:qFormat/>
    <w:uiPriority w:val="20"/>
    <w:rPr>
      <w:color w:val="CC0000"/>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99"/>
    <w:pPr>
      <w:ind w:firstLine="420" w:firstLineChars="200"/>
    </w:pPr>
  </w:style>
  <w:style w:type="character" w:customStyle="1" w:styleId="16">
    <w:name w:val="页眉 字符"/>
    <w:basedOn w:val="11"/>
    <w:link w:val="7"/>
    <w:qFormat/>
    <w:uiPriority w:val="99"/>
    <w:rPr>
      <w:rFonts w:ascii="Calibri" w:hAnsi="Calibri" w:eastAsia="宋体" w:cs="Times New Roman"/>
      <w:sz w:val="18"/>
      <w:szCs w:val="18"/>
    </w:rPr>
  </w:style>
  <w:style w:type="character" w:customStyle="1" w:styleId="17">
    <w:name w:val="页脚 字符"/>
    <w:basedOn w:val="11"/>
    <w:link w:val="6"/>
    <w:qFormat/>
    <w:uiPriority w:val="99"/>
    <w:rPr>
      <w:rFonts w:ascii="Calibri" w:hAnsi="Calibri" w:eastAsia="宋体" w:cs="Times New Roman"/>
      <w:sz w:val="18"/>
      <w:szCs w:val="18"/>
    </w:rPr>
  </w:style>
  <w:style w:type="character" w:customStyle="1" w:styleId="18">
    <w:name w:val="标题 2 字符"/>
    <w:basedOn w:val="11"/>
    <w:link w:val="3"/>
    <w:qFormat/>
    <w:uiPriority w:val="0"/>
    <w:rPr>
      <w:rFonts w:ascii="Arial" w:hAnsi="Arial" w:eastAsia="黑体" w:cs="Times New Roman"/>
      <w:b/>
      <w:bCs/>
      <w:sz w:val="32"/>
      <w:szCs w:val="32"/>
    </w:rPr>
  </w:style>
  <w:style w:type="character" w:customStyle="1" w:styleId="19">
    <w:name w:val="批注框文本 字符"/>
    <w:basedOn w:val="11"/>
    <w:link w:val="5"/>
    <w:qFormat/>
    <w:uiPriority w:val="99"/>
    <w:rPr>
      <w:rFonts w:ascii="Calibri" w:hAnsi="Calibri" w:eastAsia="宋体" w:cs="Times New Roman"/>
      <w:sz w:val="18"/>
      <w:szCs w:val="18"/>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字符"/>
    <w:basedOn w:val="11"/>
    <w:link w:val="20"/>
    <w:qFormat/>
    <w:uiPriority w:val="1"/>
    <w:rPr>
      <w:kern w:val="0"/>
      <w:sz w:val="22"/>
    </w:r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23">
    <w:name w:val="章标题"/>
    <w:next w:val="2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6">
    <w:name w:val="批注文字 字符"/>
    <w:basedOn w:val="11"/>
    <w:link w:val="4"/>
    <w:semiHidden/>
    <w:qFormat/>
    <w:uiPriority w:val="99"/>
    <w:rPr>
      <w:rFonts w:ascii="Calibri" w:hAnsi="Calibri"/>
      <w:kern w:val="2"/>
      <w:sz w:val="21"/>
      <w:szCs w:val="22"/>
    </w:rPr>
  </w:style>
  <w:style w:type="character" w:customStyle="1" w:styleId="27">
    <w:name w:val="批注主题 字符"/>
    <w:basedOn w:val="26"/>
    <w:link w:val="9"/>
    <w:semiHidden/>
    <w:qFormat/>
    <w:uiPriority w:val="99"/>
    <w:rPr>
      <w:rFonts w:ascii="Calibri" w:hAnsi="Calibri"/>
      <w:b/>
      <w:bCs/>
      <w:kern w:val="2"/>
      <w:sz w:val="21"/>
      <w:szCs w:val="22"/>
    </w:rPr>
  </w:style>
  <w:style w:type="paragraph" w:customStyle="1" w:styleId="28">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14BC1-E71C-4FD4-9464-74B584105336}">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4</Pages>
  <Words>203</Words>
  <Characters>1158</Characters>
  <Lines>9</Lines>
  <Paragraphs>2</Paragraphs>
  <TotalTime>0</TotalTime>
  <ScaleCrop>false</ScaleCrop>
  <LinksUpToDate>false</LinksUpToDate>
  <CharactersWithSpaces>1359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2019-12-19T02:21:00Z</dcterms:created>
  <dc:creator>微软用户</dc:creator>
  <cp:lastModifiedBy>Ok</cp:lastModifiedBy>
  <cp:lastPrinted>2015-08-31T08:07:00Z</cp:lastPrinted>
  <dcterms:modified xsi:type="dcterms:W3CDTF">2020-06-22T07:04:16Z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