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560" w:lineRule="exact"/>
        <w:ind w:right="0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bookmarkStart w:id="1" w:name="_GoBack"/>
      <w:bookmarkEnd w:id="1"/>
      <w:r>
        <w:rPr>
          <w:rFonts w:hint="eastAsia" w:ascii="Times New Roman" w:hAnsi="Times New Roman" w:eastAsia="黑体"/>
          <w:sz w:val="32"/>
          <w:szCs w:val="32"/>
        </w:rPr>
        <w:t>17</w:t>
      </w:r>
    </w:p>
    <w:p>
      <w:pPr>
        <w:widowControl w:val="0"/>
        <w:wordWrap/>
        <w:adjustRightInd w:val="0"/>
        <w:snapToGrid w:val="0"/>
        <w:spacing w:line="560" w:lineRule="exact"/>
        <w:ind w:right="0"/>
        <w:jc w:val="center"/>
        <w:outlineLvl w:val="9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不合格项目说明</w:t>
      </w:r>
    </w:p>
    <w:p>
      <w:pPr>
        <w:widowControl w:val="0"/>
        <w:wordWrap/>
        <w:adjustRightInd w:val="0"/>
        <w:snapToGrid w:val="0"/>
        <w:spacing w:line="3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bCs/>
          <w:sz w:val="44"/>
          <w:szCs w:val="44"/>
        </w:rPr>
      </w:pP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防腐剂混合使用时各自用量占其最大使用量的比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例之和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color w:val="000000"/>
          <w:sz w:val="32"/>
          <w:szCs w:val="32"/>
        </w:rPr>
        <w:t>防腐剂是以保持食品原有品质和营养价值为目的的食品添加剂，它能抑制微生物的生长繁殖，防止食品腐败变质，从而延长保质期。按照标准规定的范围和使用量使用是安全可靠的。《食品安全国家标准</w:t>
      </w:r>
      <w:r>
        <w:rPr>
          <w:rFonts w:hint="eastAsia" w:eastAsia="仿宋" w:cs="仿宋"/>
          <w:color w:val="000000"/>
          <w:sz w:val="32"/>
          <w:szCs w:val="32"/>
        </w:rPr>
        <w:t xml:space="preserve"> </w:t>
      </w:r>
      <w:r>
        <w:rPr>
          <w:rFonts w:hint="eastAsia" w:hAnsi="仿宋" w:eastAsia="仿宋" w:cs="仿宋"/>
          <w:color w:val="000000"/>
          <w:sz w:val="32"/>
          <w:szCs w:val="32"/>
        </w:rPr>
        <w:t>食品添加剂使用标准》（</w:t>
      </w:r>
      <w:r>
        <w:rPr>
          <w:rFonts w:hint="eastAsia" w:eastAsia="仿宋" w:cs="仿宋"/>
          <w:color w:val="000000"/>
          <w:sz w:val="32"/>
          <w:szCs w:val="32"/>
        </w:rPr>
        <w:t>GB 2760</w:t>
      </w:r>
      <w:r>
        <w:rPr>
          <w:rFonts w:hint="eastAsia" w:hAnsi="仿宋" w:eastAsia="仿宋" w:cs="仿宋"/>
          <w:color w:val="000000"/>
          <w:sz w:val="32"/>
          <w:szCs w:val="32"/>
        </w:rPr>
        <w:t>）中不仅规定了我国在食品中允许添加的某一添加剂的种类、使用量或残留量，而且规定了同一功能的食品添加剂（相同色泽着色剂、防腐剂、抗氧化剂）在混合使用时，各自用量占其最大使用量的比例之和不应超过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hint="eastAsia" w:eastAsia="仿宋"/>
          <w:sz w:val="32"/>
          <w:szCs w:val="32"/>
        </w:rPr>
        <w:t>。</w:t>
      </w: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腐霉利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/>
          <w:bCs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腐霉利属于低毒性杀菌剂，</w:t>
      </w:r>
      <w:r>
        <w:rPr>
          <w:rFonts w:hint="eastAsia" w:eastAsia="仿宋_GB2312"/>
          <w:sz w:val="32"/>
          <w:szCs w:val="32"/>
        </w:rPr>
        <w:t>主要用于果树、蔬菜作物的灰霉病、菌核病、褐腐病防治。</w:t>
      </w:r>
      <w:r>
        <w:rPr>
          <w:rFonts w:hint="eastAsia" w:eastAsia="仿宋_GB2312"/>
          <w:bCs/>
          <w:sz w:val="32"/>
          <w:szCs w:val="32"/>
        </w:rPr>
        <w:t>《食品安全国家标准 食品中农药最大残留限量》（GB 2763）规定，韭菜中腐霉利的最大残留限量为0.2 mg/kg。</w:t>
      </w:r>
    </w:p>
    <w:p>
      <w:pPr>
        <w:pStyle w:val="8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 w:firstLineChars="0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恩诺沙星</w:t>
      </w:r>
    </w:p>
    <w:p>
      <w:pPr>
        <w:widowControl w:val="0"/>
        <w:wordWrap/>
        <w:adjustRightInd w:val="0"/>
        <w:snapToGrid w:val="0"/>
        <w:spacing w:line="560" w:lineRule="exact"/>
        <w:ind w:right="0" w:firstLine="640" w:firstLineChars="200"/>
        <w:textAlignment w:val="baseline"/>
        <w:outlineLvl w:val="9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恩诺沙星，又名恩氟奎林羧酸，属于氟喹诺酮类药物，是一种化学合成的广谱抑菌剂，用于治疗动物的皮肤感染、呼吸道感染等，是动物专属用药。</w:t>
      </w:r>
      <w:bookmarkStart w:id="0" w:name="OLE_LINK1"/>
      <w:r>
        <w:rPr>
          <w:rFonts w:hint="eastAsia" w:ascii="Times New Roman" w:hAnsi="Times New Roman" w:eastAsia="仿宋_GB2312"/>
          <w:bCs/>
          <w:sz w:val="32"/>
          <w:szCs w:val="32"/>
        </w:rPr>
        <w:t>《食品安全国家标准 食品中兽药最大残留限量》（</w:t>
      </w:r>
      <w:r>
        <w:rPr>
          <w:rFonts w:ascii="Times New Roman" w:hAnsi="Times New Roman" w:eastAsia="仿宋_GB2312"/>
          <w:bCs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bCs/>
          <w:sz w:val="32"/>
          <w:szCs w:val="32"/>
        </w:rPr>
        <w:t>）</w:t>
      </w:r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规定，鱼中恩诺沙星(以恩诺沙星与环丙沙星之和计)应不超过100 μg/kg。</w:t>
      </w: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克百威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克百威，又名呋喃丹，是一种广谱性杀虫、杀螨、杀线虫剂，属于高毒农药。农业部第199号公告明确规定克百威不得用于蔬菜、果树、茶叶、中草药材上。《食品安全国家标准 食品中农药最大残留限量》（GB 2763）规定，豆类蔬菜中克百威的最大残留限量为0.02 mg/kg。</w:t>
      </w: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霉菌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textAlignment w:val="auto"/>
        <w:outlineLvl w:val="9"/>
        <w:rPr>
          <w:rFonts w:eastAsia="仿宋_GB2312" w:cs="仿宋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霉菌是丝状真菌的俗称，意即“发霉的真菌”，霉菌有的使食品转变为有毒物质，有的可能在食品中产生毒素，即霉菌毒素。《食品安全国家标准 饮料》（GB 7101）规定，固体饮</w:t>
      </w:r>
      <w:r>
        <w:rPr>
          <w:rFonts w:hint="eastAsia" w:eastAsia="仿宋_GB2312"/>
          <w:sz w:val="32"/>
          <w:szCs w:val="32"/>
        </w:rPr>
        <w:t>料中霉菌</w:t>
      </w:r>
      <w:r>
        <w:rPr>
          <w:rFonts w:hint="eastAsia" w:eastAsia="仿宋_GB2312" w:cs="仿宋"/>
          <w:sz w:val="32"/>
          <w:szCs w:val="32"/>
        </w:rPr>
        <w:t>应</w:t>
      </w:r>
      <w:r>
        <w:rPr>
          <w:rFonts w:eastAsia="仿宋_GB2312" w:cs="仿宋"/>
          <w:sz w:val="32"/>
          <w:szCs w:val="32"/>
        </w:rPr>
        <w:t>不超过</w:t>
      </w:r>
      <w:r>
        <w:rPr>
          <w:rFonts w:eastAsia="仿宋_GB2312"/>
          <w:sz w:val="32"/>
          <w:szCs w:val="32"/>
        </w:rPr>
        <w:t>50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CFU/g</w:t>
      </w:r>
      <w:r>
        <w:rPr>
          <w:rFonts w:hint="eastAsia" w:eastAsia="仿宋_GB2312"/>
          <w:sz w:val="32"/>
          <w:szCs w:val="32"/>
        </w:rPr>
        <w:t>。</w:t>
      </w:r>
      <w:r>
        <w:rPr>
          <w:rFonts w:hint="eastAsia" w:eastAsia="仿宋_GB2312" w:cs="仿宋"/>
          <w:sz w:val="32"/>
          <w:szCs w:val="32"/>
        </w:rPr>
        <w:t>《食品安全国家标准 发酵乳》（GB 19302）规定</w:t>
      </w:r>
      <w:r>
        <w:rPr>
          <w:rFonts w:eastAsia="仿宋_GB2312" w:cs="仿宋"/>
          <w:sz w:val="32"/>
          <w:szCs w:val="32"/>
        </w:rPr>
        <w:t>，发酵乳</w:t>
      </w:r>
      <w:r>
        <w:rPr>
          <w:rFonts w:hint="eastAsia" w:eastAsia="仿宋_GB2312" w:cs="仿宋"/>
          <w:sz w:val="32"/>
          <w:szCs w:val="32"/>
        </w:rPr>
        <w:t>中霉菌应</w:t>
      </w:r>
      <w:r>
        <w:rPr>
          <w:rFonts w:eastAsia="仿宋_GB2312" w:cs="仿宋"/>
          <w:sz w:val="32"/>
          <w:szCs w:val="32"/>
        </w:rPr>
        <w:t>不超过30</w:t>
      </w:r>
      <w:r>
        <w:rPr>
          <w:rFonts w:hint="eastAsia" w:eastAsia="仿宋_GB2312" w:cs="仿宋"/>
          <w:sz w:val="32"/>
          <w:szCs w:val="32"/>
        </w:rPr>
        <w:t xml:space="preserve"> CFU/g。</w:t>
      </w: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孔雀石绿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孔雀石绿别名碱性绿、盐基块绿、孔雀绿，是一种三苯甲烷结构的工业染料。孔雀石绿可在鱼体内长时间残留，通过食物链可能对人体产生致畸、致癌和致突变等危害。《食品动物中禁止使用的药品及其他化合物清单》（农业农村部公告第250号），明确规定食品动物中禁止使用孔雀石绿。</w:t>
      </w:r>
    </w:p>
    <w:p>
      <w:pPr>
        <w:pStyle w:val="5"/>
        <w:widowControl w:val="0"/>
        <w:numPr>
          <w:ilvl w:val="0"/>
          <w:numId w:val="1"/>
        </w:numPr>
        <w:wordWrap/>
        <w:adjustRightInd w:val="0"/>
        <w:snapToGrid w:val="0"/>
        <w:spacing w:line="560" w:lineRule="exact"/>
        <w:ind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氧氟沙星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氧氟沙星属于氟喹诺酮类药物，因抗菌谱广、抗菌活性强曾被广泛用于畜禽细菌性疾病的治疗和预防。《发布在食品动物中停止使用洛美沙星、培氟沙星、氧氟沙星、诺氟沙星4种兽药的决定》（农业部公告第2292号）中规定自2016年12月31日起，停止经营、使用用于食品动物的洛美沙星、培氟沙星、氧氟沙星、诺氟沙星4种原料药的各种盐、酯及其各种制剂。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left="640"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八</w:t>
      </w:r>
      <w:r>
        <w:rPr>
          <w:rFonts w:eastAsia="黑体"/>
          <w:color w:val="000000"/>
          <w:sz w:val="32"/>
          <w:szCs w:val="32"/>
        </w:rPr>
        <w:t>、</w:t>
      </w:r>
      <w:r>
        <w:rPr>
          <w:rFonts w:hint="eastAsia" w:eastAsia="黑体"/>
          <w:color w:val="000000"/>
          <w:sz w:val="32"/>
          <w:szCs w:val="32"/>
        </w:rPr>
        <w:t>磺胺类(总量)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 w:cs="黑体"/>
          <w:sz w:val="32"/>
          <w:szCs w:val="32"/>
          <w:highlight w:val="none"/>
        </w:rPr>
      </w:pPr>
      <w:r>
        <w:rPr>
          <w:rFonts w:hint="eastAsia" w:eastAsia="仿宋_GB2312" w:cs="黑体"/>
          <w:sz w:val="32"/>
          <w:szCs w:val="32"/>
        </w:rPr>
        <w:t>磺胺类药物是合成的抑菌类兽药，除了治疗敏感菌所致传染病外，通常情况下还用于治疗传染性脑膜炎、痢疾、弓形体病。</w:t>
      </w:r>
      <w:r>
        <w:rPr>
          <w:rFonts w:hint="eastAsia" w:eastAsia="仿宋_GB2312" w:cs="黑体"/>
          <w:sz w:val="32"/>
          <w:szCs w:val="32"/>
          <w:highlight w:val="none"/>
        </w:rPr>
        <w:t>《动物性食品中兽药最高残留限量》（农业部公告第235号）规定所有食品动物的肌肉中磺胺类（总量）</w:t>
      </w:r>
      <w:r>
        <w:rPr>
          <w:rFonts w:hint="eastAsia" w:hAnsi="仿宋_GB2312" w:eastAsia="仿宋_GB2312" w:cs="仿宋_GB2312"/>
          <w:sz w:val="32"/>
          <w:szCs w:val="32"/>
          <w:highlight w:val="none"/>
        </w:rPr>
        <w:t>应不超过</w:t>
      </w:r>
      <w:r>
        <w:rPr>
          <w:rFonts w:hint="eastAsia" w:eastAsia="仿宋_GB2312" w:cs="黑体"/>
          <w:sz w:val="32"/>
          <w:szCs w:val="32"/>
          <w:highlight w:val="none"/>
        </w:rPr>
        <w:t>100μg/kg。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left="640" w:right="0"/>
        <w:outlineLvl w:val="9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九</w:t>
      </w:r>
      <w:r>
        <w:rPr>
          <w:rFonts w:eastAsia="黑体"/>
          <w:color w:val="000000"/>
          <w:sz w:val="32"/>
          <w:szCs w:val="32"/>
        </w:rPr>
        <w:t>、甲拌磷</w:t>
      </w:r>
    </w:p>
    <w:p>
      <w:pPr>
        <w:widowControl w:val="0"/>
        <w:wordWrap/>
        <w:adjustRightInd w:val="0"/>
        <w:snapToGrid w:val="0"/>
        <w:spacing w:line="560" w:lineRule="exact"/>
        <w:ind w:right="0" w:firstLine="627" w:firstLineChars="196"/>
        <w:outlineLvl w:val="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甲拌磷是一种有机磷类内吸杀虫、杀螨剂。农业部规定蔬菜中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禁止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使用农药甲拌磷。《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食品安全国家标准 食品中农药最大残留限量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（GB 2763）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规定，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叶菜类蔬菜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中甲拌磷的最大残留限量为0.01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mg/kg。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黑体" w:cs="仿宋"/>
          <w:sz w:val="32"/>
          <w:szCs w:val="32"/>
        </w:rPr>
      </w:pPr>
      <w:r>
        <w:rPr>
          <w:rFonts w:hint="eastAsia" w:hAnsi="黑体" w:eastAsia="黑体" w:cs="仿宋"/>
          <w:sz w:val="32"/>
          <w:szCs w:val="32"/>
        </w:rPr>
        <w:t>十、镉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 w:cs="仿宋"/>
          <w:sz w:val="32"/>
          <w:szCs w:val="32"/>
        </w:rPr>
      </w:pPr>
      <w:r>
        <w:rPr>
          <w:rFonts w:hint="eastAsia" w:eastAsia="仿宋_GB2312" w:cs="仿宋"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2762）规定，鲜、冻水产动物甲壳类中镉应不超过0.5 mg/kg。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黑体" w:cs="仿宋"/>
          <w:sz w:val="32"/>
          <w:szCs w:val="32"/>
          <w:highlight w:val="none"/>
        </w:rPr>
      </w:pPr>
      <w:r>
        <w:rPr>
          <w:rFonts w:hint="eastAsia" w:hAnsi="黑体" w:eastAsia="黑体" w:cs="仿宋"/>
          <w:sz w:val="32"/>
          <w:szCs w:val="32"/>
          <w:highlight w:val="none"/>
        </w:rPr>
        <w:t>十一</w:t>
      </w:r>
      <w:r>
        <w:rPr>
          <w:rFonts w:hAnsi="黑体" w:eastAsia="黑体" w:cs="仿宋"/>
          <w:sz w:val="32"/>
          <w:szCs w:val="32"/>
          <w:highlight w:val="none"/>
        </w:rPr>
        <w:t>、酵母</w:t>
      </w:r>
    </w:p>
    <w:p>
      <w:pPr>
        <w:pStyle w:val="5"/>
        <w:widowControl w:val="0"/>
        <w:wordWrap/>
        <w:adjustRightInd w:val="0"/>
        <w:snapToGrid w:val="0"/>
        <w:spacing w:line="560" w:lineRule="exact"/>
        <w:ind w:right="0" w:firstLine="640" w:firstLineChars="200"/>
        <w:outlineLvl w:val="9"/>
        <w:rPr>
          <w:rFonts w:eastAsia="仿宋_GB2312" w:cs="仿宋"/>
          <w:sz w:val="32"/>
          <w:szCs w:val="32"/>
        </w:rPr>
      </w:pPr>
      <w:r>
        <w:rPr>
          <w:rFonts w:hint="eastAsia" w:eastAsia="仿宋_GB2312" w:cs="Arial"/>
          <w:sz w:val="32"/>
          <w:szCs w:val="32"/>
          <w:highlight w:val="none"/>
        </w:rPr>
        <w:t>酵母对糖类、</w:t>
      </w:r>
      <w:r>
        <w:rPr>
          <w:rFonts w:hint="eastAsia" w:eastAsia="仿宋_GB2312" w:cs="Arial"/>
          <w:sz w:val="32"/>
          <w:szCs w:val="32"/>
        </w:rPr>
        <w:t>脂类等有较强的</w:t>
      </w:r>
      <w:r>
        <w:rPr>
          <w:rFonts w:eastAsia="仿宋_GB2312" w:cs="Arial"/>
          <w:sz w:val="32"/>
          <w:szCs w:val="32"/>
        </w:rPr>
        <w:t>“</w:t>
      </w:r>
      <w:r>
        <w:rPr>
          <w:rFonts w:hint="eastAsia" w:eastAsia="仿宋_GB2312" w:cs="Arial"/>
          <w:sz w:val="32"/>
          <w:szCs w:val="32"/>
        </w:rPr>
        <w:t>糖酵解</w:t>
      </w:r>
      <w:r>
        <w:rPr>
          <w:rFonts w:eastAsia="仿宋_GB2312" w:cs="Arial"/>
          <w:sz w:val="32"/>
          <w:szCs w:val="32"/>
        </w:rPr>
        <w:t>”</w:t>
      </w:r>
      <w:r>
        <w:rPr>
          <w:rFonts w:hint="eastAsia" w:eastAsia="仿宋_GB2312" w:cs="Arial"/>
          <w:sz w:val="32"/>
          <w:szCs w:val="32"/>
        </w:rPr>
        <w:t>能力，能以分解有机质的形式危害食品，造成食品的腐败变质。酵母虽然本身并非有害菌，</w:t>
      </w:r>
      <w:r>
        <w:rPr>
          <w:rFonts w:hint="eastAsia" w:eastAsia="仿宋_GB2312" w:cs="仿宋"/>
          <w:sz w:val="32"/>
          <w:szCs w:val="32"/>
        </w:rPr>
        <w:t>酵母超标会引起食物变质，食用酵母超标的食物可能会引起腹泻，危害人体健康。《食品安全国家标准 发酵乳》（GB 19302）规定</w:t>
      </w:r>
      <w:r>
        <w:rPr>
          <w:rFonts w:eastAsia="仿宋_GB2312" w:cs="仿宋"/>
          <w:sz w:val="32"/>
          <w:szCs w:val="32"/>
        </w:rPr>
        <w:t>，发酵乳</w:t>
      </w:r>
      <w:r>
        <w:rPr>
          <w:rFonts w:hint="eastAsia" w:eastAsia="仿宋_GB2312" w:cs="仿宋"/>
          <w:sz w:val="32"/>
          <w:szCs w:val="32"/>
        </w:rPr>
        <w:t>中</w:t>
      </w:r>
      <w:r>
        <w:rPr>
          <w:rFonts w:eastAsia="仿宋_GB2312" w:cs="仿宋"/>
          <w:sz w:val="32"/>
          <w:szCs w:val="32"/>
        </w:rPr>
        <w:t>酵母</w:t>
      </w:r>
      <w:r>
        <w:rPr>
          <w:rFonts w:hint="eastAsia" w:eastAsia="仿宋_GB2312" w:cs="仿宋"/>
          <w:sz w:val="32"/>
          <w:szCs w:val="32"/>
        </w:rPr>
        <w:t>应</w:t>
      </w:r>
      <w:r>
        <w:rPr>
          <w:rFonts w:eastAsia="仿宋_GB2312" w:cs="仿宋"/>
          <w:sz w:val="32"/>
          <w:szCs w:val="32"/>
        </w:rPr>
        <w:t>不超过</w:t>
      </w:r>
      <w:r>
        <w:rPr>
          <w:rFonts w:hint="eastAsia" w:eastAsia="仿宋_GB2312" w:cs="仿宋"/>
          <w:sz w:val="32"/>
          <w:szCs w:val="32"/>
        </w:rPr>
        <w:t>100 CFU/g。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6793402">
    <w:nsid w:val="36A5283A"/>
    <w:multiLevelType w:val="multilevel"/>
    <w:tmpl w:val="36A5283A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167934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KqJQ69+B1Qa6EhXs2pcu7zOOU4g=" w:salt="b+XF5+uBvO8nPjcJZiBBB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7960"/>
    <w:rsid w:val="00041F52"/>
    <w:rsid w:val="00044B73"/>
    <w:rsid w:val="00097A7B"/>
    <w:rsid w:val="000D7EF0"/>
    <w:rsid w:val="000E1F3A"/>
    <w:rsid w:val="00126C46"/>
    <w:rsid w:val="00156A6A"/>
    <w:rsid w:val="00193AC7"/>
    <w:rsid w:val="00195B79"/>
    <w:rsid w:val="001A7792"/>
    <w:rsid w:val="001C503B"/>
    <w:rsid w:val="001E6FB8"/>
    <w:rsid w:val="001F45CF"/>
    <w:rsid w:val="00226A84"/>
    <w:rsid w:val="00271DF9"/>
    <w:rsid w:val="00281DFF"/>
    <w:rsid w:val="002C29BF"/>
    <w:rsid w:val="002C6988"/>
    <w:rsid w:val="002D18AD"/>
    <w:rsid w:val="002F11C4"/>
    <w:rsid w:val="002F70B8"/>
    <w:rsid w:val="003343D3"/>
    <w:rsid w:val="003A59ED"/>
    <w:rsid w:val="003A6290"/>
    <w:rsid w:val="003D5354"/>
    <w:rsid w:val="003E5B35"/>
    <w:rsid w:val="003F0C78"/>
    <w:rsid w:val="003F54AC"/>
    <w:rsid w:val="00401B9E"/>
    <w:rsid w:val="00404081"/>
    <w:rsid w:val="0041375B"/>
    <w:rsid w:val="0041638A"/>
    <w:rsid w:val="0042091D"/>
    <w:rsid w:val="00423B74"/>
    <w:rsid w:val="00423DEA"/>
    <w:rsid w:val="00445C02"/>
    <w:rsid w:val="00461642"/>
    <w:rsid w:val="00476807"/>
    <w:rsid w:val="00482271"/>
    <w:rsid w:val="004A5696"/>
    <w:rsid w:val="004D3F9B"/>
    <w:rsid w:val="004F67DE"/>
    <w:rsid w:val="00532A67"/>
    <w:rsid w:val="0054794C"/>
    <w:rsid w:val="00557F67"/>
    <w:rsid w:val="00582C92"/>
    <w:rsid w:val="00591EC1"/>
    <w:rsid w:val="00605651"/>
    <w:rsid w:val="00632C22"/>
    <w:rsid w:val="0066369E"/>
    <w:rsid w:val="00681FEA"/>
    <w:rsid w:val="006854F2"/>
    <w:rsid w:val="006B6528"/>
    <w:rsid w:val="006C1844"/>
    <w:rsid w:val="006D7405"/>
    <w:rsid w:val="006E2949"/>
    <w:rsid w:val="006E33D5"/>
    <w:rsid w:val="00704E7E"/>
    <w:rsid w:val="007064CB"/>
    <w:rsid w:val="0072006A"/>
    <w:rsid w:val="00721C67"/>
    <w:rsid w:val="00744B5C"/>
    <w:rsid w:val="00780AFB"/>
    <w:rsid w:val="007A2AA4"/>
    <w:rsid w:val="0080385B"/>
    <w:rsid w:val="00852FBB"/>
    <w:rsid w:val="00857791"/>
    <w:rsid w:val="00884B03"/>
    <w:rsid w:val="00887940"/>
    <w:rsid w:val="008A2085"/>
    <w:rsid w:val="008A510D"/>
    <w:rsid w:val="008F7FDF"/>
    <w:rsid w:val="00905019"/>
    <w:rsid w:val="00907486"/>
    <w:rsid w:val="00907789"/>
    <w:rsid w:val="00917AD6"/>
    <w:rsid w:val="00920F8F"/>
    <w:rsid w:val="00940313"/>
    <w:rsid w:val="00971768"/>
    <w:rsid w:val="00971D21"/>
    <w:rsid w:val="0098067D"/>
    <w:rsid w:val="00986AE1"/>
    <w:rsid w:val="009A237D"/>
    <w:rsid w:val="00A1509A"/>
    <w:rsid w:val="00A526A3"/>
    <w:rsid w:val="00A65383"/>
    <w:rsid w:val="00A74AF7"/>
    <w:rsid w:val="00A9533E"/>
    <w:rsid w:val="00AB3A11"/>
    <w:rsid w:val="00AB4B83"/>
    <w:rsid w:val="00AB7426"/>
    <w:rsid w:val="00AD4512"/>
    <w:rsid w:val="00AD74FF"/>
    <w:rsid w:val="00AE14B2"/>
    <w:rsid w:val="00AE67E5"/>
    <w:rsid w:val="00AF3FC1"/>
    <w:rsid w:val="00B12BDA"/>
    <w:rsid w:val="00B221D7"/>
    <w:rsid w:val="00B322D3"/>
    <w:rsid w:val="00B42652"/>
    <w:rsid w:val="00B47C7F"/>
    <w:rsid w:val="00B5194D"/>
    <w:rsid w:val="00B54CFB"/>
    <w:rsid w:val="00B56C94"/>
    <w:rsid w:val="00B667FD"/>
    <w:rsid w:val="00B76396"/>
    <w:rsid w:val="00B93358"/>
    <w:rsid w:val="00BC5FCF"/>
    <w:rsid w:val="00BC6168"/>
    <w:rsid w:val="00C02A64"/>
    <w:rsid w:val="00C25757"/>
    <w:rsid w:val="00C27CD0"/>
    <w:rsid w:val="00C705BF"/>
    <w:rsid w:val="00C944FD"/>
    <w:rsid w:val="00CA2C4F"/>
    <w:rsid w:val="00CA4538"/>
    <w:rsid w:val="00D21D50"/>
    <w:rsid w:val="00D86801"/>
    <w:rsid w:val="00DA28FE"/>
    <w:rsid w:val="00DB1958"/>
    <w:rsid w:val="00E00278"/>
    <w:rsid w:val="00E16D44"/>
    <w:rsid w:val="00E53455"/>
    <w:rsid w:val="00E554FB"/>
    <w:rsid w:val="00E618F7"/>
    <w:rsid w:val="00E94EC5"/>
    <w:rsid w:val="00EC20AF"/>
    <w:rsid w:val="00ED68BC"/>
    <w:rsid w:val="00EF5489"/>
    <w:rsid w:val="00F26674"/>
    <w:rsid w:val="00F41E45"/>
    <w:rsid w:val="00F42374"/>
    <w:rsid w:val="00F47D45"/>
    <w:rsid w:val="00F506A2"/>
    <w:rsid w:val="00F90804"/>
    <w:rsid w:val="00F94A60"/>
    <w:rsid w:val="00FA093B"/>
    <w:rsid w:val="00FA2AB0"/>
    <w:rsid w:val="00FB23C3"/>
    <w:rsid w:val="00FE26C6"/>
    <w:rsid w:val="042D3889"/>
    <w:rsid w:val="09483C7C"/>
    <w:rsid w:val="102764FF"/>
    <w:rsid w:val="18B018A3"/>
    <w:rsid w:val="1CF347D0"/>
    <w:rsid w:val="2B2614CB"/>
    <w:rsid w:val="2D8C4802"/>
    <w:rsid w:val="2E100838"/>
    <w:rsid w:val="311D2E05"/>
    <w:rsid w:val="32C55D9E"/>
    <w:rsid w:val="357069F0"/>
    <w:rsid w:val="37714620"/>
    <w:rsid w:val="38BA649F"/>
    <w:rsid w:val="39473A65"/>
    <w:rsid w:val="3E452F8E"/>
    <w:rsid w:val="4ABB422A"/>
    <w:rsid w:val="4B3854D9"/>
    <w:rsid w:val="510612FC"/>
    <w:rsid w:val="556278BC"/>
    <w:rsid w:val="55C36911"/>
    <w:rsid w:val="58054B0A"/>
    <w:rsid w:val="587B0306"/>
    <w:rsid w:val="5D8A0D6F"/>
    <w:rsid w:val="613C41A8"/>
    <w:rsid w:val="621E5D60"/>
    <w:rsid w:val="646C7EC4"/>
    <w:rsid w:val="68965191"/>
    <w:rsid w:val="6CF97F62"/>
    <w:rsid w:val="6ECF5C49"/>
    <w:rsid w:val="6F1C5868"/>
    <w:rsid w:val="70C95C99"/>
    <w:rsid w:val="732E63CA"/>
    <w:rsid w:val="733846E6"/>
    <w:rsid w:val="741F11FF"/>
    <w:rsid w:val="792F665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2">
    <w:name w:val="apple-converted-space"/>
    <w:basedOn w:val="6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239</Words>
  <Characters>1364</Characters>
  <Lines>11</Lines>
  <Paragraphs>3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2020-07-16T02:44:00Z</cp:lastPrinted>
  <dcterms:modified xsi:type="dcterms:W3CDTF">2020-07-30T09:07:48Z</dcterms:modified>
  <dc:title>附件17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