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微软雅黑" w:hAnsi="微软雅黑" w:eastAsia="微软雅黑" w:cs="微软雅黑"/>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附件1</w:t>
      </w:r>
    </w:p>
    <w:p>
      <w:pPr>
        <w:jc w:val="center"/>
        <w:rPr>
          <w:rFonts w:hint="eastAsia" w:ascii="黑体" w:hAnsi="黑体" w:eastAsia="黑体" w:cs="黑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本次检验项目</w:t>
      </w:r>
    </w:p>
    <w:p>
      <w:p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市县食用农产品</w:t>
      </w:r>
      <w:r>
        <w:rPr>
          <w:rFonts w:hint="eastAsia" w:ascii="黑体" w:hAnsi="黑体" w:eastAsia="黑体" w:cs="黑体"/>
          <w:b w:val="0"/>
          <w:bCs w:val="0"/>
          <w:color w:val="auto"/>
          <w:sz w:val="32"/>
          <w:szCs w:val="32"/>
          <w:lang w:val="en-US" w:eastAsia="zh-CN"/>
        </w:rPr>
        <w:t xml:space="preserve"> </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一、畜禽肉及副产品</w:t>
      </w:r>
    </w:p>
    <w:p>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猪肉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（一）抽检依据</w:t>
      </w:r>
    </w:p>
    <w:p>
      <w:pPr>
        <w:ind w:firstLine="640" w:firstLineChars="200"/>
        <w:rPr>
          <w:rFonts w:ascii="宋体" w:hAnsi="宋体" w:eastAsia="宋体" w:cs="宋体"/>
          <w:color w:val="auto"/>
          <w:sz w:val="24"/>
          <w:szCs w:val="24"/>
        </w:rPr>
      </w:pPr>
      <w:r>
        <w:rPr>
          <w:rFonts w:hint="eastAsia" w:ascii="仿宋_GB2312" w:hAnsi="仿宋_GB2312" w:eastAsia="仿宋_GB2312" w:cs="仿宋_GB2312"/>
          <w:color w:val="auto"/>
          <w:sz w:val="32"/>
          <w:szCs w:val="32"/>
          <w:lang w:val="en-US" w:eastAsia="zh-CN"/>
        </w:rPr>
        <w:t>整顿办函〔2010〕50 号 《食品中可能违法添加的非食用物质和易滥用的食品添加剂名单（第四批）》，农业部公告第 235 号《动物性食品中兽药 最高残留限量》，农业部公告第 560 号《兽药地方标准废止目录》，农业农村部公告第 250 号《食品动物中禁止使用的药品及其他化合物清单》，农业部公告第 2292 号《发布在食品动物中停止使用洛美沙星、培氟沙星、氧氟沙星、诺氟沙星 4 种兽药的决定》等标准及产品明示标准和指标的要求</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（二）抽检项目</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猪肉抽检项目</w:t>
      </w:r>
      <w:r>
        <w:rPr>
          <w:rFonts w:hint="eastAsia" w:ascii="仿宋_GB2312" w:hAnsi="仿宋_GB2312" w:eastAsia="仿宋_GB2312" w:cs="仿宋_GB2312"/>
          <w:color w:val="auto"/>
          <w:kern w:val="0"/>
          <w:sz w:val="32"/>
          <w:szCs w:val="32"/>
          <w:lang w:eastAsia="zh-CN"/>
        </w:rPr>
        <w:t>包括</w:t>
      </w:r>
      <w:r>
        <w:rPr>
          <w:rFonts w:hint="eastAsia" w:ascii="仿宋_GB2312" w:hAnsi="仿宋_GB2312" w:eastAsia="仿宋_GB2312" w:cs="仿宋_GB2312"/>
          <w:b w:val="0"/>
          <w:bCs w:val="0"/>
          <w:color w:val="auto"/>
          <w:sz w:val="32"/>
          <w:szCs w:val="32"/>
          <w:lang w:eastAsia="zh-CN"/>
        </w:rPr>
        <w:t>克伦特罗、沙丁胺醇、恩诺沙星、多西环素、磺胺类(总量)、利巴韦林、呋喃唑酮代谢物、氯霉素、氧氟沙星、五氯酚酸钠(以五氯酚计）。</w:t>
      </w:r>
    </w:p>
    <w:p>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牛肉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（一）抽检依据</w:t>
      </w:r>
    </w:p>
    <w:p>
      <w:pPr>
        <w:ind w:firstLine="640" w:firstLineChars="200"/>
        <w:rPr>
          <w:rFonts w:ascii="宋体" w:hAnsi="宋体" w:eastAsia="宋体" w:cs="宋体"/>
          <w:color w:val="auto"/>
          <w:sz w:val="24"/>
          <w:szCs w:val="24"/>
        </w:rPr>
      </w:pPr>
      <w:r>
        <w:rPr>
          <w:rFonts w:hint="eastAsia" w:ascii="仿宋_GB2312" w:hAnsi="仿宋_GB2312" w:eastAsia="仿宋_GB2312" w:cs="仿宋_GB2312"/>
          <w:color w:val="auto"/>
          <w:sz w:val="32"/>
          <w:szCs w:val="32"/>
          <w:lang w:val="en-US" w:eastAsia="zh-CN"/>
        </w:rPr>
        <w:t>整顿办函〔2010〕50 号 《食品中可能违法添加的非食用物质和易滥用的食品添加剂名单（第四批）》，农业农村部公告第 250 号《食品动物中禁止使用的药品及其他化合物清单》，农业部公告第 235 号《动物性食品中兽药最高残留限量》等标准及产品明示标准和指标的要求</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（二）抽检项目</w:t>
      </w:r>
    </w:p>
    <w:p>
      <w:pPr>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牛肉抽检项目</w:t>
      </w:r>
      <w:r>
        <w:rPr>
          <w:rFonts w:hint="eastAsia" w:ascii="仿宋_GB2312" w:hAnsi="仿宋_GB2312" w:eastAsia="仿宋_GB2312" w:cs="仿宋_GB2312"/>
          <w:color w:val="auto"/>
          <w:kern w:val="0"/>
          <w:sz w:val="32"/>
          <w:szCs w:val="32"/>
          <w:lang w:eastAsia="zh-CN"/>
        </w:rPr>
        <w:t>包括</w:t>
      </w:r>
      <w:r>
        <w:rPr>
          <w:rFonts w:hint="eastAsia" w:ascii="仿宋_GB2312" w:hAnsi="仿宋_GB2312" w:eastAsia="仿宋_GB2312" w:cs="仿宋_GB2312"/>
          <w:b w:val="0"/>
          <w:bCs w:val="0"/>
          <w:color w:val="auto"/>
          <w:sz w:val="32"/>
          <w:szCs w:val="32"/>
          <w:lang w:eastAsia="zh-CN"/>
        </w:rPr>
        <w:t>克伦特罗、氯霉素、地塞米松、莱克多巴胺。</w:t>
      </w:r>
    </w:p>
    <w:p>
      <w:pPr>
        <w:numPr>
          <w:ilvl w:val="0"/>
          <w:numId w:val="0"/>
        </w:numPr>
        <w:ind w:firstLine="640" w:firstLineChars="200"/>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鸡肉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（一）抽检依据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农业部公告第 235 号《动物性食品中兽药最高残留限量》，农业部公告第 2292 号《发布在食品动物中停止使用洛美沙星、培氟沙星、氧氟沙星、诺 氟沙星 4 种兽药的决定》，农业农村部公告第 250 号《食品动物中禁止使用的药品及其 他化合物清单》，农业部公告第 560 号《兽药地方标准废止目录》</w:t>
      </w:r>
      <w:r>
        <w:rPr>
          <w:rFonts w:hint="eastAsia" w:ascii="仿宋_GB2312" w:hAnsi="仿宋_GB2312" w:eastAsia="仿宋_GB2312" w:cs="仿宋_GB2312"/>
          <w:color w:val="auto"/>
          <w:sz w:val="32"/>
          <w:szCs w:val="32"/>
          <w:lang w:val="en-US" w:eastAsia="zh-CN"/>
        </w:rPr>
        <w:t>等标准及产品明示标准和指标的要求。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（二）抽检项目</w:t>
      </w:r>
    </w:p>
    <w:p>
      <w:p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鸡肉</w:t>
      </w:r>
      <w:r>
        <w:rPr>
          <w:rFonts w:hint="eastAsia" w:ascii="仿宋_GB2312" w:hAnsi="仿宋_GB2312" w:eastAsia="仿宋_GB2312" w:cs="仿宋_GB2312"/>
          <w:b w:val="0"/>
          <w:bCs w:val="0"/>
          <w:color w:val="auto"/>
          <w:sz w:val="32"/>
          <w:szCs w:val="32"/>
          <w:lang w:eastAsia="zh-CN"/>
        </w:rPr>
        <w:t>抽检项目</w:t>
      </w:r>
      <w:r>
        <w:rPr>
          <w:rFonts w:hint="eastAsia" w:ascii="仿宋_GB2312" w:hAnsi="仿宋_GB2312" w:eastAsia="仿宋_GB2312" w:cs="仿宋_GB2312"/>
          <w:color w:val="auto"/>
          <w:kern w:val="0"/>
          <w:sz w:val="32"/>
          <w:szCs w:val="32"/>
          <w:lang w:eastAsia="zh-CN"/>
        </w:rPr>
        <w:t>包括</w:t>
      </w:r>
      <w:r>
        <w:rPr>
          <w:rFonts w:hint="eastAsia" w:ascii="仿宋_GB2312" w:hAnsi="仿宋_GB2312" w:eastAsia="仿宋_GB2312" w:cs="仿宋_GB2312"/>
          <w:b w:val="0"/>
          <w:bCs w:val="0"/>
          <w:color w:val="auto"/>
          <w:sz w:val="32"/>
          <w:szCs w:val="32"/>
          <w:lang w:eastAsia="zh-CN"/>
        </w:rPr>
        <w:t>恩诺沙星</w:t>
      </w:r>
      <w:r>
        <w:rPr>
          <w:rFonts w:hint="eastAsia" w:ascii="仿宋_GB2312" w:hAnsi="仿宋_GB2312" w:eastAsia="仿宋_GB2312" w:cs="仿宋_GB2312"/>
          <w:b w:val="0"/>
          <w:bCs w:val="0"/>
          <w:color w:val="auto"/>
          <w:sz w:val="32"/>
          <w:szCs w:val="32"/>
          <w:lang w:eastAsia="zh-CN"/>
        </w:rPr>
        <w:t>、氧氟沙星</w:t>
      </w:r>
      <w:r>
        <w:rPr>
          <w:rFonts w:hint="eastAsia" w:ascii="仿宋_GB2312" w:hAnsi="仿宋_GB2312" w:eastAsia="仿宋_GB2312" w:cs="仿宋_GB2312"/>
          <w:b w:val="0"/>
          <w:bCs w:val="0"/>
          <w:color w:val="auto"/>
          <w:sz w:val="32"/>
          <w:szCs w:val="32"/>
          <w:lang w:eastAsia="zh-CN"/>
        </w:rPr>
        <w:t>、呋喃唑酮代谢物</w:t>
      </w:r>
      <w:r>
        <w:rPr>
          <w:rFonts w:hint="eastAsia" w:ascii="仿宋_GB2312" w:hAnsi="仿宋_GB2312" w:eastAsia="仿宋_GB2312" w:cs="仿宋_GB2312"/>
          <w:b w:val="0"/>
          <w:bCs w:val="0"/>
          <w:color w:val="auto"/>
          <w:sz w:val="32"/>
          <w:szCs w:val="32"/>
          <w:lang w:eastAsia="zh-CN"/>
        </w:rPr>
        <w:t>、磺胺类(总量)</w:t>
      </w:r>
      <w:r>
        <w:rPr>
          <w:rFonts w:hint="eastAsia" w:ascii="仿宋_GB2312" w:hAnsi="仿宋_GB2312" w:eastAsia="仿宋_GB2312" w:cs="仿宋_GB2312"/>
          <w:b w:val="0"/>
          <w:bCs w:val="0"/>
          <w:color w:val="auto"/>
          <w:sz w:val="32"/>
          <w:szCs w:val="32"/>
          <w:lang w:eastAsia="zh-CN"/>
        </w:rPr>
        <w:t>、氯霉素、五氯酚酸钠(以五氯酚计）、多西环素、金刚烷胺、尼卡巴嗪</w:t>
      </w:r>
      <w:r>
        <w:rPr>
          <w:rFonts w:hint="eastAsia" w:ascii="仿宋_GB2312" w:hAnsi="仿宋_GB2312" w:eastAsia="仿宋_GB2312" w:cs="仿宋_GB2312"/>
          <w:b w:val="0"/>
          <w:bCs w:val="0"/>
          <w:color w:val="auto"/>
          <w:sz w:val="32"/>
          <w:szCs w:val="32"/>
          <w:lang w:eastAsia="zh-CN"/>
        </w:rPr>
        <w:t>。</w:t>
      </w:r>
    </w:p>
    <w:p>
      <w:pPr>
        <w:numPr>
          <w:ilvl w:val="0"/>
          <w:numId w:val="0"/>
        </w:numPr>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二、蔬菜</w:t>
      </w:r>
    </w:p>
    <w:p>
      <w:pPr>
        <w:numPr>
          <w:ilvl w:val="0"/>
          <w:numId w:val="0"/>
        </w:num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黄瓜（瓜类蔬菜）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leftChars="0" w:firstLine="480" w:firstLineChars="200"/>
        <w:rPr>
          <w:rFonts w:hint="eastAsia" w:ascii="仿宋_GB2312" w:hAnsi="仿宋_GB2312" w:eastAsia="仿宋_GB2312" w:cs="仿宋_GB2312"/>
          <w:color w:val="auto"/>
          <w:sz w:val="32"/>
          <w:szCs w:val="32"/>
          <w:lang w:val="en-US"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lang w:val="en-US" w:eastAsia="zh-CN"/>
        </w:rPr>
        <w:t>GB 2763-2019《食品安全国家标准 食品中农药最大残留限量》等标准及产品明示标准和指标的要求</w:t>
      </w:r>
      <w:r>
        <w:rPr>
          <w:rFonts w:hint="eastAsia" w:ascii="仿宋_GB2312" w:hAnsi="仿宋_GB2312" w:eastAsia="仿宋_GB2312" w:cs="仿宋_GB2312"/>
          <w:color w:val="auto"/>
          <w:sz w:val="32"/>
          <w:szCs w:val="32"/>
        </w:rPr>
        <w:t>。</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黄瓜抽检项目包括毒死蜱、克百威、氧乐果、多菌灵。</w:t>
      </w:r>
    </w:p>
    <w:p>
      <w:pPr>
        <w:numPr>
          <w:ilvl w:val="0"/>
          <w:numId w:val="0"/>
        </w:num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萝卜（芋类蔬菜）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萝卜抽检项目包括氟虫腈、氧乐果、氯氟氰菊酯和高效氯氟氰菊酯。</w:t>
      </w:r>
    </w:p>
    <w:p>
      <w:pPr>
        <w:numPr>
          <w:ilvl w:val="0"/>
          <w:numId w:val="0"/>
        </w:num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胡萝卜（芋类蔬菜）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胡萝卜抽检项目包括氯氟氰菊酯和高效氯氟氰菊酯、甲拌磷、辛硫磷。</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大白菜（叶菜类蔬菜）</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（一）抽检依据</w:t>
      </w:r>
    </w:p>
    <w:p>
      <w:pPr>
        <w:numPr>
          <w:ilvl w:val="0"/>
          <w:numId w:val="0"/>
        </w:numPr>
        <w:ind w:firstLine="640" w:firstLineChars="200"/>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大白菜抽检项目包括</w:t>
      </w:r>
      <w:r>
        <w:rPr>
          <w:rFonts w:hint="eastAsia" w:ascii="仿宋_GB2312" w:hAnsi="仿宋_GB2312" w:eastAsia="仿宋_GB2312" w:cs="仿宋_GB2312"/>
          <w:color w:val="auto"/>
          <w:kern w:val="0"/>
          <w:sz w:val="32"/>
          <w:szCs w:val="32"/>
        </w:rPr>
        <w:t>毒死蜱、氧乐果、啶虫脒、氟虫腈</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油麦菜（叶菜类蔬菜）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油麦菜抽检项目包括氟虫腈、氧乐果、克百威、甲胺磷、甲基异柳磷。</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辣椒</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茄果类蔬菜）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2762-2017《食品安全国家标准 食品中污染物限量》，GB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辣椒抽检项目包括镉(以 Cd 计)、克百威、氧乐果、甲胺磷。</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苦瓜</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苦瓜抽检项目包括百菌清、氧乐果、戊唑醇。</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芹菜</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叶菜类蔬菜）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2762-2017《食品安全国家标准 食品中污染物限量》，GB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芹菜抽检项目包括毒死蜱、氟虫腈、啶虫脒、氧乐果、阿维菌素、克百威。</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马铃薯</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根茎类和薯类蔬菜）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马铃薯抽检项目包括氯氟氰菊酯和高效氯氟氰菊酯、涕灭威、克百威。</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豆芽</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2762-2017《食品安全国家标准 食品中污染物限量》，国家食品药品监督管理总局农业部国家卫生和计划生育委员会关于豆芽生产过程中禁止使用 6-苄基腺嘌呤等物质的公告(2015 年第 11 号)，GB 22556-2008《豆芽卫生标准》等标准及产品明示标准和指标的要求</w:t>
      </w:r>
      <w:r>
        <w:rPr>
          <w:rFonts w:hint="eastAsia" w:ascii="仿宋_GB2312" w:hAnsi="仿宋_GB2312" w:eastAsia="仿宋_GB2312" w:cs="仿宋_GB2312"/>
          <w:color w:val="auto"/>
          <w:kern w:val="0"/>
          <w:sz w:val="32"/>
          <w:szCs w:val="32"/>
          <w:lang w:eastAsia="zh-CN"/>
        </w:rPr>
        <w:t>。</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豆芽抽检项目包括总砷(以 As 计)、4-氯苯氧乙酸钠(以 4-氯苯氧乙酸计)、6-苄基腺嘌呤、亚硫酸盐、镉(以 Cd 计)。</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洋葱</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鳞茎类蔬菜）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 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洋葱抽检项目包括甲基异柳磷、克百威、氧乐果。</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番茄</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茄果类蔬菜）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番茄抽检项目包括氯氟氰菊酯和高效氯氟氰菊酯、克百威、氧乐果。</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茄子</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茄果类蔬菜）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茄子抽检项目包括氧乐果、克百威、甲胺磷、氟虫腈。</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姜</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芋类蔬菜）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姜抽检项目包括氯氰菊酯和高效氯氰菊酯、氟虫腈、克百威、氯氟氰菊酯和高效氯氟氰菊酯。</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豇豆</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豆类蔬菜）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2763-2019《食品安全国家标准 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豇豆抽检项目包括氯氰菊酯和高效氯氰菊酯、氟虫腈、克百威、氯氟氰菊酯和高效氯氟氰菊酯。</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韭菜</w:t>
      </w:r>
      <w:r>
        <w:rPr>
          <w:rFonts w:hint="default" w:ascii="黑体" w:hAnsi="黑体" w:eastAsia="黑体" w:cs="黑体"/>
          <w:color w:val="auto"/>
          <w:sz w:val="32"/>
          <w:szCs w:val="32"/>
          <w:lang w:val="en-US" w:eastAsia="zh-CN"/>
        </w:rPr>
        <w:t>(</w:t>
      </w:r>
      <w:r>
        <w:rPr>
          <w:rFonts w:hint="eastAsia" w:ascii="黑体" w:hAnsi="黑体" w:eastAsia="黑体" w:cs="黑体"/>
          <w:color w:val="auto"/>
          <w:sz w:val="32"/>
          <w:szCs w:val="32"/>
          <w:lang w:val="en-US" w:eastAsia="zh-CN"/>
        </w:rPr>
        <w:t>鳞茎类蔬菜）</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（一）抽检依据</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GB 2762-2017《食品安全国家标准 食品中污染物限量》，GB 2763-2019《食品安全国家标准 食品中农药最大残留限量》等标准及产品明示标准和指标的要求。</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（二）抽检项目</w:t>
      </w:r>
    </w:p>
    <w:p>
      <w:pPr>
        <w:numPr>
          <w:ilvl w:val="0"/>
          <w:numId w:val="0"/>
        </w:numPr>
        <w:ind w:leftChars="0"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韭菜抽检项目包括镉(以 Cd 计)、腐霉利、毒死蜱、氧乐果、克百威、甲拌磷、氯氟氰菊酯和高效氯氟氰菊酯。</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三、水产品</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淡水鱼</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（一）抽检依据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农业农村部公告第 250 号《食品动物中禁止使用的药品及其他化合物清单》，农业部公告第 235 号《动物性食品中兽药最高残留限量》，农业部公告第 2292 号发布在食品动物中停止使用洛美沙星、培氟沙星、氧氟沙星、诺氟沙星4种兽药的决定等标准及产品明示标准和指标的要求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淡水鱼抽检项目孔雀石绿、氯霉素、呋喃唑酮代谢物、呋喃西林代谢物、恩诺沙星、氧氟沙星、磺胺类(总量)、地西泮。</w:t>
      </w:r>
    </w:p>
    <w:p>
      <w:pPr>
        <w:numPr>
          <w:ilvl w:val="0"/>
          <w:numId w:val="0"/>
        </w:numP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四、水果</w:t>
      </w:r>
    </w:p>
    <w:p>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香蕉（热带和亚热带水果）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GB 2763-2019《食品安全国家标准 食品中农药最大残留限量》等标准及产品明示标准和指标的要求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香蕉抽检项目包括苯醚甲环唑、溴氰菊酯、吡唑醚菌酯、多菌灵。</w:t>
      </w:r>
    </w:p>
    <w:p>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橙（柑橘类水果）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GB 2763-2019《食品安全国家标准 食品中农药最大残留限量》等标准及产品明示标准和指标的要求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橙抽检项目包括三唑磷、氧乐果、多菌灵</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、丙溴磷、克百威、水胺硫磷。</w:t>
      </w:r>
    </w:p>
    <w:p>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油桃（核果类水果）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color w:val="auto"/>
          <w:sz w:val="32"/>
          <w:szCs w:val="32"/>
          <w:lang w:val="en-US" w:eastAsia="zh-CN"/>
        </w:rPr>
        <w:t xml:space="preserve"> GB 2763-2019《食品安全国家标准 食品中农药最大残留限量》等标准及产品明示标准和指标的要求</w:t>
      </w:r>
      <w:r>
        <w:rPr>
          <w:rFonts w:hint="eastAsia" w:ascii="仿宋_GB2312" w:hAnsi="仿宋_GB2312" w:eastAsia="仿宋_GB2312" w:cs="仿宋_GB2312"/>
          <w:color w:val="auto"/>
          <w:sz w:val="32"/>
          <w:szCs w:val="32"/>
        </w:rPr>
        <w:t>。</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油桃抽检项目包括多菌灵、甲胺磷、克百威</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、氧乐果。</w:t>
      </w:r>
    </w:p>
    <w:p>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苹果（仁果类水果）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GB 2763-2019《食品安全国家标准 食品中农药最大残留限量》等标准及产品明示标准和指标的要求。</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苹果抽检项目包括丙溴磷、毒死蜱、克百威</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、三唑醇、氧乐果。</w:t>
      </w:r>
    </w:p>
    <w:p>
      <w:pPr>
        <w:numPr>
          <w:ilvl w:val="0"/>
          <w:numId w:val="0"/>
        </w:numPr>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梨（仁果类水果）</w:t>
      </w:r>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GB 2763-2019《食品安全国家标准 食品中农药最大残留限量》等标准及产品明示标准和指标的要求。</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梨抽检项目包括克百威、氯氟氰菊酯和高效氯氟氰菊酯、氧乐果</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、水胺硫磷。</w:t>
      </w:r>
    </w:p>
    <w:p>
      <w:pPr>
        <w:jc w:val="both"/>
        <w:rPr>
          <w:rFonts w:hint="eastAsia" w:ascii="仿宋_GB2312" w:hAnsi="仿宋_GB2312" w:eastAsia="仿宋_GB2312" w:cs="仿宋_GB2312"/>
          <w:color w:val="auto"/>
          <w:kern w:val="0"/>
          <w:sz w:val="32"/>
          <w:szCs w:val="32"/>
          <w:lang w:eastAsia="zh-CN"/>
        </w:rPr>
      </w:pPr>
      <w:r>
        <w:rPr>
          <w:rFonts w:hint="eastAsia" w:ascii="黑体" w:hAnsi="黑体" w:eastAsia="黑体" w:cs="黑体"/>
          <w:color w:val="auto"/>
          <w:kern w:val="0"/>
          <w:sz w:val="32"/>
          <w:szCs w:val="32"/>
          <w:lang w:eastAsia="zh-CN"/>
        </w:rPr>
        <w:t>五、鲜蛋</w:t>
      </w:r>
    </w:p>
    <w:p>
      <w:pPr>
        <w:ind w:firstLine="640" w:firstLineChars="200"/>
        <w:jc w:val="both"/>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鲜蛋</w:t>
      </w:r>
      <w:bookmarkStart w:id="0" w:name="_GoBack"/>
      <w:bookmarkEnd w:id="0"/>
    </w:p>
    <w:p>
      <w:pPr>
        <w:ind w:firstLine="640" w:firstLineChars="200"/>
        <w:rPr>
          <w:rFonts w:hint="eastAsia" w:ascii="宋体" w:hAnsi="宋体" w:eastAsia="宋体" w:cs="宋体"/>
          <w:color w:val="auto"/>
          <w:sz w:val="32"/>
          <w:szCs w:val="32"/>
          <w:lang w:eastAsia="zh-CN"/>
        </w:rPr>
      </w:pPr>
      <w:r>
        <w:rPr>
          <w:rFonts w:hint="eastAsia" w:ascii="楷体_GB2312" w:hAnsi="楷体_GB2312" w:eastAsia="楷体_GB2312" w:cs="楷体_GB2312"/>
          <w:b w:val="0"/>
          <w:bCs w:val="0"/>
          <w:color w:val="auto"/>
          <w:sz w:val="32"/>
          <w:szCs w:val="32"/>
          <w:lang w:val="en-US" w:eastAsia="zh-CN"/>
        </w:rPr>
        <w:t>（一）抽检</w:t>
      </w:r>
      <w:r>
        <w:rPr>
          <w:rFonts w:hint="eastAsia" w:ascii="楷体_GB2312" w:hAnsi="楷体_GB2312" w:eastAsia="楷体_GB2312" w:cs="楷体_GB2312"/>
          <w:b w:val="0"/>
          <w:bCs w:val="0"/>
          <w:color w:val="auto"/>
          <w:sz w:val="32"/>
          <w:szCs w:val="32"/>
          <w:lang w:eastAsia="zh-CN"/>
        </w:rPr>
        <w:t>依据</w:t>
      </w:r>
    </w:p>
    <w:p>
      <w:pPr>
        <w:ind w:firstLine="480" w:firstLineChars="200"/>
        <w:rPr>
          <w:rFonts w:hint="eastAsia" w:ascii="仿宋_GB2312" w:hAnsi="仿宋_GB2312" w:eastAsia="仿宋_GB2312" w:cs="仿宋_GB2312"/>
          <w:color w:val="auto"/>
          <w:sz w:val="32"/>
          <w:szCs w:val="32"/>
          <w:lang w:val="en-US" w:eastAsia="zh-CN"/>
        </w:rPr>
      </w:pPr>
      <w:r>
        <w:rPr>
          <w:rFonts w:ascii="宋体" w:hAnsi="宋体" w:eastAsia="宋体" w:cs="宋体"/>
          <w:color w:val="auto"/>
          <w:sz w:val="24"/>
          <w:szCs w:val="24"/>
        </w:rPr>
        <w:t xml:space="preserve"> </w:t>
      </w:r>
      <w:r>
        <w:rPr>
          <w:rFonts w:hint="eastAsia" w:ascii="仿宋_GB2312" w:hAnsi="仿宋_GB2312" w:eastAsia="仿宋_GB2312" w:cs="仿宋_GB2312"/>
          <w:color w:val="auto"/>
          <w:sz w:val="32"/>
          <w:szCs w:val="32"/>
          <w:lang w:val="en-US" w:eastAsia="zh-CN"/>
        </w:rPr>
        <w:t xml:space="preserve"> 农业农村部公告第 250 号《食品动物中禁止使用的药品及其 他化合物清单》，农业部公告第 235 号《动物性食品中兽药最高残留限量》，农业部公 告第 2292 号《发布在食品动物中停止使用洛美沙星、培氟沙星、氧氟沙星、诺氟沙星 4 种兽药的决定》 等标准及产品明示标准和指标的要求。</w:t>
      </w:r>
    </w:p>
    <w:p>
      <w:pPr>
        <w:numPr>
          <w:ilvl w:val="0"/>
          <w:numId w:val="0"/>
        </w:numPr>
        <w:ind w:leftChars="200" w:firstLine="320" w:firstLineChars="1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（二）抽检项目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鲜蛋抽检项目包括氯霉素、氟苯尼考、恩诺沙星、氧氟沙星、多西环素。</w:t>
      </w: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p>
    <w:p>
      <w:pPr>
        <w:numPr>
          <w:ilvl w:val="0"/>
          <w:numId w:val="0"/>
        </w:numPr>
        <w:ind w:firstLine="640" w:firstLineChars="200"/>
        <w:rPr>
          <w:rFonts w:hint="eastAsia" w:ascii="仿宋_GB2312" w:hAnsi="仿宋_GB2312" w:eastAsia="仿宋_GB2312" w:cs="仿宋_GB2312"/>
          <w:color w:val="auto"/>
          <w:kern w:val="0"/>
          <w:sz w:val="32"/>
          <w:szCs w:val="32"/>
          <w:lang w:eastAsia="zh-CN"/>
        </w:rPr>
      </w:pPr>
    </w:p>
    <w:p>
      <w:pPr>
        <w:ind w:firstLine="640" w:firstLineChars="200"/>
        <w:rPr>
          <w:rFonts w:hint="eastAsia" w:ascii="仿宋_GB2312" w:hAnsi="仿宋_GB2312" w:eastAsia="仿宋_GB2312" w:cs="仿宋_GB2312"/>
          <w:color w:val="auto"/>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313A8"/>
    <w:rsid w:val="0180631E"/>
    <w:rsid w:val="03817D85"/>
    <w:rsid w:val="04FB4C71"/>
    <w:rsid w:val="08375D41"/>
    <w:rsid w:val="0AAC5CE8"/>
    <w:rsid w:val="0AED3073"/>
    <w:rsid w:val="0B4408D2"/>
    <w:rsid w:val="12AE7A5E"/>
    <w:rsid w:val="16AF4FED"/>
    <w:rsid w:val="18960DF9"/>
    <w:rsid w:val="190A4A99"/>
    <w:rsid w:val="1BAB499E"/>
    <w:rsid w:val="1E2D16E3"/>
    <w:rsid w:val="1E756B26"/>
    <w:rsid w:val="22A860A4"/>
    <w:rsid w:val="23BC6FC5"/>
    <w:rsid w:val="27DB62F6"/>
    <w:rsid w:val="29337FB4"/>
    <w:rsid w:val="29D10A0D"/>
    <w:rsid w:val="2B0F1FAF"/>
    <w:rsid w:val="2B717253"/>
    <w:rsid w:val="2D9B257C"/>
    <w:rsid w:val="2EA8343D"/>
    <w:rsid w:val="2EB348E8"/>
    <w:rsid w:val="318D1547"/>
    <w:rsid w:val="31DC1343"/>
    <w:rsid w:val="32553658"/>
    <w:rsid w:val="327C0F72"/>
    <w:rsid w:val="341E233E"/>
    <w:rsid w:val="3D351802"/>
    <w:rsid w:val="3EB72BE7"/>
    <w:rsid w:val="414A04F0"/>
    <w:rsid w:val="42075A85"/>
    <w:rsid w:val="428B56DF"/>
    <w:rsid w:val="42FC3085"/>
    <w:rsid w:val="442F5A8A"/>
    <w:rsid w:val="44476D8B"/>
    <w:rsid w:val="47897C5F"/>
    <w:rsid w:val="48126A32"/>
    <w:rsid w:val="49565B26"/>
    <w:rsid w:val="4C5C6CD3"/>
    <w:rsid w:val="4CCB7FDD"/>
    <w:rsid w:val="4DBF6A57"/>
    <w:rsid w:val="4EB30B87"/>
    <w:rsid w:val="57106D2C"/>
    <w:rsid w:val="59E62B40"/>
    <w:rsid w:val="5AA5476A"/>
    <w:rsid w:val="5BDE5DDC"/>
    <w:rsid w:val="5BF45D88"/>
    <w:rsid w:val="5D1F53DA"/>
    <w:rsid w:val="6159339B"/>
    <w:rsid w:val="61EB1785"/>
    <w:rsid w:val="645D0563"/>
    <w:rsid w:val="654F3723"/>
    <w:rsid w:val="6569236D"/>
    <w:rsid w:val="6A416707"/>
    <w:rsid w:val="6B9C58CA"/>
    <w:rsid w:val="6F2A32C2"/>
    <w:rsid w:val="70F90203"/>
    <w:rsid w:val="73CF3431"/>
    <w:rsid w:val="7C607D0B"/>
    <w:rsid w:val="7E383103"/>
    <w:rsid w:val="7EFD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止欲～</cp:lastModifiedBy>
  <dcterms:modified xsi:type="dcterms:W3CDTF">2020-08-03T08:44:07Z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