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黑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一、饮料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（一）相关标准依据</w:t>
      </w:r>
    </w:p>
    <w:p>
      <w:pPr>
        <w:widowControl/>
        <w:spacing w:line="52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《食品安全国家标准 食品添加剂使用标准》（GB 2760—2014）、《食品安全国家标准 食品中污染物限量》（GB 2762—2017）、《食品安全国家标准 饮用天然矿泉水》（GB 8537—2018）、《食品安全国家标准 饮料》（GB 7101—2015）、《食品安全国家标准 食品中致病菌限量》（GB 29921—2013）、《食品安全国家标准 包装饮用水》（GB 19298—2014）等标准及产品明示标准和质量要求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1.饮用天然矿泉水抽检项目为：界限指标、镍、锑、溴酸盐、硝酸盐（以NO</w:t>
      </w:r>
      <w:r>
        <w:rPr>
          <w:rFonts w:eastAsia="仿宋_GB2312"/>
          <w:sz w:val="32"/>
          <w:szCs w:val="32"/>
          <w:vertAlign w:val="subscript"/>
        </w:rPr>
        <w:t>3</w:t>
      </w:r>
      <w:r>
        <w:rPr>
          <w:rFonts w:eastAsia="仿宋_GB2312"/>
          <w:sz w:val="32"/>
          <w:szCs w:val="32"/>
        </w:rPr>
        <w:t>-计）、亚硝酸盐（以NO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-计）、大肠菌群、粪链球菌、产气荚膜梭菌、铜绿假单胞菌。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2.饮用纯净水抽检项目为：耗氧量（以O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计）、亚硝酸盐（以NO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-计）、余氯（游离氯）、三氯甲烷、溴酸盐、大肠菌群、铜绿假单胞菌。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3.蛋白饮料抽检项目为：蛋白质、三聚氰胺、糖精钠（以糖精计）、甜蜜素（以环己基氨基磺酸计）、菌落总数、大肠菌群、金黄色葡萄球菌、沙门氏菌。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固体饮料抽检项目为：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其他饮料抽检项目为：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霉菌、酵母、金黄色葡萄球菌、沙门氏菌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6.其他饮用水抽检项目为：浑浊度、耗氧量（以O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计）、亚硝酸盐（以NO</w:t>
      </w:r>
      <w:r>
        <w:rPr>
          <w:rFonts w:eastAsia="仿宋_GB2312"/>
          <w:sz w:val="32"/>
          <w:szCs w:val="32"/>
          <w:vertAlign w:val="subscript"/>
        </w:rPr>
        <w:t>2</w:t>
      </w:r>
      <w:r>
        <w:rPr>
          <w:rFonts w:eastAsia="仿宋_GB2312"/>
          <w:sz w:val="32"/>
          <w:szCs w:val="32"/>
        </w:rPr>
        <w:t>-计）、余氯（游离氯）、三氯甲烷、溴酸盐、大肠菌群、铜绿假单胞菌。</w:t>
      </w:r>
    </w:p>
    <w:p>
      <w:pPr>
        <w:spacing w:line="520" w:lineRule="exact"/>
        <w:ind w:firstLine="640" w:firstLineChars="20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二、食用农产品</w:t>
      </w:r>
    </w:p>
    <w:p>
      <w:pPr>
        <w:tabs>
          <w:tab w:val="right" w:pos="8306"/>
        </w:tabs>
        <w:spacing w:line="520" w:lineRule="exact"/>
        <w:ind w:firstLine="640" w:firstLineChars="200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（一）相关标准依据</w:t>
      </w:r>
    </w:p>
    <w:p>
      <w:pPr>
        <w:pStyle w:val="2"/>
        <w:spacing w:line="520" w:lineRule="exact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 xml:space="preserve">    《食品安全国家标准 食品添加剂使用标准》（GB 2760—2014）、《食品安全国家标准 食品中污染物限量》（GB 2762—2017）、《食品安全国家标准 食品中农药最大残留限量》（GB 2763—2019）、《国家食品药品监督管理总局 农业部 国家卫生和计划生育委员会关于豆芽生产过程中禁止使用6-苄基腺嘌呤等物质的公告》（2015年第11号）等标准及产品明示标准和质量要求。</w:t>
      </w:r>
    </w:p>
    <w:p>
      <w:pPr>
        <w:widowControl/>
        <w:spacing w:line="520" w:lineRule="exact"/>
        <w:ind w:firstLine="640" w:firstLineChars="200"/>
        <w:jc w:val="left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（二）检验项目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1.豆芽抽检项目为：铅（以Pb计）、亚硫酸盐（以SO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计）、4-氯苯氧乙酸钠、6-苄基腺嘌呤（6-BA）。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2.菜豆抽检项目为：氧乐果、克百威、多菌灵、氯氟氰菊酯和高效氯氟氰菊酯、溴氰菊酯、涕灭威、灭蝇胺、氟虫腈、甲胺磷、倍硫磷、治螟磷。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3.大白菜抽检项目为：毒死蜱、氧乐果、啶虫脒、甲胺磷、氟虫腈、阿维菌素、涕灭威、久效磷、克百威、水胺硫磷、硫线磷、甲基异柳磷、甲拌磷、唑虫酰胺。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4.番茄抽检项目为：氧乐果、克百威、氯氟氰菊酯和高效氯氟氰菊酯、毒死蜱、敌敌畏、溴氰菊酯、甲氨基阿维菌素苯甲酸盐、氯氰菊酯和高效氯氰菊酯、苯醚甲环唑、灭线磷。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5.黄瓜抽检项目为：克百威、氧乐果、多菌灵、毒死蜱、腐霉利、哒螨灵、敌敌畏、甲氨基阿维菌素苯甲酸盐、氟虫腈、氯氟氰菊酯和高效氯氟氰菊酯、异丙威、三唑酮、甲霜灵和精甲霜灵、噻虫嗪、乙螨唑。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6.姜抽检项目为：铅（以Pb计）、镉（以Cd计）、噻虫嗪、吡虫啉、甲拌磷、甲胺磷、氟虫腈、氧乐果、克百威、氯氟氰菊酯和高效氯氟氰菊酯、氯氰菊酯和高效氯氰菊酯。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7.豇豆抽检项目为：克百威、氧乐果、水胺硫磷、灭蝇胺、氟虫腈、阿维菌素、甲基异柳磷、氯氰菊酯和高效氯氰菊酯、氯氟氰菊酯和高效氯氟氰菊酯、甲胺磷、氯唑磷、倍硫磷、灭多威、甲拌磷。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8.韭菜抽检项目为：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9.茄子抽检项目为：镉（以Cd计）、氧乐果、克百威、杀扑磷、甲胺磷、水胺硫磷、氟虫腈、氯唑磷、甲拌磷、甲氰菊酯、霜霉威和霜霉威盐酸盐。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10.鲜食用菌抽检项目为：镉（以Cd计）、二氧化硫残留量、氯氰菊酯和高效氯氰菊酯、氯氟氰菊酯和高效氯氟氰菊酯。</w:t>
      </w:r>
    </w:p>
    <w:p>
      <w:pPr>
        <w:pStyle w:val="2"/>
        <w:spacing w:line="52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11.油麦菜抽检项目为：氟虫腈、氧乐果、克百威、灭多威、甲胺磷、乙酰甲胺磷、甲拌磷、甲基异柳磷、杀扑磷、氯氟氰菊酯和高效氯氟氰菊酯、氯唑磷。</w:t>
      </w:r>
    </w:p>
    <w:p>
      <w:pPr>
        <w:pStyle w:val="2"/>
        <w:spacing w:line="520" w:lineRule="exact"/>
        <w:rPr>
          <w:rFonts w:ascii="Times New Roman" w:cs="Times New Roman"/>
          <w:sz w:val="32"/>
          <w:szCs w:val="32"/>
        </w:rPr>
      </w:pPr>
    </w:p>
    <w:p>
      <w:pPr>
        <w:pStyle w:val="2"/>
        <w:rPr>
          <w:rFonts w:ascii="Times New Roman" w:cs="Times New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830"/>
        <w:tab w:val="right" w:pos="8844"/>
      </w:tabs>
      <w:jc w:val="right"/>
      <w:rPr>
        <w:rFonts w:hint="eastAsia"/>
        <w:kern w:val="28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7830"/>
                              <w:tab w:val="right" w:pos="8844"/>
                            </w:tabs>
                            <w:jc w:val="right"/>
                          </w:pP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pacing w:val="40"/>
                              <w:kern w:val="2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eastAsia="仿宋_GB2312"/>
                              <w:kern w:val="2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pacing w:val="40"/>
                              <w:kern w:val="2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28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7830"/>
                        <w:tab w:val="right" w:pos="8844"/>
                      </w:tabs>
                      <w:jc w:val="right"/>
                    </w:pPr>
                    <w:r>
                      <w:rPr>
                        <w:kern w:val="28"/>
                        <w:sz w:val="28"/>
                        <w:szCs w:val="28"/>
                      </w:rPr>
                      <w:tab/>
                    </w:r>
                    <w:r>
                      <w:rPr>
                        <w:kern w:val="28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pacing w:val="40"/>
                        <w:kern w:val="2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t>7</w:t>
                    </w:r>
                    <w:r>
                      <w:rPr>
                        <w:rFonts w:eastAsia="仿宋_GB2312"/>
                        <w:kern w:val="2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pacing w:val="40"/>
                        <w:kern w:val="2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28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left="4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right="560"/>
      <w:rPr>
        <w:rFonts w:hint="eastAsia"/>
        <w:kern w:val="28"/>
        <w:sz w:val="28"/>
        <w:szCs w:val="28"/>
      </w:rPr>
    </w:pPr>
    <w:r>
      <w:rPr>
        <w:kern w:val="28"/>
        <w:sz w:val="28"/>
        <w:szCs w:val="28"/>
      </w:rPr>
      <w:t>—</w:t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fldChar w:fldCharType="begin"/>
    </w:r>
    <w:r>
      <w:rPr>
        <w:kern w:val="28"/>
        <w:sz w:val="28"/>
        <w:szCs w:val="28"/>
      </w:rPr>
      <w:instrText xml:space="preserve"> PAGE </w:instrText>
    </w:r>
    <w:r>
      <w:rPr>
        <w:kern w:val="28"/>
        <w:sz w:val="28"/>
        <w:szCs w:val="28"/>
      </w:rPr>
      <w:fldChar w:fldCharType="separate"/>
    </w:r>
    <w:r>
      <w:rPr>
        <w:kern w:val="28"/>
        <w:sz w:val="28"/>
        <w:szCs w:val="28"/>
      </w:rPr>
      <w:t>12</w:t>
    </w:r>
    <w:r>
      <w:rPr>
        <w:kern w:val="28"/>
        <w:sz w:val="28"/>
        <w:szCs w:val="28"/>
      </w:rPr>
      <w:fldChar w:fldCharType="end"/>
    </w:r>
    <w:r>
      <w:rPr>
        <w:rFonts w:hint="eastAsia"/>
        <w:spacing w:val="40"/>
        <w:kern w:val="28"/>
        <w:sz w:val="28"/>
        <w:szCs w:val="28"/>
      </w:rPr>
      <w:t xml:space="preserve"> </w:t>
    </w:r>
    <w:r>
      <w:rPr>
        <w:kern w:val="28"/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56A96"/>
    <w:rsid w:val="0BA552BF"/>
    <w:rsid w:val="1BE55EBB"/>
    <w:rsid w:val="41AC453A"/>
    <w:rsid w:val="6A274A52"/>
    <w:rsid w:val="6BFD4703"/>
    <w:rsid w:val="796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2020-08-13T02:50:22Z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