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pStyle w:val="18"/>
        <w:keepNext w:val="0"/>
        <w:keepLines w:val="0"/>
        <w:pageBreakBefore w:val="0"/>
        <w:kinsoku/>
        <w:wordWrap/>
        <w:overflowPunct/>
        <w:topLinePunct w:val="0"/>
        <w:autoSpaceDE/>
        <w:autoSpaceDN/>
        <w:bidi w:val="0"/>
        <w:spacing w:line="590" w:lineRule="exact"/>
        <w:ind w:left="420" w:firstLine="296" w:firstLineChars="100"/>
        <w:textAlignment w:val="auto"/>
        <w:rPr>
          <w:rFonts w:hint="default" w:eastAsia="黑体"/>
          <w:color w:val="auto"/>
          <w:spacing w:val="-12"/>
          <w:sz w:val="32"/>
          <w:szCs w:val="32"/>
          <w:lang w:val="en-US" w:eastAsia="zh-CN"/>
        </w:rPr>
      </w:pPr>
      <w:r>
        <w:rPr>
          <w:rFonts w:hint="eastAsia" w:eastAsia="黑体"/>
          <w:color w:val="auto"/>
          <w:spacing w:val="-12"/>
          <w:sz w:val="32"/>
          <w:szCs w:val="32"/>
          <w:lang w:val="en-US" w:eastAsia="zh-CN"/>
        </w:rPr>
        <w:t>一、脱氢乙酸及其钠盐</w:t>
      </w:r>
    </w:p>
    <w:p>
      <w:pPr>
        <w:numPr>
          <w:ilvl w:val="0"/>
          <w:numId w:val="0"/>
        </w:numPr>
        <w:spacing w:line="600" w:lineRule="exact"/>
        <w:ind w:firstLine="640" w:firstLineChars="200"/>
        <w:rPr>
          <w:rFonts w:hint="eastAsia" w:ascii="仿宋_GB2312" w:hAnsi="ˎ̥" w:eastAsia="仿宋_GB2312" w:cs="Arial"/>
          <w:sz w:val="32"/>
          <w:szCs w:val="32"/>
          <w:lang w:val="en-US" w:eastAsia="zh-CN"/>
        </w:rPr>
      </w:pPr>
      <w:r>
        <w:rPr>
          <w:rFonts w:hint="eastAsia" w:ascii="仿宋_GB2312" w:hAnsi="ˎ̥" w:eastAsia="仿宋_GB2312" w:cs="Arial"/>
          <w:sz w:val="32"/>
          <w:szCs w:val="32"/>
        </w:rPr>
        <w:t>脱氢乙酸及其钠盐作为食品添加剂，广泛用作防腐剂，对霉菌具有较强的抑制作用。《食品安全国家标准 食品添加剂使用标准》（GB 2760—2014）中规定</w:t>
      </w:r>
      <w:r>
        <w:rPr>
          <w:rFonts w:hint="eastAsia" w:ascii="仿宋_GB2312" w:hAnsi="ˎ̥" w:eastAsia="仿宋_GB2312" w:cs="Arial"/>
          <w:sz w:val="32"/>
          <w:szCs w:val="32"/>
          <w:lang w:eastAsia="zh-CN"/>
        </w:rPr>
        <w:t>糕点</w:t>
      </w:r>
      <w:r>
        <w:rPr>
          <w:rFonts w:hint="eastAsia" w:ascii="仿宋_GB2312" w:hAnsi="ˎ̥" w:eastAsia="仿宋_GB2312" w:cs="Arial"/>
          <w:sz w:val="32"/>
          <w:szCs w:val="32"/>
        </w:rPr>
        <w:t>中脱氢乙酸及其钠盐</w:t>
      </w:r>
      <w:r>
        <w:rPr>
          <w:rFonts w:hint="eastAsia" w:ascii="仿宋_GB2312" w:hAnsi="ˎ̥" w:eastAsia="仿宋_GB2312" w:cs="Arial"/>
          <w:sz w:val="32"/>
          <w:szCs w:val="32"/>
          <w:lang w:eastAsia="zh-CN"/>
        </w:rPr>
        <w:t>不超过0.5g/kg</w:t>
      </w:r>
      <w:r>
        <w:rPr>
          <w:rFonts w:hint="eastAsia" w:ascii="仿宋_GB2312" w:hAnsi="ˎ̥" w:eastAsia="仿宋_GB2312" w:cs="Arial"/>
          <w:sz w:val="32"/>
          <w:szCs w:val="32"/>
        </w:rPr>
        <w:t>。长期大量食用脱氢乙酸及其钠盐超标</w:t>
      </w:r>
      <w:r>
        <w:rPr>
          <w:rFonts w:hint="eastAsia" w:ascii="仿宋_GB2312" w:hAnsi="ˎ̥" w:eastAsia="仿宋_GB2312" w:cs="Arial"/>
          <w:sz w:val="32"/>
          <w:szCs w:val="32"/>
          <w:lang w:val="en-US" w:eastAsia="zh-CN"/>
        </w:rPr>
        <w:t>产品，可能对人体健康产生一定影响。</w:t>
      </w:r>
    </w:p>
    <w:p>
      <w:pPr>
        <w:spacing w:line="600" w:lineRule="exact"/>
        <w:ind w:firstLine="592" w:firstLineChars="200"/>
        <w:rPr>
          <w:rFonts w:hint="eastAsia" w:ascii="黑体" w:hAnsi="黑体" w:eastAsia="黑体"/>
          <w:color w:val="auto"/>
          <w:sz w:val="32"/>
          <w:szCs w:val="32"/>
          <w:lang w:val="en-US" w:eastAsia="zh-CN"/>
        </w:rPr>
      </w:pPr>
      <w:r>
        <w:rPr>
          <w:rFonts w:hint="eastAsia" w:eastAsia="黑体"/>
          <w:color w:val="auto"/>
          <w:spacing w:val="-12"/>
          <w:sz w:val="32"/>
          <w:szCs w:val="32"/>
          <w:lang w:val="en-US" w:eastAsia="zh-CN"/>
        </w:rPr>
        <w:t>二、</w:t>
      </w:r>
      <w:r>
        <w:rPr>
          <w:rFonts w:hint="eastAsia" w:ascii="黑体" w:hAnsi="黑体" w:eastAsia="黑体"/>
          <w:color w:val="auto"/>
          <w:sz w:val="32"/>
          <w:szCs w:val="32"/>
          <w:lang w:val="en-US" w:eastAsia="zh-CN"/>
        </w:rPr>
        <w:t>防腐剂各自用量占其最大使用量比例之和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23"/>
          <w:sz w:val="21"/>
          <w:szCs w:val="21"/>
        </w:rPr>
      </w:pPr>
      <w:r>
        <w:rPr>
          <w:rFonts w:hint="eastAsia" w:ascii="Microsoft YaHei UI" w:hAnsi="Microsoft YaHei UI" w:eastAsia="Microsoft YaHei UI" w:cs="Microsoft YaHei UI"/>
          <w:b w:val="0"/>
          <w:i w:val="0"/>
          <w:caps w:val="0"/>
          <w:color w:val="auto"/>
          <w:spacing w:val="23"/>
          <w:sz w:val="21"/>
          <w:szCs w:val="21"/>
          <w:shd w:val="clear" w:fill="FEFEFE"/>
        </w:rPr>
        <w:t xml:space="preserve">  </w:t>
      </w:r>
      <w:r>
        <w:rPr>
          <w:rFonts w:hint="eastAsia" w:ascii="仿宋_GB2312" w:eastAsia="仿宋_GB2312" w:hAnsiTheme="minorHAnsi" w:cstheme="minorBidi"/>
          <w:color w:val="auto"/>
          <w:kern w:val="2"/>
          <w:sz w:val="32"/>
          <w:szCs w:val="32"/>
          <w:lang w:val="en-US" w:eastAsia="zh-CN" w:bidi="ar-SA"/>
        </w:rPr>
        <w:t>  防腐剂是指天然或合成的化学成分，用于加入食品以延迟微生物生长或化学变化引起的腐败。国家标准《食品安全国家标准 食品添加剂使用标准》（GB 2760—2014）中规定，防腐剂在混合使用时，各自用量占其最大使用量的比例之和不应超过 1。糕点中防腐剂各自用量占其最大使用量比例之和超标的原因，可能是企业在生产加工过程中未严格控制各防腐剂的用量造成的。防腐剂使用不当会有一定副效应，长期过量摄入可能会对消费者的身体健康造成一定损害。</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、过氧化值</w:t>
      </w:r>
    </w:p>
    <w:p>
      <w:pPr>
        <w:spacing w:line="600" w:lineRule="exact"/>
        <w:ind w:firstLine="640" w:firstLineChars="200"/>
        <w:rPr>
          <w:rFonts w:ascii="仿宋_GB2312" w:eastAsia="仿宋_GB2312"/>
          <w:color w:val="auto"/>
          <w:sz w:val="32"/>
          <w:szCs w:val="32"/>
        </w:rPr>
      </w:pPr>
      <w:r>
        <w:rPr>
          <w:rFonts w:ascii="仿宋_GB2312" w:hAnsi="宋体" w:eastAsia="仿宋_GB2312"/>
          <w:color w:val="auto"/>
          <w:kern w:val="0"/>
          <w:sz w:val="32"/>
          <w:szCs w:val="32"/>
        </w:rPr>
        <w:t>过氧化值主要反映</w:t>
      </w:r>
      <w:r>
        <w:rPr>
          <w:rFonts w:hint="eastAsia" w:ascii="仿宋_GB2312" w:hAnsi="宋体" w:eastAsia="仿宋_GB2312"/>
          <w:color w:val="auto"/>
          <w:kern w:val="0"/>
          <w:sz w:val="32"/>
          <w:szCs w:val="32"/>
        </w:rPr>
        <w:t>食品中</w:t>
      </w:r>
      <w:r>
        <w:rPr>
          <w:rFonts w:ascii="仿宋_GB2312" w:hAnsi="宋体" w:eastAsia="仿宋_GB2312"/>
          <w:color w:val="auto"/>
          <w:kern w:val="0"/>
          <w:sz w:val="32"/>
          <w:szCs w:val="32"/>
        </w:rPr>
        <w:t>油脂是否氧化变质</w:t>
      </w:r>
      <w:r>
        <w:rPr>
          <w:rFonts w:hint="eastAsia" w:ascii="仿宋_GB2312" w:hAnsi="宋体" w:eastAsia="仿宋_GB2312"/>
          <w:color w:val="auto"/>
          <w:kern w:val="0"/>
          <w:sz w:val="32"/>
          <w:szCs w:val="32"/>
        </w:rPr>
        <w:t>，</w:t>
      </w:r>
      <w:r>
        <w:rPr>
          <w:rFonts w:ascii="仿宋_GB2312" w:hAnsi="宋体" w:eastAsia="仿宋_GB2312"/>
          <w:color w:val="auto"/>
          <w:kern w:val="0"/>
          <w:sz w:val="32"/>
          <w:szCs w:val="32"/>
        </w:rPr>
        <w:t>随着油脂氧化，过氧化值会逐步升高</w:t>
      </w:r>
      <w:r>
        <w:rPr>
          <w:rFonts w:hint="eastAsia" w:ascii="仿宋_GB2312" w:hAnsi="宋体" w:eastAsia="仿宋_GB2312"/>
          <w:color w:val="auto"/>
          <w:kern w:val="0"/>
          <w:sz w:val="32"/>
          <w:szCs w:val="32"/>
        </w:rPr>
        <w:t>。</w:t>
      </w:r>
      <w:r>
        <w:rPr>
          <w:rFonts w:ascii="仿宋_GB2312" w:eastAsia="仿宋_GB2312"/>
          <w:color w:val="auto"/>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color w:val="auto"/>
          <w:kern w:val="0"/>
          <w:sz w:val="32"/>
          <w:szCs w:val="32"/>
        </w:rPr>
        <w:t>过氧化值一般不会对人体的健康产生损害，但严重时会导致肠胃不适、腹泻等症状。</w:t>
      </w:r>
    </w:p>
    <w:p>
      <w:pPr>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、大肠菌群</w:t>
      </w:r>
    </w:p>
    <w:p>
      <w:pPr>
        <w:keepNext w:val="0"/>
        <w:keepLines w:val="0"/>
        <w:widowControl/>
        <w:suppressLineNumbers w:val="0"/>
        <w:ind w:firstLine="640" w:firstLineChars="200"/>
        <w:jc w:val="left"/>
        <w:rPr>
          <w:rFonts w:hint="eastAsia" w:ascii="仿宋_GB2312" w:eastAsia="仿宋_GB2312"/>
          <w:sz w:val="32"/>
          <w:szCs w:val="32"/>
        </w:rPr>
      </w:pPr>
      <w:r>
        <w:rPr>
          <w:rFonts w:hint="eastAsia" w:ascii="仿宋_GB2312" w:eastAsia="仿宋_GB2312"/>
          <w:color w:val="auto"/>
          <w:sz w:val="32"/>
          <w:szCs w:val="32"/>
        </w:rPr>
        <w:t>大肠菌群是国内外通用的食品污染常用指示菌之一。食品中检出大肠菌</w:t>
      </w:r>
      <w:r>
        <w:rPr>
          <w:rFonts w:hint="eastAsia" w:ascii="仿宋_GB2312" w:eastAsia="仿宋_GB2312"/>
          <w:sz w:val="32"/>
          <w:szCs w:val="32"/>
        </w:rPr>
        <w:t>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pPr>
        <w:spacing w:line="594" w:lineRule="exact"/>
        <w:ind w:firstLine="592" w:firstLineChars="200"/>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lang w:val="en-US" w:eastAsia="zh-CN"/>
        </w:rPr>
        <w:t>五</w:t>
      </w:r>
      <w:r>
        <w:rPr>
          <w:rFonts w:ascii="Times New Roman" w:hAnsi="Times New Roman" w:eastAsia="黑体" w:cs="Times New Roman"/>
          <w:spacing w:val="-12"/>
          <w:sz w:val="32"/>
          <w:szCs w:val="32"/>
        </w:rPr>
        <w:t>、氧氟沙星</w:t>
      </w:r>
    </w:p>
    <w:p>
      <w:pPr>
        <w:spacing w:line="59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氧氟沙星属于氟喹诺酮类药物，因抗菌谱广、抗菌活性强等曾被广泛用于畜禽细菌性疾病的治疗和预防。《发布在食品动物中停止使用洛美沙星、培氟沙星、氧氟沙星、诺氟沙星4种兽药的决定》（农业部公告 第2292号）中规定，在食品动物中停止使用氧氟沙星（</w:t>
      </w:r>
      <w:r>
        <w:rPr>
          <w:rFonts w:hint="eastAsia" w:ascii="Times New Roman" w:hAnsi="Times New Roman" w:eastAsia="仿宋_GB2312" w:cs="Times New Roman"/>
          <w:sz w:val="32"/>
          <w:szCs w:val="32"/>
        </w:rPr>
        <w:t>食品动物中不得检出</w:t>
      </w:r>
      <w:r>
        <w:rPr>
          <w:rFonts w:ascii="Times New Roman" w:hAnsi="Times New Roman" w:eastAsia="仿宋_GB2312" w:cs="Times New Roman"/>
          <w:sz w:val="32"/>
          <w:szCs w:val="32"/>
        </w:rPr>
        <w:t>）。鱼中检出氧氟沙星</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，可能是养殖户在养殖过程中违规使用相关兽药</w:t>
      </w:r>
      <w:r>
        <w:rPr>
          <w:rFonts w:hint="eastAsia" w:ascii="Times New Roman" w:hAnsi="Times New Roman" w:eastAsia="仿宋_GB2312" w:cs="Times New Roman"/>
          <w:sz w:val="32"/>
          <w:szCs w:val="32"/>
        </w:rPr>
        <w:t>。</w:t>
      </w:r>
    </w:p>
    <w:p>
      <w:pPr>
        <w:spacing w:line="594" w:lineRule="exact"/>
        <w:ind w:firstLine="592" w:firstLineChars="200"/>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lang w:val="en-US" w:eastAsia="zh-CN"/>
        </w:rPr>
        <w:t>六</w:t>
      </w:r>
      <w:r>
        <w:rPr>
          <w:rFonts w:ascii="Times New Roman" w:hAnsi="Times New Roman" w:eastAsia="黑体" w:cs="Times New Roman"/>
          <w:spacing w:val="-12"/>
          <w:sz w:val="32"/>
          <w:szCs w:val="32"/>
        </w:rPr>
        <w:t>、恩诺沙星</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恩诺沙星属于氟喹诺酮类药物，是一类人工合成的广谱抗菌药，用于治疗动物的皮肤感染、呼吸道感染等，是动物专属用药。</w:t>
      </w:r>
      <w:r>
        <w:rPr>
          <w:rFonts w:hint="eastAsia" w:ascii="Times New Roman" w:hAnsi="Times New Roman" w:eastAsia="仿宋_GB2312" w:cs="Times New Roman"/>
          <w:sz w:val="32"/>
          <w:szCs w:val="32"/>
          <w:lang w:val="en-US" w:eastAsia="zh-CN"/>
        </w:rPr>
        <w:t>小黄鱼</w:t>
      </w:r>
      <w:r>
        <w:rPr>
          <w:rFonts w:ascii="Times New Roman" w:hAnsi="Times New Roman" w:eastAsia="仿宋_GB2312" w:cs="Times New Roman"/>
          <w:sz w:val="32"/>
          <w:szCs w:val="32"/>
        </w:rPr>
        <w:t>中恩诺沙星超标</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可能是养殖户在养殖过程中违规使用相关兽药。摄入恩诺沙星超标的食品，可能引起头晕、头痛、睡眠不良、胃肠道不适等症状，甚至还可能引起肝损害。</w:t>
      </w:r>
    </w:p>
    <w:p>
      <w:pPr>
        <w:spacing w:line="594"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rPr>
        <w:t>、酒精度</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酒精度又叫酒度，是指在20℃时，100毫升酒中含有乙醇（酒精）的毫升数，即体积（容量）的百分数。酒精度实测值与产品标签明示要求允许差为±1.0%vol，其含量应符合相关要求。酒精度未达到产品标签明示要求的原因，可能是包装不严密造成酒精挥发；还可能是企业用低度酒冒充高度酒。</w:t>
      </w:r>
    </w:p>
    <w:p>
      <w:pPr>
        <w:spacing w:line="594" w:lineRule="exact"/>
        <w:ind w:firstLine="640" w:firstLineChars="200"/>
        <w:textAlignment w:val="baseline"/>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阴离子合成洗涤剂</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阴离子合成洗涤剂，即我们日常生活中经常用到的洗衣粉、洗洁精、洗衣液、肥皂等洗涤剂的主要成分，其主要成分十二烷基磺酸钠，是一种低毒物质，在消毒企业中广泛使用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spacing w:line="594" w:lineRule="exact"/>
        <w:ind w:firstLine="640" w:firstLineChars="200"/>
        <w:textAlignment w:val="baseline"/>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eastAsia" w:ascii="Times New Roman" w:hAnsi="Times New Roman" w:eastAsia="黑体" w:cs="Times New Roman"/>
          <w:sz w:val="32"/>
          <w:szCs w:val="32"/>
          <w:lang w:val="en-US" w:eastAsia="zh-CN"/>
        </w:rPr>
        <w:t>乙基麦芽酚</w:t>
      </w:r>
    </w:p>
    <w:p>
      <w:pPr>
        <w:spacing w:line="594" w:lineRule="exact"/>
        <w:ind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乙基麦芽酚是一种香味增</w:t>
      </w:r>
      <w:r>
        <w:rPr>
          <w:rFonts w:hint="eastAsia" w:ascii="Times New Roman" w:hAnsi="Times New Roman" w:eastAsia="仿宋_GB2312" w:cs="Times New Roman"/>
          <w:kern w:val="2"/>
          <w:sz w:val="32"/>
          <w:szCs w:val="32"/>
          <w:lang w:val="en-US" w:eastAsia="zh-CN" w:bidi="ar-SA"/>
        </w:rPr>
        <w:t>效剂，对食品的香味改善和增强具有显著效果，且能延长食品的储存期。《食品安全国家标准 食品添加剂使用标准》（GB2760）规定：植物油脂、动物油脂（包括猪油、牛油、鱼油和其他动物脂肪等）不得添加食品用香料、香精。</w:t>
      </w:r>
      <w:bookmarkStart w:id="0" w:name="_GoBack"/>
      <w:bookmarkEnd w:id="0"/>
      <w:r>
        <w:rPr>
          <w:rFonts w:hint="eastAsia" w:ascii="Times New Roman" w:hAnsi="Times New Roman" w:eastAsia="仿宋_GB2312" w:cs="Times New Roman"/>
          <w:kern w:val="2"/>
          <w:sz w:val="32"/>
          <w:szCs w:val="32"/>
          <w:lang w:val="en-US" w:eastAsia="zh-CN" w:bidi="ar-SA"/>
        </w:rPr>
        <w:t>过量食用乙基麦芽酚会对肝脏有影响，可能会导致头痛、恶心、呕吐等。</w:t>
      </w:r>
    </w:p>
    <w:p>
      <w:pPr>
        <w:spacing w:line="600" w:lineRule="exact"/>
        <w:ind w:firstLine="645"/>
        <w:rPr>
          <w:rFonts w:hint="eastAsia" w:ascii="Times New Roman" w:hAnsi="Times New Roman" w:eastAsia="仿宋_GB2312"/>
          <w:sz w:val="32"/>
          <w:szCs w:val="32"/>
        </w:rPr>
      </w:pPr>
    </w:p>
    <w:p>
      <w:pPr>
        <w:adjustRightInd w:val="0"/>
        <w:snapToGrid w:val="0"/>
        <w:spacing w:line="594" w:lineRule="exact"/>
        <w:ind w:firstLine="640" w:firstLineChars="200"/>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0B1D8D"/>
    <w:rsid w:val="0C705556"/>
    <w:rsid w:val="0CCE6341"/>
    <w:rsid w:val="0D4279C5"/>
    <w:rsid w:val="0D852F3F"/>
    <w:rsid w:val="0DE12CCF"/>
    <w:rsid w:val="0E284B04"/>
    <w:rsid w:val="0EC12409"/>
    <w:rsid w:val="0F751D38"/>
    <w:rsid w:val="0F8E03D8"/>
    <w:rsid w:val="0FC01C62"/>
    <w:rsid w:val="1034205B"/>
    <w:rsid w:val="104362FC"/>
    <w:rsid w:val="107C1AA5"/>
    <w:rsid w:val="11F95E33"/>
    <w:rsid w:val="12F708C4"/>
    <w:rsid w:val="14FB2159"/>
    <w:rsid w:val="153E37EC"/>
    <w:rsid w:val="155E31D5"/>
    <w:rsid w:val="15F30177"/>
    <w:rsid w:val="164271B3"/>
    <w:rsid w:val="16C74C86"/>
    <w:rsid w:val="16E15A77"/>
    <w:rsid w:val="172A0F96"/>
    <w:rsid w:val="17BC2306"/>
    <w:rsid w:val="18165D76"/>
    <w:rsid w:val="187D413F"/>
    <w:rsid w:val="18B93A69"/>
    <w:rsid w:val="18CE1A06"/>
    <w:rsid w:val="19D1085A"/>
    <w:rsid w:val="1A6251F7"/>
    <w:rsid w:val="1ACE2642"/>
    <w:rsid w:val="1BAD4A7C"/>
    <w:rsid w:val="1C1845BD"/>
    <w:rsid w:val="1CB27E9B"/>
    <w:rsid w:val="1DAD3FFF"/>
    <w:rsid w:val="1DFF41B9"/>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C2746"/>
    <w:rsid w:val="26A0668D"/>
    <w:rsid w:val="26AB6C21"/>
    <w:rsid w:val="26DF3697"/>
    <w:rsid w:val="27332D86"/>
    <w:rsid w:val="27727CA4"/>
    <w:rsid w:val="27F74C72"/>
    <w:rsid w:val="28600ED5"/>
    <w:rsid w:val="28B77FCD"/>
    <w:rsid w:val="28E51ADB"/>
    <w:rsid w:val="290E4770"/>
    <w:rsid w:val="2A066B4A"/>
    <w:rsid w:val="2A0F4184"/>
    <w:rsid w:val="2A14107F"/>
    <w:rsid w:val="2AB22B74"/>
    <w:rsid w:val="2B1206C2"/>
    <w:rsid w:val="2C243C54"/>
    <w:rsid w:val="2D7D65C0"/>
    <w:rsid w:val="2EE02088"/>
    <w:rsid w:val="2EEE4150"/>
    <w:rsid w:val="2F192827"/>
    <w:rsid w:val="2F6C5736"/>
    <w:rsid w:val="2F8746A4"/>
    <w:rsid w:val="2F9200D3"/>
    <w:rsid w:val="3036111F"/>
    <w:rsid w:val="30C52F74"/>
    <w:rsid w:val="31390AFB"/>
    <w:rsid w:val="31727237"/>
    <w:rsid w:val="31E4442C"/>
    <w:rsid w:val="31F75EEE"/>
    <w:rsid w:val="320944EF"/>
    <w:rsid w:val="32671426"/>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A937552"/>
    <w:rsid w:val="3AA9213C"/>
    <w:rsid w:val="3B6949B8"/>
    <w:rsid w:val="3B932D55"/>
    <w:rsid w:val="3C52405A"/>
    <w:rsid w:val="3C87360C"/>
    <w:rsid w:val="3D625FAB"/>
    <w:rsid w:val="3D7846F0"/>
    <w:rsid w:val="3D8F3232"/>
    <w:rsid w:val="3E3A3BD1"/>
    <w:rsid w:val="3E793D02"/>
    <w:rsid w:val="3E974FD9"/>
    <w:rsid w:val="3F944EF2"/>
    <w:rsid w:val="40787187"/>
    <w:rsid w:val="40B86FDC"/>
    <w:rsid w:val="40D0460A"/>
    <w:rsid w:val="40F91F4F"/>
    <w:rsid w:val="41D76D12"/>
    <w:rsid w:val="420E6C2D"/>
    <w:rsid w:val="42400E64"/>
    <w:rsid w:val="425665EF"/>
    <w:rsid w:val="426A0D65"/>
    <w:rsid w:val="43842684"/>
    <w:rsid w:val="43C70ADF"/>
    <w:rsid w:val="44F63D12"/>
    <w:rsid w:val="45B97969"/>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C17233"/>
    <w:rsid w:val="51896A13"/>
    <w:rsid w:val="51FD239C"/>
    <w:rsid w:val="52941F38"/>
    <w:rsid w:val="52A6769D"/>
    <w:rsid w:val="53DD4918"/>
    <w:rsid w:val="5473169E"/>
    <w:rsid w:val="550115C8"/>
    <w:rsid w:val="554D75AB"/>
    <w:rsid w:val="55515C48"/>
    <w:rsid w:val="55BE0029"/>
    <w:rsid w:val="566F178F"/>
    <w:rsid w:val="583D6A55"/>
    <w:rsid w:val="58C52A1E"/>
    <w:rsid w:val="5900754B"/>
    <w:rsid w:val="591702CA"/>
    <w:rsid w:val="59203A01"/>
    <w:rsid w:val="59A56ED4"/>
    <w:rsid w:val="5AF17BBB"/>
    <w:rsid w:val="5B7936AC"/>
    <w:rsid w:val="5BDC6E44"/>
    <w:rsid w:val="5C6258A4"/>
    <w:rsid w:val="5C6607D4"/>
    <w:rsid w:val="5E3C6DCB"/>
    <w:rsid w:val="5E82604C"/>
    <w:rsid w:val="5E9F7D04"/>
    <w:rsid w:val="5EB3567B"/>
    <w:rsid w:val="5FB4017C"/>
    <w:rsid w:val="5FF86B48"/>
    <w:rsid w:val="616D5BEF"/>
    <w:rsid w:val="62106968"/>
    <w:rsid w:val="62733EE5"/>
    <w:rsid w:val="62A23EF9"/>
    <w:rsid w:val="62E64A8D"/>
    <w:rsid w:val="637B6589"/>
    <w:rsid w:val="63E519B6"/>
    <w:rsid w:val="63E60C8E"/>
    <w:rsid w:val="645F7C77"/>
    <w:rsid w:val="6655217A"/>
    <w:rsid w:val="66F73F16"/>
    <w:rsid w:val="67734C92"/>
    <w:rsid w:val="67C1146A"/>
    <w:rsid w:val="67DF1954"/>
    <w:rsid w:val="67E22ABE"/>
    <w:rsid w:val="681044FB"/>
    <w:rsid w:val="681A5C55"/>
    <w:rsid w:val="686B67ED"/>
    <w:rsid w:val="6A7367C6"/>
    <w:rsid w:val="6B0A631F"/>
    <w:rsid w:val="6B2F57E8"/>
    <w:rsid w:val="6B3B7A45"/>
    <w:rsid w:val="6C2A5933"/>
    <w:rsid w:val="6C532497"/>
    <w:rsid w:val="6C6A3D48"/>
    <w:rsid w:val="70433045"/>
    <w:rsid w:val="71236AF0"/>
    <w:rsid w:val="72050BDB"/>
    <w:rsid w:val="72C44654"/>
    <w:rsid w:val="731C59A6"/>
    <w:rsid w:val="740B7597"/>
    <w:rsid w:val="75A57FA1"/>
    <w:rsid w:val="76077A0F"/>
    <w:rsid w:val="76C43BAF"/>
    <w:rsid w:val="77450FC0"/>
    <w:rsid w:val="7746130E"/>
    <w:rsid w:val="7802718C"/>
    <w:rsid w:val="78516857"/>
    <w:rsid w:val="787917F5"/>
    <w:rsid w:val="79425C88"/>
    <w:rsid w:val="79E41CD7"/>
    <w:rsid w:val="7A27777B"/>
    <w:rsid w:val="7B5D2F26"/>
    <w:rsid w:val="7B7721FC"/>
    <w:rsid w:val="7C83397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3</TotalTime>
  <ScaleCrop>false</ScaleCrop>
  <LinksUpToDate>false</LinksUpToDate>
  <CharactersWithSpaces>1054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2020-08-07T02:14:39Z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