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Calibri" w:cs="宋体"/>
          <w:b/>
          <w:bCs/>
          <w:sz w:val="44"/>
        </w:rPr>
      </w:pPr>
      <w:r>
        <w:rPr>
          <w:rFonts w:hint="eastAsia" w:ascii="方正小标宋简体" w:hAnsi="Calibri" w:cs="宋体"/>
          <w:b/>
          <w:bCs/>
          <w:sz w:val="44"/>
        </w:rPr>
        <w:t>本次检验项目</w:t>
      </w:r>
    </w:p>
    <w:p>
      <w:pPr>
        <w:widowControl/>
        <w:jc w:val="center"/>
        <w:rPr>
          <w:rFonts w:hint="eastAsia" w:ascii="方正小标宋简体" w:hAnsi="Calibri" w:cs="宋体"/>
          <w:b/>
          <w:bCs/>
          <w:sz w:val="44"/>
        </w:rPr>
      </w:pP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蛋制品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2749-2015 《食品安全国家标准 蛋与蛋制品》；GB 2760-2014《食品安全国家标准 食品添加剂使用标准》；GB 2762-2017《食品安全国家标准 食品中污染物限量》；GB 29921-2013《食品安全国家标准 食品中致病菌限量》等标准、法律法规及产品明示标准和质量的要求。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抽检项目包括苯甲酸及其钠盐(以苯甲酸计)、大肠菌群、菌落总数、铅(以Pb计)、沙门氏菌、山梨酸及其钾盐(以山梨酸计)等。</w:t>
      </w:r>
    </w:p>
    <w:p>
      <w:pPr>
        <w:widowControl/>
        <w:spacing w:line="560" w:lineRule="exact"/>
        <w:jc w:val="left"/>
        <w:rPr>
          <w:rFonts w:hint="eastAsia" w:ascii="黑体" w:hAnsi="宋体" w:eastAsia="黑体" w:cs="黑体"/>
          <w:sz w:val="32"/>
        </w:rPr>
      </w:pP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淀粉及淀粉制品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2760-2014《食品安全国家标准 食品添加剂使用标准》；GB 2762-2017《食品安全国家标准 食品中污染物限量》等标准、法律法规及产品明示标准和质量的要求。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抽检项目包括大肠菌群、二氧化硫残留量、菌落总数、霉菌和酵母、铅(以Pb计)等。</w:t>
      </w:r>
    </w:p>
    <w:p>
      <w:pPr>
        <w:widowControl/>
        <w:spacing w:line="560" w:lineRule="exact"/>
        <w:ind w:firstLine="640"/>
        <w:jc w:val="left"/>
        <w:rPr>
          <w:rFonts w:hint="eastAsia" w:ascii="仿宋_GB2312" w:hAnsi="仿宋_GB2312" w:eastAsia="仿宋_GB2312" w:cs="仿宋_GB2312"/>
          <w:sz w:val="32"/>
        </w:rPr>
      </w:pPr>
    </w:p>
    <w:p>
      <w:pPr>
        <w:widowControl/>
        <w:spacing w:line="560" w:lineRule="exact"/>
        <w:jc w:val="left"/>
        <w:rPr>
          <w:rFonts w:hint="eastAsia" w:ascii="黑体" w:hAnsi="宋体" w:eastAsia="黑体" w:cs="黑体"/>
          <w:sz w:val="32"/>
        </w:rPr>
      </w:pP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豆制品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2762-2017《食品安全国家标准 食品中污染物限量》；GB 2760-2014《食品安全国家标准 食品添加剂使用标准》；GB 29921-2013《食品安全国家标准 食品中致病菌限量》等标准、法律法规及产品明示标准和质量的要求。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抽检项目大肠菌群、金黄色葡萄球菌、铝的残留量(干样品，以Al计)、铅(以Pb计)、三氯蔗糖、沙门氏菌、糖精钠(以糖精计)等。</w:t>
      </w:r>
    </w:p>
    <w:p>
      <w:pPr>
        <w:widowControl/>
        <w:spacing w:line="560" w:lineRule="exact"/>
        <w:jc w:val="left"/>
        <w:rPr>
          <w:rFonts w:hint="eastAsia" w:ascii="黑体" w:hAnsi="宋体" w:eastAsia="黑体" w:cs="黑体"/>
          <w:sz w:val="32"/>
        </w:rPr>
      </w:pP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方便食品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抽检依据是LS/T 3211-1995 《方便面(原SB/T 10250-1995)》；GB 17400-2015 《食品安全国家标准 方便面》；GB 29921-2013《食品安全国家标准 食品中致病菌限量》等标准、法律法规及产品明示标准和质量的要求。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抽检项目包括大肠菌群、过氧化值(以脂肪计)、金黄色葡萄球菌、菌落总数、沙门氏菌、水分、酸价(以脂肪计)(KOH)等。</w:t>
      </w:r>
    </w:p>
    <w:p>
      <w:pPr>
        <w:widowControl/>
        <w:spacing w:line="560" w:lineRule="exact"/>
        <w:jc w:val="left"/>
        <w:rPr>
          <w:rFonts w:hint="eastAsia" w:ascii="黑体" w:hAnsi="宋体" w:eastAsia="黑体" w:cs="黑体"/>
          <w:sz w:val="32"/>
        </w:rPr>
      </w:pPr>
    </w:p>
    <w:p>
      <w:pPr>
        <w:widowControl/>
        <w:spacing w:line="560" w:lineRule="exact"/>
        <w:jc w:val="left"/>
        <w:rPr>
          <w:rFonts w:hint="eastAsia" w:ascii="黑体" w:hAnsi="宋体" w:eastAsia="黑体" w:cs="黑体"/>
          <w:sz w:val="32"/>
        </w:rPr>
      </w:pPr>
    </w:p>
    <w:p>
      <w:pPr>
        <w:widowControl/>
        <w:spacing w:line="560" w:lineRule="exact"/>
        <w:jc w:val="left"/>
        <w:rPr>
          <w:rFonts w:hint="eastAsia" w:ascii="黑体" w:hAnsi="宋体" w:eastAsia="黑体" w:cs="黑体"/>
          <w:sz w:val="32"/>
        </w:rPr>
      </w:pPr>
      <w:bookmarkStart w:id="0" w:name="_GoBack"/>
      <w:bookmarkEnd w:id="0"/>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蜂产品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14963-2011 《食品安全国家标准 蜂蜜》；GB 2762-2017《食品安全国家标准 食品中污染物限量》；农业农村部公告第250号《食品动物中禁止使用的药品及其他化合物清单》等标准、法律法规及产品明示标准和质量的要求。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抽检项目包括大肠菌群、果糖和葡萄糖、菌落总数、氯霉素、霉菌计数、铅(以Pb计)、嗜渗酵母计数、蔗糖等。</w:t>
      </w: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糕点</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2760-2014《食品安全国家标准 食品添加剂使用标准》；食品整治办〔2009〕5号 全国打击违法添加非食用物质和滥用食品添加剂专项整治领导小组关于印发《食品中可能违法添加的非食用物质名单（第二批）》的通知</w:t>
      </w:r>
      <w:r>
        <w:rPr>
          <w:rFonts w:hint="eastAsia" w:ascii="仿宋_GB2312" w:hAnsi="仿宋_GB2312" w:eastAsia="仿宋_GB2312" w:cs="仿宋_GB2312"/>
          <w:sz w:val="32"/>
          <w:lang w:eastAsia="zh-CN"/>
        </w:rPr>
        <w:t>；GB 29921-2013《食品安全国家标准 食品中致病菌限量》</w:t>
      </w:r>
      <w:r>
        <w:rPr>
          <w:rFonts w:hint="eastAsia" w:ascii="仿宋_GB2312" w:hAnsi="仿宋_GB2312" w:eastAsia="仿宋_GB2312" w:cs="仿宋_GB2312"/>
          <w:sz w:val="32"/>
        </w:rPr>
        <w:t>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苯甲酸及其钠盐(以苯甲酸计)、丙酸及其钠盐、钙盐(以丙酸计)、大肠菌群、富马酸二甲酯、过氧化值(以脂肪计)、菌落总数、铝的残留量(干样品，以Al计)、霉菌、纳他霉素、山梨酸及其钾盐(以山梨酸计)、酸价(以脂肪计)、脱氢乙酸及其钠盐(以脱氢乙酸计)</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等。</w:t>
      </w:r>
    </w:p>
    <w:p>
      <w:pPr>
        <w:widowControl/>
        <w:spacing w:line="560" w:lineRule="exact"/>
        <w:ind w:firstLine="640"/>
        <w:jc w:val="left"/>
        <w:rPr>
          <w:rFonts w:hint="eastAsia" w:ascii="仿宋_GB2312" w:hAnsi="仿宋_GB2312" w:eastAsia="仿宋_GB2312" w:cs="仿宋_GB2312"/>
          <w:sz w:val="32"/>
        </w:rPr>
      </w:pP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酒类</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2757-2012《食品安全国家标准 蒸馏酒及其配制酒》；GB 2760-2014《食品安全国家标准 食品添加剂使用标准》等标准、法律法规及产品明示标准和质量的要求。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抽检项目包括苯甲酸及其钠盐(以苯甲酸计)、酒精度、山梨酸及其钾盐(以山梨酸计)、糖精钠(以糖精计)、甜蜜素(以环己基氨基磺酸计)</w:t>
      </w:r>
      <w:r>
        <w:rPr>
          <w:rFonts w:hint="eastAsia" w:ascii="仿宋_GB2312" w:hAnsi="仿宋_GB2312" w:eastAsia="仿宋_GB2312" w:cs="仿宋_GB2312"/>
          <w:sz w:val="32"/>
          <w:lang w:eastAsia="zh-CN"/>
        </w:rPr>
        <w:t>、甲醇、氰化物(以HCN计)</w:t>
      </w:r>
      <w:r>
        <w:rPr>
          <w:rFonts w:hint="eastAsia" w:ascii="仿宋_GB2312" w:hAnsi="仿宋_GB2312" w:eastAsia="仿宋_GB2312" w:cs="仿宋_GB2312"/>
          <w:sz w:val="32"/>
        </w:rPr>
        <w:t>等。</w:t>
      </w:r>
    </w:p>
    <w:p>
      <w:pPr>
        <w:widowControl/>
        <w:spacing w:line="560" w:lineRule="exact"/>
        <w:ind w:firstLine="640"/>
        <w:jc w:val="left"/>
        <w:rPr>
          <w:rFonts w:hint="eastAsia" w:ascii="仿宋_GB2312" w:hAnsi="仿宋_GB2312" w:eastAsia="仿宋_GB2312" w:cs="仿宋_GB2312"/>
          <w:sz w:val="32"/>
        </w:rPr>
      </w:pPr>
    </w:p>
    <w:p>
      <w:pPr>
        <w:widowControl/>
        <w:spacing w:line="560" w:lineRule="exact"/>
        <w:ind w:firstLine="640"/>
        <w:jc w:val="left"/>
        <w:rPr>
          <w:rFonts w:hint="eastAsia" w:ascii="仿宋_GB2312" w:hAnsi="仿宋_GB2312" w:eastAsia="仿宋_GB2312" w:cs="仿宋_GB2312"/>
          <w:sz w:val="32"/>
        </w:rPr>
      </w:pP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粮食加工品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抽检依据是GB/T 1354-2018 《大米》；GB 2761-2017《食品安全国家标准 食品中真菌毒素限量》；GB 2762-2017《食品安全国家标准 食品中污染物限量》</w:t>
      </w:r>
      <w:r>
        <w:rPr>
          <w:rFonts w:hint="eastAsia" w:ascii="仿宋_GB2312" w:hAnsi="仿宋_GB2312" w:eastAsia="仿宋_GB2312" w:cs="仿宋_GB2312"/>
          <w:sz w:val="32"/>
          <w:lang w:eastAsia="zh-CN"/>
        </w:rPr>
        <w:t>、GB 2760-2014《食品安全国家标准 食品添加剂使用标准》</w:t>
      </w:r>
      <w:r>
        <w:rPr>
          <w:rFonts w:hint="eastAsia" w:ascii="仿宋_GB2312" w:hAnsi="仿宋_GB2312" w:eastAsia="仿宋_GB2312" w:cs="仿宋_GB2312"/>
          <w:sz w:val="32"/>
        </w:rPr>
        <w:t>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抽检项目包括镉(以Cd计)、黄曲霉毒素B</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、铅(以Pb计)、无机砷(以As计)</w:t>
      </w:r>
      <w:r>
        <w:rPr>
          <w:rFonts w:hint="eastAsia" w:ascii="仿宋_GB2312" w:hAnsi="仿宋_GB2312" w:eastAsia="仿宋_GB2312" w:cs="仿宋_GB2312"/>
          <w:sz w:val="32"/>
          <w:lang w:eastAsia="zh-CN"/>
        </w:rPr>
        <w:t>、柠檬黄、乙二胺四乙酸二钠</w:t>
      </w:r>
      <w:r>
        <w:rPr>
          <w:rFonts w:hint="eastAsia" w:ascii="仿宋_GB2312" w:hAnsi="仿宋_GB2312" w:eastAsia="仿宋_GB2312" w:cs="仿宋_GB2312"/>
          <w:sz w:val="32"/>
        </w:rPr>
        <w:t>等。</w:t>
      </w: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肉制品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抽检依据是GB/T 23586-2009 《酱卤肉制品》；GB 2726-2016《食品安全国家标准 熟肉制品》；GB 2760-2014《食品安全国家标准 食品添加剂使用标准》等标准、法律法规及产品明示标准和质量的要求。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抽检项目包括苯甲酸及其钠盐(以苯甲酸计)、大肠菌群、菌落总数、山梨酸及其钾盐(以山梨酸计)、糖精钠(以糖精计)、脱氢乙酸及其钠盐(以脱氢乙酸计)、亚硝酸盐(以亚硝酸钠计)、胭脂红等。</w:t>
      </w: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乳制品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2762-2017《食品安全国家标准 食品中污染物限量》；GB 2761-2017《食品安全国家标准 食品中真菌毒素限量》；GB 31650-2019《食品安全国家标准 食品中兽药最大残留限量》；《卫生部、工业和信息化部、农业部、工商总局、质检总局公告2011年第10号 关于三聚氰胺在食品中的限量值的公告》等标准、法律法规及产品明示标准和质量的要求。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抽检项目包括蛋白质、地塞米松、非脂乳固体、铬(以Cr计)、黄曲霉毒素M</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、铅(以Pb计)、三聚氰胺、商业无菌、酸度、脂肪等。</w:t>
      </w: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食糖</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13104-2014《食品安全国家标准 食糖》；GB 2762-2017《食品安全国家标准 食品中污染物限量》等标准、法律法规及产品明示标准和质量的要求。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抽检项目包括二氧化硫残留量、螨、铅(以Pb计)、总砷(以As计)、总糖分(蔗糖分+还原糖分）等。</w:t>
      </w: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食盐</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2762-2017《食品安全国家标准 食品中污染物限量》；GB 26878-2011《食品安全国家标准 食用盐碘含量》等标准、法律法规及产品明示标准和质量的要求。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抽检项目包括钡(以Ba计)、碘(以I计)、镉(以Cd计)、氯化钠(以湿基计)、铅(以Pb计)、亚铁氰化钾、总汞(以Hg计)、总砷(以As计)等。</w:t>
      </w: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食用农产品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31650-2019《食品安全国家标准 食品中兽药最大残留限量》；农业农村部公告第250号《食品动物中禁止使用的药品及其他化合物清单》；农业部公告第2292号《发布在食品动物中停止使用洛美沙星、培氟沙星、氧氟沙星、诺氟沙星4种兽药的决定》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抽检项目包括恩诺沙星、呋喃西林代谢物、呋喃唑酮代谢物、孔雀石绿、氯霉素、诺氟沙星、培氟沙星、氧氟沙星等。</w:t>
      </w:r>
    </w:p>
    <w:p>
      <w:pPr>
        <w:widowControl/>
        <w:spacing w:line="560" w:lineRule="exact"/>
        <w:jc w:val="left"/>
        <w:rPr>
          <w:rFonts w:hint="eastAsia" w:ascii="黑体" w:hAnsi="宋体" w:eastAsia="黑体" w:cs="黑体"/>
          <w:sz w:val="32"/>
          <w:lang w:eastAsia="zh-CN"/>
        </w:rPr>
      </w:pP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食用油、油脂及其制品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抽检依据是GB/T 11765-2018 《油茶籽油》；GB 2762-2017《食品安全国家标准 食品中污染物限量》；GB 2760-2014《食品安全国家标准 食品添加剂使用标准》等标准、法律法规及产品明示标准和质量的要求。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抽检项目包括苯并[a]芘、过氧化值、铅(以Pb计)、溶剂残留量、酸价(KOH)、特丁基对苯二酚(TBHQ)等。</w:t>
      </w: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蔬菜制品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2762-2017《食品安全国家标准 食品中污染物限量》；GB 2760-2014《食品安全国家标准 食品添加剂使用标准》；GB 29921-2013《食品安全国家标准 食品中致病菌限量》；整顿办函〔2011〕1号《全国食品安全整顿工作办公室关于印发《食品中可能违法添加的非食用物质和易滥用的食品添加剂品种名单（第五批）》的通知》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苯甲酸及其钠盐(以苯甲酸计)、大肠菌群、二氧化硫残留量、金黄色葡萄球菌、纽甜、铅(以Pb计)、三氯蔗糖、沙门氏菌、苏丹红Ⅰ、苏丹红Ⅱ、苏丹红Ⅲ、苏丹红Ⅳ、糖精钠(以糖精计)、甜蜜素(以环己基氨基磺酸计)等。</w:t>
      </w:r>
    </w:p>
    <w:p>
      <w:pPr>
        <w:widowControl/>
        <w:spacing w:line="560" w:lineRule="exact"/>
        <w:jc w:val="left"/>
        <w:rPr>
          <w:rFonts w:hint="eastAsia" w:ascii="黑体" w:hAnsi="宋体" w:eastAsia="黑体" w:cs="黑体"/>
          <w:sz w:val="32"/>
          <w:lang w:eastAsia="zh-CN"/>
        </w:rPr>
      </w:pP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水果制品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抽检依据是GB/T 10782-2006 《蜜饯通则》；GB 14884-2016《食品安全国家标准 蜜饯》；GB 2762-2017《食品安全国家标准 食品中污染物限量》；GB 2760-2014《食品安全国家标准 食品添加剂使用标准》；GB 29921-2013《食品安全国家标准 食品中致病菌限量》等标准、法律法规及产品明示标准和质量的要求。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抽检项目包括大肠菌群、二氧化硫残留量、金黄色葡萄球菌、菌落总数、霉菌、铅(以Pb计)、沙门氏菌、糖精钠(以糖精计)等。</w:t>
      </w:r>
    </w:p>
    <w:p>
      <w:pPr>
        <w:widowControl/>
        <w:spacing w:line="560" w:lineRule="exact"/>
        <w:jc w:val="left"/>
        <w:rPr>
          <w:rFonts w:hint="eastAsia" w:ascii="黑体" w:hAnsi="宋体" w:eastAsia="黑体" w:cs="黑体"/>
          <w:sz w:val="32"/>
          <w:lang w:eastAsia="zh-CN"/>
        </w:rPr>
      </w:pPr>
      <w:r>
        <w:rPr>
          <w:rFonts w:hint="eastAsia" w:ascii="黑体" w:hAnsi="宋体" w:eastAsia="黑体" w:cs="黑体"/>
          <w:sz w:val="32"/>
          <w:lang w:eastAsia="zh-CN"/>
        </w:rPr>
        <w:t>调味品</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抽检依据是SB/T 10416-2007 《调味料酒》；GB 2760-2014《食品安全国家标准 食品添加剂使用标准》等标准、法律法规及产品明示标准和质量的要求。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抽检项目包括苯甲酸及其钠盐(以苯甲酸计)、山梨酸及其钾盐(以山梨酸计)等。</w:t>
      </w:r>
    </w:p>
    <w:p>
      <w:pPr>
        <w:widowControl/>
        <w:spacing w:line="560" w:lineRule="exact"/>
        <w:ind w:firstLine="640"/>
        <w:jc w:val="left"/>
        <w:rPr>
          <w:rFonts w:hint="eastAsia" w:ascii="仿宋_GB2312" w:hAnsi="仿宋_GB2312" w:eastAsia="仿宋_GB2312" w:cs="仿宋_GB2312"/>
          <w:sz w:val="32"/>
        </w:rPr>
      </w:pPr>
      <w:r>
        <w:rPr>
          <w:rFonts w:hint="eastAsia" w:ascii="黑体" w:hAnsi="宋体" w:eastAsia="黑体" w:cs="黑体"/>
          <w:sz w:val="32"/>
          <w:lang w:eastAsia="zh-CN"/>
        </w:rPr>
        <w:t>饮料</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（一）抽检依据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抽检依据是GB 2760-2014《食品安全国家标准 食品添加剂使用标准》；GB 7101-2015《食品安全国家标准 饮料》；GB 29921-2013《食品安全国家标准 食品中致病菌限量》；《卫生部、工业和信息化部、农业部、工商总局、质检总局公告2011年第10号 关于三聚氰胺在食品中的限量值的公告》等标准、法律法规及产品明示标准和质量的要求。</w:t>
      </w:r>
    </w:p>
    <w:p>
      <w:pPr>
        <w:widowControl/>
        <w:spacing w:line="560" w:lineRule="exact"/>
        <w:jc w:val="left"/>
        <w:rPr>
          <w:rFonts w:hint="eastAsia" w:ascii="仿宋_GB2312" w:hAnsi="仿宋_GB2312" w:eastAsia="仿宋_GB2312" w:cs="仿宋_GB2312"/>
          <w:sz w:val="32"/>
        </w:rPr>
      </w:pPr>
      <w:r>
        <w:rPr>
          <w:rFonts w:hint="eastAsia" w:ascii="仿宋_GB2312" w:hAnsi="仿宋_GB2312" w:eastAsia="仿宋_GB2312" w:cs="仿宋_GB2312"/>
          <w:sz w:val="32"/>
        </w:rPr>
        <w:t>（二）检验项目</w:t>
      </w:r>
    </w:p>
    <w:p>
      <w:pPr>
        <w:widowControl/>
        <w:spacing w:line="560" w:lineRule="exact"/>
        <w:ind w:firstLine="640"/>
        <w:jc w:val="left"/>
        <w:rPr>
          <w:rFonts w:hint="eastAsia" w:ascii="仿宋_GB2312" w:hAnsi="仿宋_GB2312" w:eastAsia="仿宋_GB2312" w:cs="仿宋_GB2312"/>
          <w:sz w:val="32"/>
        </w:rPr>
      </w:pPr>
      <w:r>
        <w:rPr>
          <w:rFonts w:hint="eastAsia" w:ascii="仿宋_GB2312" w:hAnsi="仿宋_GB2312" w:eastAsia="仿宋_GB2312" w:cs="仿宋_GB2312"/>
          <w:sz w:val="32"/>
        </w:rPr>
        <w:t>抽检项目包括安赛蜜、酵母、金黄色葡萄球菌、菌落总数、霉菌、沙门氏菌、甜蜜素(以环己基氨基磺酸计)等。</w:t>
      </w:r>
    </w:p>
    <w:p>
      <w:pPr>
        <w:widowControl/>
        <w:spacing w:line="560" w:lineRule="exact"/>
        <w:ind w:firstLine="640"/>
        <w:jc w:val="left"/>
        <w:rPr>
          <w:rFonts w:hint="eastAsia" w:ascii="仿宋_GB2312" w:hAnsi="仿宋_GB2312" w:eastAsia="仿宋_GB2312" w:cs="仿宋_GB2312"/>
          <w:sz w:val="32"/>
        </w:rPr>
      </w:pPr>
    </w:p>
    <w:p>
      <w:pPr>
        <w:widowControl/>
        <w:spacing w:line="560" w:lineRule="exact"/>
        <w:ind w:firstLine="640"/>
        <w:jc w:val="left"/>
        <w:rPr>
          <w:rFonts w:hint="eastAsia" w:ascii="仿宋_GB2312" w:hAnsi="仿宋_GB2312" w:eastAsia="仿宋_GB2312" w:cs="仿宋_GB2312"/>
          <w:sz w:val="32"/>
        </w:rPr>
      </w:pPr>
    </w:p>
    <w:p>
      <w:pPr>
        <w:widowControl/>
        <w:spacing w:line="560" w:lineRule="exact"/>
        <w:ind w:firstLine="640"/>
        <w:jc w:val="left"/>
        <w:rPr>
          <w:rFonts w:hint="eastAsia" w:ascii="仿宋_GB2312" w:hAnsi="仿宋_GB2312" w:eastAsia="仿宋_GB2312" w:cs="仿宋_GB2312"/>
          <w:sz w:val="32"/>
        </w:rPr>
      </w:pPr>
    </w:p>
    <w:p>
      <w:pPr>
        <w:widowControl/>
        <w:spacing w:line="560" w:lineRule="exact"/>
        <w:ind w:firstLine="640"/>
        <w:jc w:val="left"/>
        <w:rPr>
          <w:rFonts w:hint="eastAsia" w:ascii="仿宋_GB2312" w:hAnsi="仿宋_GB2312" w:eastAsia="仿宋_GB2312" w:cs="仿宋_GB2312"/>
          <w:sz w:val="32"/>
        </w:rPr>
      </w:pPr>
    </w:p>
    <w:p>
      <w:pPr>
        <w:widowControl/>
        <w:spacing w:line="560" w:lineRule="exact"/>
        <w:jc w:val="left"/>
        <w:rPr>
          <w:rFonts w:hint="eastAsia" w:ascii="仿宋_GB2312" w:hAnsi="仿宋_GB2312" w:eastAsia="仿宋_GB2312" w:cs="仿宋_GB2312"/>
          <w:sz w:val="32"/>
        </w:rPr>
      </w:pPr>
    </w:p>
    <w:p/>
    <w:sectPr>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F5"/>
    <w:rsid w:val="00004EB8"/>
    <w:rsid w:val="0000511D"/>
    <w:rsid w:val="000059CD"/>
    <w:rsid w:val="0000655A"/>
    <w:rsid w:val="00011540"/>
    <w:rsid w:val="000117E0"/>
    <w:rsid w:val="00012BB1"/>
    <w:rsid w:val="00013E15"/>
    <w:rsid w:val="000142AC"/>
    <w:rsid w:val="00014501"/>
    <w:rsid w:val="00014F9E"/>
    <w:rsid w:val="00016A60"/>
    <w:rsid w:val="0001734A"/>
    <w:rsid w:val="0001741E"/>
    <w:rsid w:val="0001787B"/>
    <w:rsid w:val="0002115E"/>
    <w:rsid w:val="00021235"/>
    <w:rsid w:val="000215D2"/>
    <w:rsid w:val="000228CC"/>
    <w:rsid w:val="000233D0"/>
    <w:rsid w:val="00026D73"/>
    <w:rsid w:val="00027A9C"/>
    <w:rsid w:val="000321D4"/>
    <w:rsid w:val="00032396"/>
    <w:rsid w:val="00033E80"/>
    <w:rsid w:val="00042A85"/>
    <w:rsid w:val="00043482"/>
    <w:rsid w:val="00045BF4"/>
    <w:rsid w:val="00046764"/>
    <w:rsid w:val="00047AF6"/>
    <w:rsid w:val="000501E4"/>
    <w:rsid w:val="00051F72"/>
    <w:rsid w:val="000522D4"/>
    <w:rsid w:val="00052E69"/>
    <w:rsid w:val="00053030"/>
    <w:rsid w:val="00053219"/>
    <w:rsid w:val="00053642"/>
    <w:rsid w:val="0005437C"/>
    <w:rsid w:val="000548CA"/>
    <w:rsid w:val="00055493"/>
    <w:rsid w:val="0006033C"/>
    <w:rsid w:val="0006070C"/>
    <w:rsid w:val="00064499"/>
    <w:rsid w:val="00070461"/>
    <w:rsid w:val="000725D2"/>
    <w:rsid w:val="000731A6"/>
    <w:rsid w:val="000745A1"/>
    <w:rsid w:val="00074F5E"/>
    <w:rsid w:val="000760C1"/>
    <w:rsid w:val="000775C4"/>
    <w:rsid w:val="000809C0"/>
    <w:rsid w:val="00080EC6"/>
    <w:rsid w:val="00081591"/>
    <w:rsid w:val="000829DE"/>
    <w:rsid w:val="00084B2F"/>
    <w:rsid w:val="00085F02"/>
    <w:rsid w:val="000862CC"/>
    <w:rsid w:val="00090D1D"/>
    <w:rsid w:val="00091888"/>
    <w:rsid w:val="00091E27"/>
    <w:rsid w:val="00094E3C"/>
    <w:rsid w:val="000965FD"/>
    <w:rsid w:val="000966BF"/>
    <w:rsid w:val="000A0870"/>
    <w:rsid w:val="000A4396"/>
    <w:rsid w:val="000A69D1"/>
    <w:rsid w:val="000B1CC0"/>
    <w:rsid w:val="000B30C2"/>
    <w:rsid w:val="000B5549"/>
    <w:rsid w:val="000B5794"/>
    <w:rsid w:val="000B6807"/>
    <w:rsid w:val="000B75DD"/>
    <w:rsid w:val="000C1032"/>
    <w:rsid w:val="000C19E7"/>
    <w:rsid w:val="000C3875"/>
    <w:rsid w:val="000C43DC"/>
    <w:rsid w:val="000C47AE"/>
    <w:rsid w:val="000C6560"/>
    <w:rsid w:val="000C6596"/>
    <w:rsid w:val="000C7863"/>
    <w:rsid w:val="000D1FB4"/>
    <w:rsid w:val="000D2371"/>
    <w:rsid w:val="000D2865"/>
    <w:rsid w:val="000D5FCC"/>
    <w:rsid w:val="000D799C"/>
    <w:rsid w:val="000E038B"/>
    <w:rsid w:val="000E1082"/>
    <w:rsid w:val="000E1C1A"/>
    <w:rsid w:val="000E3739"/>
    <w:rsid w:val="000E3879"/>
    <w:rsid w:val="000E73EF"/>
    <w:rsid w:val="000F2079"/>
    <w:rsid w:val="000F2577"/>
    <w:rsid w:val="000F4D86"/>
    <w:rsid w:val="000F70C8"/>
    <w:rsid w:val="000F728A"/>
    <w:rsid w:val="000F7426"/>
    <w:rsid w:val="0010102C"/>
    <w:rsid w:val="001030D2"/>
    <w:rsid w:val="00103202"/>
    <w:rsid w:val="00104DC0"/>
    <w:rsid w:val="00105AD5"/>
    <w:rsid w:val="001068DC"/>
    <w:rsid w:val="0011074B"/>
    <w:rsid w:val="00111F33"/>
    <w:rsid w:val="0011244D"/>
    <w:rsid w:val="00112FB3"/>
    <w:rsid w:val="00113DB3"/>
    <w:rsid w:val="0011487A"/>
    <w:rsid w:val="001170BC"/>
    <w:rsid w:val="001200A0"/>
    <w:rsid w:val="00123773"/>
    <w:rsid w:val="00123F0D"/>
    <w:rsid w:val="00127ED5"/>
    <w:rsid w:val="00130470"/>
    <w:rsid w:val="00130FD1"/>
    <w:rsid w:val="00131035"/>
    <w:rsid w:val="0013156E"/>
    <w:rsid w:val="00132095"/>
    <w:rsid w:val="00133148"/>
    <w:rsid w:val="0013316D"/>
    <w:rsid w:val="00134CF4"/>
    <w:rsid w:val="0013690F"/>
    <w:rsid w:val="00136ECF"/>
    <w:rsid w:val="00137EA8"/>
    <w:rsid w:val="0014035C"/>
    <w:rsid w:val="001445DD"/>
    <w:rsid w:val="00145B8A"/>
    <w:rsid w:val="001475FC"/>
    <w:rsid w:val="00147E0C"/>
    <w:rsid w:val="001541B7"/>
    <w:rsid w:val="001554F0"/>
    <w:rsid w:val="0015733D"/>
    <w:rsid w:val="0016273C"/>
    <w:rsid w:val="00164DEC"/>
    <w:rsid w:val="001667B8"/>
    <w:rsid w:val="001675BC"/>
    <w:rsid w:val="00167A25"/>
    <w:rsid w:val="00167D5B"/>
    <w:rsid w:val="00167DE7"/>
    <w:rsid w:val="0017037F"/>
    <w:rsid w:val="00171084"/>
    <w:rsid w:val="001712D1"/>
    <w:rsid w:val="00171707"/>
    <w:rsid w:val="001739E6"/>
    <w:rsid w:val="00174051"/>
    <w:rsid w:val="0017553E"/>
    <w:rsid w:val="00175A20"/>
    <w:rsid w:val="00177219"/>
    <w:rsid w:val="0018058C"/>
    <w:rsid w:val="0018109F"/>
    <w:rsid w:val="00181202"/>
    <w:rsid w:val="00181F82"/>
    <w:rsid w:val="00182354"/>
    <w:rsid w:val="00185A97"/>
    <w:rsid w:val="00185DDC"/>
    <w:rsid w:val="00186A01"/>
    <w:rsid w:val="00190D64"/>
    <w:rsid w:val="00192103"/>
    <w:rsid w:val="00192675"/>
    <w:rsid w:val="001929B0"/>
    <w:rsid w:val="00194ABD"/>
    <w:rsid w:val="00194D25"/>
    <w:rsid w:val="00194DB2"/>
    <w:rsid w:val="0019528A"/>
    <w:rsid w:val="0019561B"/>
    <w:rsid w:val="00195D8C"/>
    <w:rsid w:val="001976AC"/>
    <w:rsid w:val="001A3760"/>
    <w:rsid w:val="001A5593"/>
    <w:rsid w:val="001A607C"/>
    <w:rsid w:val="001A6120"/>
    <w:rsid w:val="001A6423"/>
    <w:rsid w:val="001B0E42"/>
    <w:rsid w:val="001B14B7"/>
    <w:rsid w:val="001B18D8"/>
    <w:rsid w:val="001B35E7"/>
    <w:rsid w:val="001B3E86"/>
    <w:rsid w:val="001B3E9D"/>
    <w:rsid w:val="001B7407"/>
    <w:rsid w:val="001C10FF"/>
    <w:rsid w:val="001C2FE0"/>
    <w:rsid w:val="001C3F0B"/>
    <w:rsid w:val="001C416F"/>
    <w:rsid w:val="001C5B2D"/>
    <w:rsid w:val="001C618D"/>
    <w:rsid w:val="001C7230"/>
    <w:rsid w:val="001C7DF0"/>
    <w:rsid w:val="001D085A"/>
    <w:rsid w:val="001D1066"/>
    <w:rsid w:val="001D1735"/>
    <w:rsid w:val="001D4E30"/>
    <w:rsid w:val="001E0191"/>
    <w:rsid w:val="001E19D5"/>
    <w:rsid w:val="001E2264"/>
    <w:rsid w:val="001E2ECC"/>
    <w:rsid w:val="001E36DA"/>
    <w:rsid w:val="001E4DE5"/>
    <w:rsid w:val="001E50A0"/>
    <w:rsid w:val="001E5BDA"/>
    <w:rsid w:val="001E6740"/>
    <w:rsid w:val="001E6937"/>
    <w:rsid w:val="001F11EA"/>
    <w:rsid w:val="001F4252"/>
    <w:rsid w:val="001F4DEB"/>
    <w:rsid w:val="001F6332"/>
    <w:rsid w:val="00201312"/>
    <w:rsid w:val="00202A9C"/>
    <w:rsid w:val="00204323"/>
    <w:rsid w:val="00204672"/>
    <w:rsid w:val="00205565"/>
    <w:rsid w:val="002068CD"/>
    <w:rsid w:val="00206C8C"/>
    <w:rsid w:val="00207B32"/>
    <w:rsid w:val="00207E2B"/>
    <w:rsid w:val="00210274"/>
    <w:rsid w:val="00211768"/>
    <w:rsid w:val="00213790"/>
    <w:rsid w:val="002140AB"/>
    <w:rsid w:val="00214152"/>
    <w:rsid w:val="00216D09"/>
    <w:rsid w:val="0021701D"/>
    <w:rsid w:val="002205FB"/>
    <w:rsid w:val="00221062"/>
    <w:rsid w:val="002216C4"/>
    <w:rsid w:val="00221906"/>
    <w:rsid w:val="00224925"/>
    <w:rsid w:val="00224A91"/>
    <w:rsid w:val="002265EB"/>
    <w:rsid w:val="00226B1B"/>
    <w:rsid w:val="00226D0B"/>
    <w:rsid w:val="00226FE7"/>
    <w:rsid w:val="00227743"/>
    <w:rsid w:val="00230353"/>
    <w:rsid w:val="00230528"/>
    <w:rsid w:val="002311C9"/>
    <w:rsid w:val="0023286C"/>
    <w:rsid w:val="0023597D"/>
    <w:rsid w:val="002365C0"/>
    <w:rsid w:val="00236F74"/>
    <w:rsid w:val="002374D8"/>
    <w:rsid w:val="0024047F"/>
    <w:rsid w:val="002410CF"/>
    <w:rsid w:val="002420D6"/>
    <w:rsid w:val="002428FF"/>
    <w:rsid w:val="00242BD7"/>
    <w:rsid w:val="00243225"/>
    <w:rsid w:val="00244226"/>
    <w:rsid w:val="002455DE"/>
    <w:rsid w:val="0024709C"/>
    <w:rsid w:val="0025049A"/>
    <w:rsid w:val="00251F79"/>
    <w:rsid w:val="00254417"/>
    <w:rsid w:val="002548F2"/>
    <w:rsid w:val="00256BAE"/>
    <w:rsid w:val="002577B0"/>
    <w:rsid w:val="002610A8"/>
    <w:rsid w:val="00261C19"/>
    <w:rsid w:val="0026277C"/>
    <w:rsid w:val="00264BBB"/>
    <w:rsid w:val="002672D9"/>
    <w:rsid w:val="0027059C"/>
    <w:rsid w:val="00272129"/>
    <w:rsid w:val="00273B08"/>
    <w:rsid w:val="00274298"/>
    <w:rsid w:val="002745AC"/>
    <w:rsid w:val="002747EA"/>
    <w:rsid w:val="00277285"/>
    <w:rsid w:val="00281645"/>
    <w:rsid w:val="00284151"/>
    <w:rsid w:val="00285930"/>
    <w:rsid w:val="0029062E"/>
    <w:rsid w:val="00291265"/>
    <w:rsid w:val="00292B8F"/>
    <w:rsid w:val="002A0372"/>
    <w:rsid w:val="002A04DC"/>
    <w:rsid w:val="002A11E2"/>
    <w:rsid w:val="002A127D"/>
    <w:rsid w:val="002A2A6F"/>
    <w:rsid w:val="002A2EE8"/>
    <w:rsid w:val="002A33F8"/>
    <w:rsid w:val="002A3A47"/>
    <w:rsid w:val="002A462D"/>
    <w:rsid w:val="002A4DD5"/>
    <w:rsid w:val="002A6CB7"/>
    <w:rsid w:val="002A7511"/>
    <w:rsid w:val="002A7551"/>
    <w:rsid w:val="002A7D59"/>
    <w:rsid w:val="002B0959"/>
    <w:rsid w:val="002B2101"/>
    <w:rsid w:val="002B21E5"/>
    <w:rsid w:val="002B3AA8"/>
    <w:rsid w:val="002B62F1"/>
    <w:rsid w:val="002B7F22"/>
    <w:rsid w:val="002C1B64"/>
    <w:rsid w:val="002C516E"/>
    <w:rsid w:val="002C59CA"/>
    <w:rsid w:val="002C62CE"/>
    <w:rsid w:val="002D4179"/>
    <w:rsid w:val="002D5F30"/>
    <w:rsid w:val="002D77DF"/>
    <w:rsid w:val="002E09BC"/>
    <w:rsid w:val="002E19EC"/>
    <w:rsid w:val="002E27D6"/>
    <w:rsid w:val="002E38D9"/>
    <w:rsid w:val="002F092F"/>
    <w:rsid w:val="002F461B"/>
    <w:rsid w:val="002F65EF"/>
    <w:rsid w:val="002F7B37"/>
    <w:rsid w:val="002F7DEC"/>
    <w:rsid w:val="00301CD0"/>
    <w:rsid w:val="003026DB"/>
    <w:rsid w:val="0030464B"/>
    <w:rsid w:val="003047DF"/>
    <w:rsid w:val="003110F0"/>
    <w:rsid w:val="0031199E"/>
    <w:rsid w:val="003130C1"/>
    <w:rsid w:val="0031316F"/>
    <w:rsid w:val="003142FE"/>
    <w:rsid w:val="00315C05"/>
    <w:rsid w:val="00316849"/>
    <w:rsid w:val="00317819"/>
    <w:rsid w:val="00317910"/>
    <w:rsid w:val="00317F55"/>
    <w:rsid w:val="00320C1D"/>
    <w:rsid w:val="0032152E"/>
    <w:rsid w:val="003228C1"/>
    <w:rsid w:val="003247C3"/>
    <w:rsid w:val="00327483"/>
    <w:rsid w:val="00327BFF"/>
    <w:rsid w:val="00331A22"/>
    <w:rsid w:val="0033304A"/>
    <w:rsid w:val="003355B9"/>
    <w:rsid w:val="00340517"/>
    <w:rsid w:val="00342C93"/>
    <w:rsid w:val="00343EBC"/>
    <w:rsid w:val="00345A83"/>
    <w:rsid w:val="0034651A"/>
    <w:rsid w:val="003467D3"/>
    <w:rsid w:val="003477A8"/>
    <w:rsid w:val="00353588"/>
    <w:rsid w:val="003559C4"/>
    <w:rsid w:val="00360FAA"/>
    <w:rsid w:val="00361B6A"/>
    <w:rsid w:val="00361C5F"/>
    <w:rsid w:val="00362783"/>
    <w:rsid w:val="00363BBF"/>
    <w:rsid w:val="00364318"/>
    <w:rsid w:val="003652C0"/>
    <w:rsid w:val="003660F6"/>
    <w:rsid w:val="00366632"/>
    <w:rsid w:val="00366DDD"/>
    <w:rsid w:val="00372854"/>
    <w:rsid w:val="00375191"/>
    <w:rsid w:val="003760E4"/>
    <w:rsid w:val="00377669"/>
    <w:rsid w:val="00385409"/>
    <w:rsid w:val="00390C13"/>
    <w:rsid w:val="00391FB6"/>
    <w:rsid w:val="00392073"/>
    <w:rsid w:val="00393882"/>
    <w:rsid w:val="003A079F"/>
    <w:rsid w:val="003A4799"/>
    <w:rsid w:val="003A58D0"/>
    <w:rsid w:val="003B08E8"/>
    <w:rsid w:val="003B0FB0"/>
    <w:rsid w:val="003B1455"/>
    <w:rsid w:val="003B16CD"/>
    <w:rsid w:val="003B4481"/>
    <w:rsid w:val="003B5334"/>
    <w:rsid w:val="003B7200"/>
    <w:rsid w:val="003C3552"/>
    <w:rsid w:val="003C3EB6"/>
    <w:rsid w:val="003D1174"/>
    <w:rsid w:val="003D1241"/>
    <w:rsid w:val="003D189E"/>
    <w:rsid w:val="003D4585"/>
    <w:rsid w:val="003D74EA"/>
    <w:rsid w:val="003E1D0A"/>
    <w:rsid w:val="003E200D"/>
    <w:rsid w:val="003E64B5"/>
    <w:rsid w:val="003E6BDF"/>
    <w:rsid w:val="003E6FDF"/>
    <w:rsid w:val="003E70DC"/>
    <w:rsid w:val="003E717B"/>
    <w:rsid w:val="003F0350"/>
    <w:rsid w:val="003F4D1F"/>
    <w:rsid w:val="003F538F"/>
    <w:rsid w:val="003F61CB"/>
    <w:rsid w:val="003F61E4"/>
    <w:rsid w:val="003F79A4"/>
    <w:rsid w:val="0040007F"/>
    <w:rsid w:val="004003E0"/>
    <w:rsid w:val="004007AC"/>
    <w:rsid w:val="00400F0A"/>
    <w:rsid w:val="00404C00"/>
    <w:rsid w:val="00405060"/>
    <w:rsid w:val="004079BD"/>
    <w:rsid w:val="00415705"/>
    <w:rsid w:val="00415C21"/>
    <w:rsid w:val="00421BB4"/>
    <w:rsid w:val="00421EEB"/>
    <w:rsid w:val="00422885"/>
    <w:rsid w:val="00422A63"/>
    <w:rsid w:val="004250C6"/>
    <w:rsid w:val="00426D52"/>
    <w:rsid w:val="00427BD8"/>
    <w:rsid w:val="004303A3"/>
    <w:rsid w:val="00430C1D"/>
    <w:rsid w:val="0043162D"/>
    <w:rsid w:val="00432E28"/>
    <w:rsid w:val="0043366E"/>
    <w:rsid w:val="0043393B"/>
    <w:rsid w:val="00433F54"/>
    <w:rsid w:val="00434C2E"/>
    <w:rsid w:val="00437408"/>
    <w:rsid w:val="0044168E"/>
    <w:rsid w:val="00442707"/>
    <w:rsid w:val="00442C63"/>
    <w:rsid w:val="00444B40"/>
    <w:rsid w:val="00445C49"/>
    <w:rsid w:val="00450D66"/>
    <w:rsid w:val="004510CB"/>
    <w:rsid w:val="00452E69"/>
    <w:rsid w:val="00454519"/>
    <w:rsid w:val="00454953"/>
    <w:rsid w:val="0045522D"/>
    <w:rsid w:val="00457B7B"/>
    <w:rsid w:val="00460001"/>
    <w:rsid w:val="00460FB1"/>
    <w:rsid w:val="004614D3"/>
    <w:rsid w:val="0046241F"/>
    <w:rsid w:val="004644D5"/>
    <w:rsid w:val="00464978"/>
    <w:rsid w:val="00465978"/>
    <w:rsid w:val="004659C2"/>
    <w:rsid w:val="00466464"/>
    <w:rsid w:val="00471DD1"/>
    <w:rsid w:val="00483EAF"/>
    <w:rsid w:val="004844F1"/>
    <w:rsid w:val="00484BA4"/>
    <w:rsid w:val="00484DF6"/>
    <w:rsid w:val="004907E4"/>
    <w:rsid w:val="00491F78"/>
    <w:rsid w:val="00493A00"/>
    <w:rsid w:val="004943E3"/>
    <w:rsid w:val="00495B12"/>
    <w:rsid w:val="00496A1F"/>
    <w:rsid w:val="004A0A51"/>
    <w:rsid w:val="004A2B28"/>
    <w:rsid w:val="004A30E3"/>
    <w:rsid w:val="004A5DD9"/>
    <w:rsid w:val="004A68E8"/>
    <w:rsid w:val="004A7438"/>
    <w:rsid w:val="004B1B5E"/>
    <w:rsid w:val="004B2BD6"/>
    <w:rsid w:val="004B7D7A"/>
    <w:rsid w:val="004C08C8"/>
    <w:rsid w:val="004C1973"/>
    <w:rsid w:val="004C4159"/>
    <w:rsid w:val="004C4807"/>
    <w:rsid w:val="004D19B1"/>
    <w:rsid w:val="004D4052"/>
    <w:rsid w:val="004D458D"/>
    <w:rsid w:val="004D5020"/>
    <w:rsid w:val="004D74EA"/>
    <w:rsid w:val="004E188E"/>
    <w:rsid w:val="004E2453"/>
    <w:rsid w:val="004E31A3"/>
    <w:rsid w:val="004E7095"/>
    <w:rsid w:val="004F0717"/>
    <w:rsid w:val="004F1101"/>
    <w:rsid w:val="004F1E53"/>
    <w:rsid w:val="004F216C"/>
    <w:rsid w:val="004F2392"/>
    <w:rsid w:val="004F2AB2"/>
    <w:rsid w:val="004F5AED"/>
    <w:rsid w:val="004F7F0D"/>
    <w:rsid w:val="005000B5"/>
    <w:rsid w:val="00501635"/>
    <w:rsid w:val="005020E1"/>
    <w:rsid w:val="00510647"/>
    <w:rsid w:val="00514772"/>
    <w:rsid w:val="005155A8"/>
    <w:rsid w:val="005173AE"/>
    <w:rsid w:val="005174C7"/>
    <w:rsid w:val="0052077F"/>
    <w:rsid w:val="005217FE"/>
    <w:rsid w:val="005228E0"/>
    <w:rsid w:val="00522F8B"/>
    <w:rsid w:val="0052464E"/>
    <w:rsid w:val="005271B7"/>
    <w:rsid w:val="0053185D"/>
    <w:rsid w:val="00535B63"/>
    <w:rsid w:val="00537032"/>
    <w:rsid w:val="00540676"/>
    <w:rsid w:val="00540CFF"/>
    <w:rsid w:val="00541346"/>
    <w:rsid w:val="0054252D"/>
    <w:rsid w:val="00546B1E"/>
    <w:rsid w:val="00547B38"/>
    <w:rsid w:val="00550E6C"/>
    <w:rsid w:val="00550FC3"/>
    <w:rsid w:val="00552546"/>
    <w:rsid w:val="00553D73"/>
    <w:rsid w:val="0055731B"/>
    <w:rsid w:val="005603A9"/>
    <w:rsid w:val="00560A8E"/>
    <w:rsid w:val="0056329F"/>
    <w:rsid w:val="00564965"/>
    <w:rsid w:val="00570166"/>
    <w:rsid w:val="005706ED"/>
    <w:rsid w:val="0057099B"/>
    <w:rsid w:val="00570AAD"/>
    <w:rsid w:val="00572244"/>
    <w:rsid w:val="005743A2"/>
    <w:rsid w:val="00575189"/>
    <w:rsid w:val="005774E5"/>
    <w:rsid w:val="005855B2"/>
    <w:rsid w:val="005864E3"/>
    <w:rsid w:val="005904C6"/>
    <w:rsid w:val="00592F00"/>
    <w:rsid w:val="00593CB9"/>
    <w:rsid w:val="0059489B"/>
    <w:rsid w:val="00595B90"/>
    <w:rsid w:val="00597E91"/>
    <w:rsid w:val="005A0CAA"/>
    <w:rsid w:val="005A4796"/>
    <w:rsid w:val="005B40C1"/>
    <w:rsid w:val="005B47E2"/>
    <w:rsid w:val="005B4B62"/>
    <w:rsid w:val="005B718F"/>
    <w:rsid w:val="005C0633"/>
    <w:rsid w:val="005C24F1"/>
    <w:rsid w:val="005C2876"/>
    <w:rsid w:val="005C437B"/>
    <w:rsid w:val="005C76B0"/>
    <w:rsid w:val="005D068F"/>
    <w:rsid w:val="005D4063"/>
    <w:rsid w:val="005D4F68"/>
    <w:rsid w:val="005D5709"/>
    <w:rsid w:val="005D7AD0"/>
    <w:rsid w:val="005D7DC2"/>
    <w:rsid w:val="005E2F98"/>
    <w:rsid w:val="005E3967"/>
    <w:rsid w:val="005F0F3A"/>
    <w:rsid w:val="005F10AB"/>
    <w:rsid w:val="005F32DB"/>
    <w:rsid w:val="005F5280"/>
    <w:rsid w:val="005F650F"/>
    <w:rsid w:val="005F7485"/>
    <w:rsid w:val="0060043B"/>
    <w:rsid w:val="00600514"/>
    <w:rsid w:val="00602B48"/>
    <w:rsid w:val="00604E55"/>
    <w:rsid w:val="00606348"/>
    <w:rsid w:val="00606D89"/>
    <w:rsid w:val="00606EEC"/>
    <w:rsid w:val="0061136C"/>
    <w:rsid w:val="00611DC3"/>
    <w:rsid w:val="00611E26"/>
    <w:rsid w:val="00612618"/>
    <w:rsid w:val="00621DE6"/>
    <w:rsid w:val="00623A35"/>
    <w:rsid w:val="00624A31"/>
    <w:rsid w:val="00626A50"/>
    <w:rsid w:val="0062730A"/>
    <w:rsid w:val="00627D8F"/>
    <w:rsid w:val="00634875"/>
    <w:rsid w:val="006407CF"/>
    <w:rsid w:val="0064086B"/>
    <w:rsid w:val="006408CD"/>
    <w:rsid w:val="00640B63"/>
    <w:rsid w:val="00641166"/>
    <w:rsid w:val="00641BA8"/>
    <w:rsid w:val="00644A83"/>
    <w:rsid w:val="006456C1"/>
    <w:rsid w:val="00654161"/>
    <w:rsid w:val="0065444A"/>
    <w:rsid w:val="00655A02"/>
    <w:rsid w:val="00656E9F"/>
    <w:rsid w:val="00657591"/>
    <w:rsid w:val="00657F3D"/>
    <w:rsid w:val="006605B6"/>
    <w:rsid w:val="00660E2A"/>
    <w:rsid w:val="006613B2"/>
    <w:rsid w:val="00661568"/>
    <w:rsid w:val="00663358"/>
    <w:rsid w:val="00664B5C"/>
    <w:rsid w:val="00672C21"/>
    <w:rsid w:val="00676EF0"/>
    <w:rsid w:val="00677A3B"/>
    <w:rsid w:val="00681196"/>
    <w:rsid w:val="006843BC"/>
    <w:rsid w:val="00684A7F"/>
    <w:rsid w:val="00686D32"/>
    <w:rsid w:val="00687397"/>
    <w:rsid w:val="0069072B"/>
    <w:rsid w:val="006917B2"/>
    <w:rsid w:val="00693D4D"/>
    <w:rsid w:val="00696196"/>
    <w:rsid w:val="006A6201"/>
    <w:rsid w:val="006A6C00"/>
    <w:rsid w:val="006A7D1B"/>
    <w:rsid w:val="006B0294"/>
    <w:rsid w:val="006B0C5B"/>
    <w:rsid w:val="006B0F67"/>
    <w:rsid w:val="006B165B"/>
    <w:rsid w:val="006B2981"/>
    <w:rsid w:val="006B41CD"/>
    <w:rsid w:val="006B45B4"/>
    <w:rsid w:val="006B5728"/>
    <w:rsid w:val="006B7044"/>
    <w:rsid w:val="006B789A"/>
    <w:rsid w:val="006C0C1F"/>
    <w:rsid w:val="006C158F"/>
    <w:rsid w:val="006C1D3C"/>
    <w:rsid w:val="006C4523"/>
    <w:rsid w:val="006C4E7A"/>
    <w:rsid w:val="006C7C66"/>
    <w:rsid w:val="006D36F9"/>
    <w:rsid w:val="006D3DD4"/>
    <w:rsid w:val="006D48BE"/>
    <w:rsid w:val="006D7252"/>
    <w:rsid w:val="006E3FB8"/>
    <w:rsid w:val="006E41C8"/>
    <w:rsid w:val="006E567C"/>
    <w:rsid w:val="006E66EB"/>
    <w:rsid w:val="006F2946"/>
    <w:rsid w:val="006F72BF"/>
    <w:rsid w:val="007001AD"/>
    <w:rsid w:val="0070572B"/>
    <w:rsid w:val="007139C0"/>
    <w:rsid w:val="00713E82"/>
    <w:rsid w:val="00714739"/>
    <w:rsid w:val="00714E9E"/>
    <w:rsid w:val="00715232"/>
    <w:rsid w:val="00715841"/>
    <w:rsid w:val="00717154"/>
    <w:rsid w:val="00720372"/>
    <w:rsid w:val="007211CD"/>
    <w:rsid w:val="0072197F"/>
    <w:rsid w:val="007248EB"/>
    <w:rsid w:val="007261C5"/>
    <w:rsid w:val="00726AD1"/>
    <w:rsid w:val="0073219C"/>
    <w:rsid w:val="00732220"/>
    <w:rsid w:val="0073712D"/>
    <w:rsid w:val="007405C0"/>
    <w:rsid w:val="00741268"/>
    <w:rsid w:val="007421A8"/>
    <w:rsid w:val="00742DCD"/>
    <w:rsid w:val="00743632"/>
    <w:rsid w:val="00744FCD"/>
    <w:rsid w:val="007456B8"/>
    <w:rsid w:val="0074606D"/>
    <w:rsid w:val="00746922"/>
    <w:rsid w:val="007474D9"/>
    <w:rsid w:val="00750069"/>
    <w:rsid w:val="00752238"/>
    <w:rsid w:val="007526A7"/>
    <w:rsid w:val="00753172"/>
    <w:rsid w:val="00753384"/>
    <w:rsid w:val="007538AD"/>
    <w:rsid w:val="00754003"/>
    <w:rsid w:val="007562DA"/>
    <w:rsid w:val="00760075"/>
    <w:rsid w:val="007621E1"/>
    <w:rsid w:val="0076237A"/>
    <w:rsid w:val="00766636"/>
    <w:rsid w:val="00775649"/>
    <w:rsid w:val="007759A2"/>
    <w:rsid w:val="007818D3"/>
    <w:rsid w:val="0078284B"/>
    <w:rsid w:val="00782E59"/>
    <w:rsid w:val="00784FF2"/>
    <w:rsid w:val="00785601"/>
    <w:rsid w:val="0078777D"/>
    <w:rsid w:val="00792238"/>
    <w:rsid w:val="00792DB9"/>
    <w:rsid w:val="00795EDC"/>
    <w:rsid w:val="00796D21"/>
    <w:rsid w:val="007972A0"/>
    <w:rsid w:val="00797D2D"/>
    <w:rsid w:val="007A1C63"/>
    <w:rsid w:val="007A4C79"/>
    <w:rsid w:val="007A6694"/>
    <w:rsid w:val="007A769C"/>
    <w:rsid w:val="007B0C43"/>
    <w:rsid w:val="007B0DBD"/>
    <w:rsid w:val="007B173F"/>
    <w:rsid w:val="007B575E"/>
    <w:rsid w:val="007B72A4"/>
    <w:rsid w:val="007B7322"/>
    <w:rsid w:val="007C005E"/>
    <w:rsid w:val="007C103E"/>
    <w:rsid w:val="007C16C9"/>
    <w:rsid w:val="007C1752"/>
    <w:rsid w:val="007C2D59"/>
    <w:rsid w:val="007C5175"/>
    <w:rsid w:val="007D0DEE"/>
    <w:rsid w:val="007D20C4"/>
    <w:rsid w:val="007D2B36"/>
    <w:rsid w:val="007D3EBE"/>
    <w:rsid w:val="007D5F58"/>
    <w:rsid w:val="007D6106"/>
    <w:rsid w:val="007D7F71"/>
    <w:rsid w:val="007E182F"/>
    <w:rsid w:val="007E2E60"/>
    <w:rsid w:val="007E2F02"/>
    <w:rsid w:val="007E4043"/>
    <w:rsid w:val="007E52B4"/>
    <w:rsid w:val="007E6323"/>
    <w:rsid w:val="007F0DC0"/>
    <w:rsid w:val="007F2E6E"/>
    <w:rsid w:val="007F45C5"/>
    <w:rsid w:val="007F5D76"/>
    <w:rsid w:val="008069F1"/>
    <w:rsid w:val="00807A08"/>
    <w:rsid w:val="00811C40"/>
    <w:rsid w:val="008137E7"/>
    <w:rsid w:val="008143AF"/>
    <w:rsid w:val="0081787F"/>
    <w:rsid w:val="00817ADE"/>
    <w:rsid w:val="00824B32"/>
    <w:rsid w:val="008254BB"/>
    <w:rsid w:val="008257C0"/>
    <w:rsid w:val="00826DC3"/>
    <w:rsid w:val="008270AB"/>
    <w:rsid w:val="00834BB7"/>
    <w:rsid w:val="00834D00"/>
    <w:rsid w:val="00835188"/>
    <w:rsid w:val="00835286"/>
    <w:rsid w:val="00836F32"/>
    <w:rsid w:val="00846BF3"/>
    <w:rsid w:val="00851E93"/>
    <w:rsid w:val="008520CF"/>
    <w:rsid w:val="0085692A"/>
    <w:rsid w:val="00856E10"/>
    <w:rsid w:val="0086105C"/>
    <w:rsid w:val="008641DB"/>
    <w:rsid w:val="00867339"/>
    <w:rsid w:val="00867F6A"/>
    <w:rsid w:val="008746D7"/>
    <w:rsid w:val="00874B6A"/>
    <w:rsid w:val="00874D0A"/>
    <w:rsid w:val="008769B2"/>
    <w:rsid w:val="008771BA"/>
    <w:rsid w:val="00877A2B"/>
    <w:rsid w:val="008803DE"/>
    <w:rsid w:val="0088306A"/>
    <w:rsid w:val="008856E5"/>
    <w:rsid w:val="008874B8"/>
    <w:rsid w:val="0089096D"/>
    <w:rsid w:val="0089158E"/>
    <w:rsid w:val="0089235F"/>
    <w:rsid w:val="00893333"/>
    <w:rsid w:val="00893449"/>
    <w:rsid w:val="00894042"/>
    <w:rsid w:val="008943CE"/>
    <w:rsid w:val="00894B59"/>
    <w:rsid w:val="008A0198"/>
    <w:rsid w:val="008A32B1"/>
    <w:rsid w:val="008A3500"/>
    <w:rsid w:val="008A5264"/>
    <w:rsid w:val="008A7FE2"/>
    <w:rsid w:val="008B0ED0"/>
    <w:rsid w:val="008B22AA"/>
    <w:rsid w:val="008B4E07"/>
    <w:rsid w:val="008B7E0A"/>
    <w:rsid w:val="008C2A19"/>
    <w:rsid w:val="008C3F4F"/>
    <w:rsid w:val="008C5AC9"/>
    <w:rsid w:val="008C639F"/>
    <w:rsid w:val="008C7FCD"/>
    <w:rsid w:val="008D1D31"/>
    <w:rsid w:val="008D2635"/>
    <w:rsid w:val="008D3D51"/>
    <w:rsid w:val="008D4502"/>
    <w:rsid w:val="008D4574"/>
    <w:rsid w:val="008D5921"/>
    <w:rsid w:val="008D5F3C"/>
    <w:rsid w:val="008E13EF"/>
    <w:rsid w:val="008E31F9"/>
    <w:rsid w:val="008E5A92"/>
    <w:rsid w:val="008E5CFC"/>
    <w:rsid w:val="008E7F2C"/>
    <w:rsid w:val="008F0172"/>
    <w:rsid w:val="008F3DF9"/>
    <w:rsid w:val="008F4D73"/>
    <w:rsid w:val="008F69E4"/>
    <w:rsid w:val="00900D9B"/>
    <w:rsid w:val="00901673"/>
    <w:rsid w:val="009024DA"/>
    <w:rsid w:val="009043E4"/>
    <w:rsid w:val="00904476"/>
    <w:rsid w:val="00906DCD"/>
    <w:rsid w:val="009119DB"/>
    <w:rsid w:val="00911EFE"/>
    <w:rsid w:val="0091216F"/>
    <w:rsid w:val="009143BB"/>
    <w:rsid w:val="00915B0B"/>
    <w:rsid w:val="00916A17"/>
    <w:rsid w:val="0091732A"/>
    <w:rsid w:val="0092021D"/>
    <w:rsid w:val="00920497"/>
    <w:rsid w:val="00920ADE"/>
    <w:rsid w:val="00921340"/>
    <w:rsid w:val="00922EF3"/>
    <w:rsid w:val="009255CE"/>
    <w:rsid w:val="00926409"/>
    <w:rsid w:val="00926CED"/>
    <w:rsid w:val="009274F5"/>
    <w:rsid w:val="00930F53"/>
    <w:rsid w:val="009322D4"/>
    <w:rsid w:val="00933D92"/>
    <w:rsid w:val="00942F74"/>
    <w:rsid w:val="009435C8"/>
    <w:rsid w:val="00943722"/>
    <w:rsid w:val="009454CA"/>
    <w:rsid w:val="0094586A"/>
    <w:rsid w:val="00945F66"/>
    <w:rsid w:val="00947B74"/>
    <w:rsid w:val="009510E2"/>
    <w:rsid w:val="00952654"/>
    <w:rsid w:val="00953AAE"/>
    <w:rsid w:val="00955A89"/>
    <w:rsid w:val="009578D4"/>
    <w:rsid w:val="00957BA1"/>
    <w:rsid w:val="009602BB"/>
    <w:rsid w:val="009608A8"/>
    <w:rsid w:val="0096268A"/>
    <w:rsid w:val="00963F46"/>
    <w:rsid w:val="00964767"/>
    <w:rsid w:val="009656C5"/>
    <w:rsid w:val="0097034F"/>
    <w:rsid w:val="009706A1"/>
    <w:rsid w:val="00970B47"/>
    <w:rsid w:val="00971397"/>
    <w:rsid w:val="00976347"/>
    <w:rsid w:val="00977C5E"/>
    <w:rsid w:val="00982CFD"/>
    <w:rsid w:val="009857B5"/>
    <w:rsid w:val="009861F7"/>
    <w:rsid w:val="00986BB7"/>
    <w:rsid w:val="0099029B"/>
    <w:rsid w:val="00995046"/>
    <w:rsid w:val="009A1BA5"/>
    <w:rsid w:val="009A2B84"/>
    <w:rsid w:val="009A44A8"/>
    <w:rsid w:val="009A4532"/>
    <w:rsid w:val="009A637F"/>
    <w:rsid w:val="009A7420"/>
    <w:rsid w:val="009B233D"/>
    <w:rsid w:val="009B39A2"/>
    <w:rsid w:val="009B53E7"/>
    <w:rsid w:val="009B55E3"/>
    <w:rsid w:val="009C04F6"/>
    <w:rsid w:val="009C0721"/>
    <w:rsid w:val="009C1376"/>
    <w:rsid w:val="009C1FF2"/>
    <w:rsid w:val="009C2808"/>
    <w:rsid w:val="009C3033"/>
    <w:rsid w:val="009C3390"/>
    <w:rsid w:val="009C37DF"/>
    <w:rsid w:val="009C42C5"/>
    <w:rsid w:val="009C4A26"/>
    <w:rsid w:val="009C4BDF"/>
    <w:rsid w:val="009C62F7"/>
    <w:rsid w:val="009D490B"/>
    <w:rsid w:val="009D5E98"/>
    <w:rsid w:val="009E3877"/>
    <w:rsid w:val="009E4284"/>
    <w:rsid w:val="009E4497"/>
    <w:rsid w:val="009E5DE4"/>
    <w:rsid w:val="009F171C"/>
    <w:rsid w:val="009F4DD9"/>
    <w:rsid w:val="00A00578"/>
    <w:rsid w:val="00A00967"/>
    <w:rsid w:val="00A00CEB"/>
    <w:rsid w:val="00A01028"/>
    <w:rsid w:val="00A017FA"/>
    <w:rsid w:val="00A0219E"/>
    <w:rsid w:val="00A0247F"/>
    <w:rsid w:val="00A03854"/>
    <w:rsid w:val="00A049C7"/>
    <w:rsid w:val="00A053E9"/>
    <w:rsid w:val="00A0630C"/>
    <w:rsid w:val="00A06BF3"/>
    <w:rsid w:val="00A06FA8"/>
    <w:rsid w:val="00A07CD8"/>
    <w:rsid w:val="00A10127"/>
    <w:rsid w:val="00A10495"/>
    <w:rsid w:val="00A1154A"/>
    <w:rsid w:val="00A17318"/>
    <w:rsid w:val="00A21884"/>
    <w:rsid w:val="00A230D7"/>
    <w:rsid w:val="00A27D6D"/>
    <w:rsid w:val="00A30851"/>
    <w:rsid w:val="00A31E17"/>
    <w:rsid w:val="00A32275"/>
    <w:rsid w:val="00A33B68"/>
    <w:rsid w:val="00A3400C"/>
    <w:rsid w:val="00A341A1"/>
    <w:rsid w:val="00A351A0"/>
    <w:rsid w:val="00A353BC"/>
    <w:rsid w:val="00A35668"/>
    <w:rsid w:val="00A3588C"/>
    <w:rsid w:val="00A37AE6"/>
    <w:rsid w:val="00A403DA"/>
    <w:rsid w:val="00A42A0B"/>
    <w:rsid w:val="00A43AAC"/>
    <w:rsid w:val="00A47223"/>
    <w:rsid w:val="00A47A2F"/>
    <w:rsid w:val="00A507B7"/>
    <w:rsid w:val="00A508C6"/>
    <w:rsid w:val="00A511B7"/>
    <w:rsid w:val="00A52183"/>
    <w:rsid w:val="00A5367B"/>
    <w:rsid w:val="00A538CA"/>
    <w:rsid w:val="00A55115"/>
    <w:rsid w:val="00A56713"/>
    <w:rsid w:val="00A573DF"/>
    <w:rsid w:val="00A6311B"/>
    <w:rsid w:val="00A65C3E"/>
    <w:rsid w:val="00A65FD3"/>
    <w:rsid w:val="00A66A1A"/>
    <w:rsid w:val="00A7003B"/>
    <w:rsid w:val="00A707EF"/>
    <w:rsid w:val="00A710A0"/>
    <w:rsid w:val="00A74EA0"/>
    <w:rsid w:val="00A75E69"/>
    <w:rsid w:val="00A76657"/>
    <w:rsid w:val="00A76E1C"/>
    <w:rsid w:val="00A77337"/>
    <w:rsid w:val="00A8138F"/>
    <w:rsid w:val="00A82076"/>
    <w:rsid w:val="00A828D1"/>
    <w:rsid w:val="00A83DD2"/>
    <w:rsid w:val="00A864DE"/>
    <w:rsid w:val="00A87F7F"/>
    <w:rsid w:val="00A95082"/>
    <w:rsid w:val="00A97065"/>
    <w:rsid w:val="00A971CE"/>
    <w:rsid w:val="00AA0155"/>
    <w:rsid w:val="00AA0791"/>
    <w:rsid w:val="00AA09DD"/>
    <w:rsid w:val="00AA0B97"/>
    <w:rsid w:val="00AA1121"/>
    <w:rsid w:val="00AA2544"/>
    <w:rsid w:val="00AA2BDE"/>
    <w:rsid w:val="00AA453D"/>
    <w:rsid w:val="00AA4745"/>
    <w:rsid w:val="00AA4E09"/>
    <w:rsid w:val="00AA51BE"/>
    <w:rsid w:val="00AB4A7E"/>
    <w:rsid w:val="00AB5465"/>
    <w:rsid w:val="00AB63D8"/>
    <w:rsid w:val="00AB7652"/>
    <w:rsid w:val="00AB7C2E"/>
    <w:rsid w:val="00AC2422"/>
    <w:rsid w:val="00AC418A"/>
    <w:rsid w:val="00AC7C0C"/>
    <w:rsid w:val="00AC7EFD"/>
    <w:rsid w:val="00AD0D6E"/>
    <w:rsid w:val="00AD3AF3"/>
    <w:rsid w:val="00AD4B40"/>
    <w:rsid w:val="00AD551A"/>
    <w:rsid w:val="00AD6797"/>
    <w:rsid w:val="00AE010F"/>
    <w:rsid w:val="00AE175A"/>
    <w:rsid w:val="00AE7DAA"/>
    <w:rsid w:val="00AF3448"/>
    <w:rsid w:val="00AF47A8"/>
    <w:rsid w:val="00AF4E33"/>
    <w:rsid w:val="00AF5F10"/>
    <w:rsid w:val="00AF5F86"/>
    <w:rsid w:val="00AF6919"/>
    <w:rsid w:val="00AF787C"/>
    <w:rsid w:val="00B00438"/>
    <w:rsid w:val="00B02CB5"/>
    <w:rsid w:val="00B05113"/>
    <w:rsid w:val="00B05C8D"/>
    <w:rsid w:val="00B05E2B"/>
    <w:rsid w:val="00B06C83"/>
    <w:rsid w:val="00B07E06"/>
    <w:rsid w:val="00B15CCA"/>
    <w:rsid w:val="00B16C55"/>
    <w:rsid w:val="00B21355"/>
    <w:rsid w:val="00B317BA"/>
    <w:rsid w:val="00B318B5"/>
    <w:rsid w:val="00B31D63"/>
    <w:rsid w:val="00B3239C"/>
    <w:rsid w:val="00B34EA3"/>
    <w:rsid w:val="00B352AF"/>
    <w:rsid w:val="00B36C69"/>
    <w:rsid w:val="00B40177"/>
    <w:rsid w:val="00B40697"/>
    <w:rsid w:val="00B4393E"/>
    <w:rsid w:val="00B443CD"/>
    <w:rsid w:val="00B44EFF"/>
    <w:rsid w:val="00B47B02"/>
    <w:rsid w:val="00B52CEF"/>
    <w:rsid w:val="00B541C1"/>
    <w:rsid w:val="00B54299"/>
    <w:rsid w:val="00B5504E"/>
    <w:rsid w:val="00B57CFC"/>
    <w:rsid w:val="00B6143B"/>
    <w:rsid w:val="00B6280C"/>
    <w:rsid w:val="00B6329B"/>
    <w:rsid w:val="00B6553E"/>
    <w:rsid w:val="00B66545"/>
    <w:rsid w:val="00B67C17"/>
    <w:rsid w:val="00B7375A"/>
    <w:rsid w:val="00B75079"/>
    <w:rsid w:val="00B75A05"/>
    <w:rsid w:val="00B761A2"/>
    <w:rsid w:val="00B769F6"/>
    <w:rsid w:val="00B77468"/>
    <w:rsid w:val="00B77B6C"/>
    <w:rsid w:val="00B80698"/>
    <w:rsid w:val="00B80E97"/>
    <w:rsid w:val="00B81BD1"/>
    <w:rsid w:val="00B82CB6"/>
    <w:rsid w:val="00B84292"/>
    <w:rsid w:val="00B844FA"/>
    <w:rsid w:val="00B86A86"/>
    <w:rsid w:val="00B86FC4"/>
    <w:rsid w:val="00B873F1"/>
    <w:rsid w:val="00B90B56"/>
    <w:rsid w:val="00B92669"/>
    <w:rsid w:val="00B928EE"/>
    <w:rsid w:val="00B952BB"/>
    <w:rsid w:val="00B964E8"/>
    <w:rsid w:val="00B96AC5"/>
    <w:rsid w:val="00B96B72"/>
    <w:rsid w:val="00B9738B"/>
    <w:rsid w:val="00BA0565"/>
    <w:rsid w:val="00BA05B5"/>
    <w:rsid w:val="00BA18B2"/>
    <w:rsid w:val="00BA1B32"/>
    <w:rsid w:val="00BA1C9D"/>
    <w:rsid w:val="00BA27B7"/>
    <w:rsid w:val="00BA3F5F"/>
    <w:rsid w:val="00BA4A34"/>
    <w:rsid w:val="00BA4CA0"/>
    <w:rsid w:val="00BA54EB"/>
    <w:rsid w:val="00BB0C8A"/>
    <w:rsid w:val="00BB24F3"/>
    <w:rsid w:val="00BB3AA4"/>
    <w:rsid w:val="00BB4868"/>
    <w:rsid w:val="00BB4D8D"/>
    <w:rsid w:val="00BB51EE"/>
    <w:rsid w:val="00BC1186"/>
    <w:rsid w:val="00BC12DF"/>
    <w:rsid w:val="00BC144A"/>
    <w:rsid w:val="00BC3337"/>
    <w:rsid w:val="00BC3408"/>
    <w:rsid w:val="00BC35B9"/>
    <w:rsid w:val="00BD0913"/>
    <w:rsid w:val="00BD44E2"/>
    <w:rsid w:val="00BD485D"/>
    <w:rsid w:val="00BD701F"/>
    <w:rsid w:val="00BD78CC"/>
    <w:rsid w:val="00BE09C4"/>
    <w:rsid w:val="00BE2188"/>
    <w:rsid w:val="00BE3496"/>
    <w:rsid w:val="00BE5EC5"/>
    <w:rsid w:val="00BE70B6"/>
    <w:rsid w:val="00BF138C"/>
    <w:rsid w:val="00BF1862"/>
    <w:rsid w:val="00C00C31"/>
    <w:rsid w:val="00C00FB4"/>
    <w:rsid w:val="00C028CC"/>
    <w:rsid w:val="00C03CD6"/>
    <w:rsid w:val="00C11820"/>
    <w:rsid w:val="00C126F5"/>
    <w:rsid w:val="00C1367C"/>
    <w:rsid w:val="00C166DC"/>
    <w:rsid w:val="00C16A3F"/>
    <w:rsid w:val="00C2046C"/>
    <w:rsid w:val="00C310E7"/>
    <w:rsid w:val="00C4272F"/>
    <w:rsid w:val="00C50E8D"/>
    <w:rsid w:val="00C540B4"/>
    <w:rsid w:val="00C55E0F"/>
    <w:rsid w:val="00C5684B"/>
    <w:rsid w:val="00C569FC"/>
    <w:rsid w:val="00C63C25"/>
    <w:rsid w:val="00C64643"/>
    <w:rsid w:val="00C64757"/>
    <w:rsid w:val="00C65485"/>
    <w:rsid w:val="00C70A8F"/>
    <w:rsid w:val="00C716FA"/>
    <w:rsid w:val="00C7436C"/>
    <w:rsid w:val="00C751F0"/>
    <w:rsid w:val="00C75970"/>
    <w:rsid w:val="00C82D1B"/>
    <w:rsid w:val="00C82F86"/>
    <w:rsid w:val="00C83AC1"/>
    <w:rsid w:val="00C841BF"/>
    <w:rsid w:val="00C8471F"/>
    <w:rsid w:val="00C91A81"/>
    <w:rsid w:val="00C92AF1"/>
    <w:rsid w:val="00C94E27"/>
    <w:rsid w:val="00C96A85"/>
    <w:rsid w:val="00CA2852"/>
    <w:rsid w:val="00CA3E6A"/>
    <w:rsid w:val="00CA51A7"/>
    <w:rsid w:val="00CA52CF"/>
    <w:rsid w:val="00CB012F"/>
    <w:rsid w:val="00CB3F0E"/>
    <w:rsid w:val="00CB570D"/>
    <w:rsid w:val="00CC1C11"/>
    <w:rsid w:val="00CC5D4F"/>
    <w:rsid w:val="00CC695E"/>
    <w:rsid w:val="00CC6CD4"/>
    <w:rsid w:val="00CC71BF"/>
    <w:rsid w:val="00CD03AC"/>
    <w:rsid w:val="00CD06F6"/>
    <w:rsid w:val="00CD1BA9"/>
    <w:rsid w:val="00CD511A"/>
    <w:rsid w:val="00CE330B"/>
    <w:rsid w:val="00CE356C"/>
    <w:rsid w:val="00CE4D95"/>
    <w:rsid w:val="00CE77A9"/>
    <w:rsid w:val="00CF0580"/>
    <w:rsid w:val="00CF1F80"/>
    <w:rsid w:val="00CF39FD"/>
    <w:rsid w:val="00CF67B4"/>
    <w:rsid w:val="00CF7205"/>
    <w:rsid w:val="00D000F8"/>
    <w:rsid w:val="00D00300"/>
    <w:rsid w:val="00D1547E"/>
    <w:rsid w:val="00D1548F"/>
    <w:rsid w:val="00D17965"/>
    <w:rsid w:val="00D22468"/>
    <w:rsid w:val="00D22848"/>
    <w:rsid w:val="00D24364"/>
    <w:rsid w:val="00D264B7"/>
    <w:rsid w:val="00D2733A"/>
    <w:rsid w:val="00D27C16"/>
    <w:rsid w:val="00D27F46"/>
    <w:rsid w:val="00D37536"/>
    <w:rsid w:val="00D37BA6"/>
    <w:rsid w:val="00D40201"/>
    <w:rsid w:val="00D40A03"/>
    <w:rsid w:val="00D419C5"/>
    <w:rsid w:val="00D4399D"/>
    <w:rsid w:val="00D4614F"/>
    <w:rsid w:val="00D505B3"/>
    <w:rsid w:val="00D511A3"/>
    <w:rsid w:val="00D57F01"/>
    <w:rsid w:val="00D6131C"/>
    <w:rsid w:val="00D614D3"/>
    <w:rsid w:val="00D62C3B"/>
    <w:rsid w:val="00D64FD0"/>
    <w:rsid w:val="00D6681E"/>
    <w:rsid w:val="00D71586"/>
    <w:rsid w:val="00D7467B"/>
    <w:rsid w:val="00D75A75"/>
    <w:rsid w:val="00D76CBB"/>
    <w:rsid w:val="00D82130"/>
    <w:rsid w:val="00D833EB"/>
    <w:rsid w:val="00D84D02"/>
    <w:rsid w:val="00D85FD9"/>
    <w:rsid w:val="00D86726"/>
    <w:rsid w:val="00D92F2B"/>
    <w:rsid w:val="00D94D7C"/>
    <w:rsid w:val="00DA390A"/>
    <w:rsid w:val="00DA54ED"/>
    <w:rsid w:val="00DA5A0A"/>
    <w:rsid w:val="00DA713D"/>
    <w:rsid w:val="00DB0130"/>
    <w:rsid w:val="00DB1CD3"/>
    <w:rsid w:val="00DB412D"/>
    <w:rsid w:val="00DB4C1A"/>
    <w:rsid w:val="00DB5AC1"/>
    <w:rsid w:val="00DB7271"/>
    <w:rsid w:val="00DB73C0"/>
    <w:rsid w:val="00DB7C09"/>
    <w:rsid w:val="00DC01C3"/>
    <w:rsid w:val="00DC038D"/>
    <w:rsid w:val="00DC1579"/>
    <w:rsid w:val="00DC4693"/>
    <w:rsid w:val="00DC4B81"/>
    <w:rsid w:val="00DC6433"/>
    <w:rsid w:val="00DC681D"/>
    <w:rsid w:val="00DD0B51"/>
    <w:rsid w:val="00DD79DA"/>
    <w:rsid w:val="00DE2E4F"/>
    <w:rsid w:val="00DE3B4C"/>
    <w:rsid w:val="00DE3BA0"/>
    <w:rsid w:val="00DE494E"/>
    <w:rsid w:val="00DE5B72"/>
    <w:rsid w:val="00DE69C6"/>
    <w:rsid w:val="00DF0E7D"/>
    <w:rsid w:val="00DF1504"/>
    <w:rsid w:val="00DF36DA"/>
    <w:rsid w:val="00DF70FD"/>
    <w:rsid w:val="00DF75B6"/>
    <w:rsid w:val="00DF7A04"/>
    <w:rsid w:val="00E0075F"/>
    <w:rsid w:val="00E05275"/>
    <w:rsid w:val="00E0630F"/>
    <w:rsid w:val="00E10049"/>
    <w:rsid w:val="00E109E8"/>
    <w:rsid w:val="00E10DD1"/>
    <w:rsid w:val="00E14D57"/>
    <w:rsid w:val="00E21F9C"/>
    <w:rsid w:val="00E24472"/>
    <w:rsid w:val="00E2541D"/>
    <w:rsid w:val="00E25436"/>
    <w:rsid w:val="00E25A13"/>
    <w:rsid w:val="00E25F4D"/>
    <w:rsid w:val="00E27887"/>
    <w:rsid w:val="00E30321"/>
    <w:rsid w:val="00E315CB"/>
    <w:rsid w:val="00E3268B"/>
    <w:rsid w:val="00E3341F"/>
    <w:rsid w:val="00E33B2D"/>
    <w:rsid w:val="00E3483C"/>
    <w:rsid w:val="00E4228A"/>
    <w:rsid w:val="00E422A0"/>
    <w:rsid w:val="00E42DE0"/>
    <w:rsid w:val="00E4347D"/>
    <w:rsid w:val="00E501C5"/>
    <w:rsid w:val="00E501FE"/>
    <w:rsid w:val="00E5358D"/>
    <w:rsid w:val="00E54496"/>
    <w:rsid w:val="00E55B3F"/>
    <w:rsid w:val="00E57BED"/>
    <w:rsid w:val="00E57F3C"/>
    <w:rsid w:val="00E6091E"/>
    <w:rsid w:val="00E610CD"/>
    <w:rsid w:val="00E624A0"/>
    <w:rsid w:val="00E625AA"/>
    <w:rsid w:val="00E6494C"/>
    <w:rsid w:val="00E704F5"/>
    <w:rsid w:val="00E7145D"/>
    <w:rsid w:val="00E71A28"/>
    <w:rsid w:val="00E74F40"/>
    <w:rsid w:val="00E7643B"/>
    <w:rsid w:val="00E77785"/>
    <w:rsid w:val="00E77CD3"/>
    <w:rsid w:val="00E80D98"/>
    <w:rsid w:val="00E811CA"/>
    <w:rsid w:val="00E814EA"/>
    <w:rsid w:val="00E829A0"/>
    <w:rsid w:val="00E83326"/>
    <w:rsid w:val="00E83BF3"/>
    <w:rsid w:val="00E87F0D"/>
    <w:rsid w:val="00E93B28"/>
    <w:rsid w:val="00E941FF"/>
    <w:rsid w:val="00E95145"/>
    <w:rsid w:val="00E95DF4"/>
    <w:rsid w:val="00EA062C"/>
    <w:rsid w:val="00EA105B"/>
    <w:rsid w:val="00EA170C"/>
    <w:rsid w:val="00EA3716"/>
    <w:rsid w:val="00EA406B"/>
    <w:rsid w:val="00EA4633"/>
    <w:rsid w:val="00EA6202"/>
    <w:rsid w:val="00EA690E"/>
    <w:rsid w:val="00EA6E69"/>
    <w:rsid w:val="00EA72FF"/>
    <w:rsid w:val="00EA74ED"/>
    <w:rsid w:val="00EB0460"/>
    <w:rsid w:val="00EB2DBC"/>
    <w:rsid w:val="00EB3340"/>
    <w:rsid w:val="00EB7B1C"/>
    <w:rsid w:val="00EC20F4"/>
    <w:rsid w:val="00EC2BD4"/>
    <w:rsid w:val="00EC38B8"/>
    <w:rsid w:val="00EC4D46"/>
    <w:rsid w:val="00EC5099"/>
    <w:rsid w:val="00ED1180"/>
    <w:rsid w:val="00ED3189"/>
    <w:rsid w:val="00ED4428"/>
    <w:rsid w:val="00ED47E3"/>
    <w:rsid w:val="00ED6C5D"/>
    <w:rsid w:val="00ED7682"/>
    <w:rsid w:val="00ED7CEA"/>
    <w:rsid w:val="00EE1115"/>
    <w:rsid w:val="00EE4135"/>
    <w:rsid w:val="00EE4969"/>
    <w:rsid w:val="00EE65EF"/>
    <w:rsid w:val="00EE6644"/>
    <w:rsid w:val="00EE6883"/>
    <w:rsid w:val="00EE6ED9"/>
    <w:rsid w:val="00EE70F7"/>
    <w:rsid w:val="00EE7651"/>
    <w:rsid w:val="00EF44FA"/>
    <w:rsid w:val="00EF4F43"/>
    <w:rsid w:val="00EF50CE"/>
    <w:rsid w:val="00EF5B65"/>
    <w:rsid w:val="00EF67F6"/>
    <w:rsid w:val="00F00676"/>
    <w:rsid w:val="00F017D2"/>
    <w:rsid w:val="00F028D5"/>
    <w:rsid w:val="00F02B64"/>
    <w:rsid w:val="00F034EE"/>
    <w:rsid w:val="00F05AEB"/>
    <w:rsid w:val="00F07113"/>
    <w:rsid w:val="00F071E8"/>
    <w:rsid w:val="00F07894"/>
    <w:rsid w:val="00F07CE7"/>
    <w:rsid w:val="00F111D1"/>
    <w:rsid w:val="00F11332"/>
    <w:rsid w:val="00F114F0"/>
    <w:rsid w:val="00F137CC"/>
    <w:rsid w:val="00F13C87"/>
    <w:rsid w:val="00F1402A"/>
    <w:rsid w:val="00F14901"/>
    <w:rsid w:val="00F176D4"/>
    <w:rsid w:val="00F22F18"/>
    <w:rsid w:val="00F23D88"/>
    <w:rsid w:val="00F241E7"/>
    <w:rsid w:val="00F266F7"/>
    <w:rsid w:val="00F3209F"/>
    <w:rsid w:val="00F321EC"/>
    <w:rsid w:val="00F36AF0"/>
    <w:rsid w:val="00F40566"/>
    <w:rsid w:val="00F41758"/>
    <w:rsid w:val="00F452BC"/>
    <w:rsid w:val="00F45C71"/>
    <w:rsid w:val="00F46B9F"/>
    <w:rsid w:val="00F46E9A"/>
    <w:rsid w:val="00F50041"/>
    <w:rsid w:val="00F529DE"/>
    <w:rsid w:val="00F54707"/>
    <w:rsid w:val="00F55A22"/>
    <w:rsid w:val="00F55E8D"/>
    <w:rsid w:val="00F56903"/>
    <w:rsid w:val="00F573CA"/>
    <w:rsid w:val="00F60DBA"/>
    <w:rsid w:val="00F61E51"/>
    <w:rsid w:val="00F62456"/>
    <w:rsid w:val="00F63113"/>
    <w:rsid w:val="00F65FA7"/>
    <w:rsid w:val="00F6721E"/>
    <w:rsid w:val="00F70BF6"/>
    <w:rsid w:val="00F72CBB"/>
    <w:rsid w:val="00F73C78"/>
    <w:rsid w:val="00F7576A"/>
    <w:rsid w:val="00F76570"/>
    <w:rsid w:val="00F80062"/>
    <w:rsid w:val="00F824A0"/>
    <w:rsid w:val="00F84614"/>
    <w:rsid w:val="00F865B9"/>
    <w:rsid w:val="00F865F9"/>
    <w:rsid w:val="00F87A64"/>
    <w:rsid w:val="00F87C6A"/>
    <w:rsid w:val="00F92094"/>
    <w:rsid w:val="00F927CC"/>
    <w:rsid w:val="00F93A24"/>
    <w:rsid w:val="00F959F1"/>
    <w:rsid w:val="00F963C5"/>
    <w:rsid w:val="00F96952"/>
    <w:rsid w:val="00F969FF"/>
    <w:rsid w:val="00F97299"/>
    <w:rsid w:val="00FA02B7"/>
    <w:rsid w:val="00FA0638"/>
    <w:rsid w:val="00FA3838"/>
    <w:rsid w:val="00FA384D"/>
    <w:rsid w:val="00FA4016"/>
    <w:rsid w:val="00FB0FEA"/>
    <w:rsid w:val="00FB1821"/>
    <w:rsid w:val="00FB1CF7"/>
    <w:rsid w:val="00FB4BB4"/>
    <w:rsid w:val="00FB5925"/>
    <w:rsid w:val="00FC1115"/>
    <w:rsid w:val="00FC5597"/>
    <w:rsid w:val="00FC6105"/>
    <w:rsid w:val="00FD2021"/>
    <w:rsid w:val="00FD28C1"/>
    <w:rsid w:val="00FD335E"/>
    <w:rsid w:val="00FD3AD1"/>
    <w:rsid w:val="00FD6A2A"/>
    <w:rsid w:val="00FD74DB"/>
    <w:rsid w:val="00FD7AA7"/>
    <w:rsid w:val="00FD7C76"/>
    <w:rsid w:val="00FE4000"/>
    <w:rsid w:val="00FE633C"/>
    <w:rsid w:val="00FE7F9E"/>
    <w:rsid w:val="00FF09AD"/>
    <w:rsid w:val="00FF2E0E"/>
    <w:rsid w:val="00FF51B5"/>
    <w:rsid w:val="00FF67B6"/>
    <w:rsid w:val="21926F9D"/>
    <w:rsid w:val="69E93820"/>
    <w:rsid w:val="727B0C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271</Words>
  <Characters>1548</Characters>
  <Lines>12</Lines>
  <Paragraphs>3</Paragraphs>
  <TotalTime>1</TotalTime>
  <ScaleCrop>false</ScaleCrop>
  <LinksUpToDate>false</LinksUpToDate>
  <CharactersWithSpaces>1816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2020-07-17T01:16:00Z</dcterms:created>
  <dc:creator>NTKO</dc:creator>
  <cp:lastModifiedBy>他说</cp:lastModifiedBy>
  <dcterms:modified xsi:type="dcterms:W3CDTF">2020-08-05T03:06:57Z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