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四川省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宜宾市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地方标准</w:t>
      </w:r>
    </w:p>
    <w:p>
      <w:pPr>
        <w:pStyle w:val="18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《漆树育苗与栽培技术规范》</w:t>
      </w:r>
    </w:p>
    <w:p>
      <w:pPr>
        <w:pStyle w:val="18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18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18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18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编制说明</w:t>
      </w:r>
    </w:p>
    <w:p>
      <w:pPr>
        <w:pStyle w:val="18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18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18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18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18"/>
        <w:ind w:firstLine="0" w:firstLineChars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18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标准起草工作组</w:t>
      </w:r>
    </w:p>
    <w:p>
      <w:pPr>
        <w:pStyle w:val="18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二〇二〇年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月</w:t>
      </w:r>
    </w:p>
    <w:p>
      <w:pPr>
        <w:adjustRightInd w:val="0"/>
        <w:snapToGrid w:val="0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</w:p>
    <w:p>
      <w:pPr>
        <w:adjustRightInd w:val="0"/>
        <w:snapToGrid w:val="0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  <w:sectPr>
          <w:footerReference r:id="rId3" w:type="default"/>
          <w:pgSz w:w="11906" w:h="16838"/>
          <w:pgMar w:top="1418" w:right="1418" w:bottom="1418" w:left="1588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工作简况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任务来源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中国生漆有着悠久的文化历史，在世界上素有“涂料之王”的美誉。据《四川省宜宾市现代漆树产业发展总体规划》显示，宜宾市规划到2025年建成漆树产业基地100万亩，其中以筠连县为核心区建设60万亩，近年来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宜宾市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积极建设漆产业园，着力打造漆树产业集群，将生漆产业作为百亿产业来打造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，因此为推进和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帮助漆树行业的健康与积极发展，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筠连县市场监督管理局向宜宾市市场监督管理局提出《</w:t>
      </w:r>
      <w:r>
        <w:rPr>
          <w:rFonts w:hint="eastAsia" w:ascii="仿宋_GB2312" w:eastAsia="仿宋_GB2312"/>
          <w:sz w:val="32"/>
          <w:szCs w:val="32"/>
        </w:rPr>
        <w:t>漆树育苗与栽培技术规范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》的立项申报，经立项征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集、专家评估审查、公示并广泛征求意见等程序，决定制定宜宾市地方标准，项目公示文件号为宜市监公示〔2020〕1号。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协作单位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筠连县市场监督管理局、宜宾市标准化促进会、筠连县自然资源和规划局、</w:t>
      </w:r>
      <w:r>
        <w:rPr>
          <w:rFonts w:hint="eastAsia" w:ascii="仿宋_GB2312" w:eastAsia="仿宋_GB2312"/>
          <w:sz w:val="32"/>
          <w:szCs w:val="32"/>
          <w:lang w:eastAsia="zh-CN"/>
        </w:rPr>
        <w:t>标准编制公司。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制（修）订标准的必要性、目的和意义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80"/>
        <w:jc w:val="left"/>
        <w:textAlignment w:val="auto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1.必要性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宜宾市漆树行业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生产不规范，产品质量控制、包装、贮藏、运输等各个环节均存在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难题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，漆树产品加工标准与质量控制体系缺失，严重影响了漆树科技成果的推广应用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漆树科学育苗、栽培及规范化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加工工艺改良仍然是目前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宜宾市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漆树加工领域需要迫切解决的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问题，因此按照宜宾市实际情况制定的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漆树育苗与栽培技术规范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》地方标准将弥补这些问题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80"/>
        <w:jc w:val="left"/>
        <w:textAlignment w:val="auto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目的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为了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响应国家部委实施的“农村一二三产业融合发展”“贫困地区生态保护和产业发展”“长江经济带造林绿化”等战略、政策或规划，发挥漆树产业在我国社会经济发展和生态文明建设中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重要作用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，固化漆树种植经验，让漆树行业能种出优质漆树，提高割漆质量让宜宾市漆树行业能够健康稳步的发展。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80"/>
        <w:jc w:val="left"/>
        <w:textAlignment w:val="auto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意义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制定宜宾市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漆树育苗与栽培技术规范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》地方标准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有利于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推进漆树产业基地建设，加强产学研融合，保护生态环境，提高漆树割漆质量增加创收。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主要工作过程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80"/>
        <w:jc w:val="left"/>
        <w:textAlignment w:val="auto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1.项目立项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80"/>
        <w:jc w:val="left"/>
        <w:textAlignment w:val="auto"/>
        <w:outlineLvl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筠连县市场监督管理局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宜宾市标准化促进会、筠连县自然资源和规划局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宜宾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市市场监督管理局提出本标准的立项申请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立项。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80"/>
        <w:jc w:val="left"/>
        <w:textAlignment w:val="auto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2.成立标准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起草工作组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80"/>
        <w:jc w:val="left"/>
        <w:textAlignment w:val="auto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2020年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</w:rPr>
        <w:t>筠连县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市场监督管理局联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宜宾市标准化促进会、筠连县自然资源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和规划局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标准编制专业机构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成立标准起草工作组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明确共同研制地方标准等相关事宜，并对标准编制工作进行总体部署。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80"/>
        <w:jc w:val="left"/>
        <w:textAlignment w:val="auto"/>
        <w:outlineLvl w:val="2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3.前期调研和资料收集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2020年5月，标准起草组</w:t>
      </w:r>
      <w:r>
        <w:rPr>
          <w:rFonts w:hint="eastAsia" w:ascii="仿宋_GB2312" w:eastAsia="仿宋_GB2312" w:hAnsiTheme="minorEastAsia"/>
          <w:sz w:val="32"/>
          <w:szCs w:val="32"/>
        </w:rPr>
        <w:t>开展了资料收集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与分析的工作，收集漆树行业的相关背景资料，了解漆树行业目前现状，分析宜宾市漆树行业的发展前景和发展过程中的难点。并于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2020年6月，前后多次前往筠连县实地调研，与当地漆树龙头企业蓝伯特生物科技有限公司深入交流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，通过与漆树企业交流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了解宜宾市漆树实际情况包括种苗繁育、栽培管理、病虫害防治、割漆、包装贮藏运输等。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多种方式包括现场座谈、网络、电话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方式与相关机构专家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沟通，讨论标准名称、框架及相关内容，通过以上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工作准备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为标准的可行性</w:t>
      </w:r>
      <w:r>
        <w:rPr>
          <w:rFonts w:hint="eastAsia" w:ascii="仿宋_GB2312" w:hAnsi="仿宋_GB2312" w:eastAsia="仿宋_GB2312" w:cs="仿宋_GB2312"/>
          <w:sz w:val="32"/>
          <w:szCs w:val="32"/>
        </w:rPr>
        <w:t>奠定了基础。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80"/>
        <w:jc w:val="left"/>
        <w:textAlignment w:val="auto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4.标准起草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80"/>
        <w:jc w:val="left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2020年6月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期间为保证标准的可行性和先进性，客观反映宜宾市漆树行业的技术规范，起草工作组梳理了前期的调研资料，并和漆树技术专家保持密切的沟通，并到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筠连县市场监管局进行座谈，和企业面对面沟通交流，收集讨论会意见和建议，讨论标准内容细则，最终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形成了标准的初稿。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80"/>
        <w:jc w:val="left"/>
        <w:textAlignment w:val="auto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5.意见征求</w:t>
      </w:r>
    </w:p>
    <w:p>
      <w:pPr>
        <w:pStyle w:val="18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jc w:val="left"/>
        <w:textAlignment w:val="auto"/>
        <w:outlineLvl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月，标准起草工作组将标准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向相关专家征求意见，且通过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宜宾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市市场监管局网上系统征求意见，充分收集反馈意见并对标准进行修改和完善。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确定标准主要内容的依据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（一）编制原则</w:t>
      </w:r>
    </w:p>
    <w:p>
      <w:pPr>
        <w:ind w:firstLine="645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编写格式严格依据GB/T　1.1-2009《标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准化工作导则》的要求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；</w:t>
      </w:r>
    </w:p>
    <w:p>
      <w:pPr>
        <w:ind w:firstLine="645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标准具有科学性、先进性和可操作性；</w:t>
      </w:r>
    </w:p>
    <w:p>
      <w:pPr>
        <w:ind w:firstLine="645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与相关标准法规协调一致；</w:t>
      </w:r>
    </w:p>
    <w:p>
      <w:pPr>
        <w:ind w:firstLine="640" w:firstLineChars="20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符合宜宾市当地实际情况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（二）编制依据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标准编制过程中参考的主要文件及相关标准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LY/T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1894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漆树栽培技术规程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主要内容的说明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明确标准适用范围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本标准规定了宜宾市漆树种苗繁育、栽培管理、病虫害防治、割漆、包装贮藏运输等技术要求。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标准主要内容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bookmarkStart w:id="0" w:name="_Toc30569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1.种苗繁育</w:t>
      </w:r>
      <w:bookmarkEnd w:id="0"/>
    </w:p>
    <w:p>
      <w:pPr>
        <w:pStyle w:val="18"/>
        <w:numPr>
          <w:ilvl w:val="0"/>
          <w:numId w:val="0"/>
        </w:numPr>
        <w:ind w:left="403" w:leftChars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（1）良种选用</w:t>
      </w:r>
    </w:p>
    <w:p>
      <w:pPr>
        <w:pStyle w:val="18"/>
        <w:numPr>
          <w:ilvl w:val="0"/>
          <w:numId w:val="0"/>
        </w:numPr>
        <w:ind w:firstLine="640" w:firstLineChars="20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该部分主要针对良种的产量指标、生长指标、漆酚含量和树形质量进行要求。</w:t>
      </w:r>
    </w:p>
    <w:p>
      <w:pPr>
        <w:pStyle w:val="18"/>
        <w:numPr>
          <w:ilvl w:val="0"/>
          <w:numId w:val="0"/>
        </w:numPr>
        <w:ind w:left="403" w:leftChars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 xml:space="preserve">（2）苗木培育  </w:t>
      </w:r>
    </w:p>
    <w:p>
      <w:pPr>
        <w:pStyle w:val="18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该部分对种子育苗中的采种规范、种子的质量和处理方法、苗圃地准备、播种、苗圃管理进行要求。对根蘗育苗中的苗圃地准备，母树选择，采根的时间和方法，催芽和育苗技术进行规范。</w:t>
      </w:r>
    </w:p>
    <w:p>
      <w:pPr>
        <w:pStyle w:val="18"/>
        <w:numPr>
          <w:ilvl w:val="0"/>
          <w:numId w:val="0"/>
        </w:numPr>
        <w:ind w:left="403" w:leftChars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（3）苗木分级</w:t>
      </w:r>
    </w:p>
    <w:p>
      <w:pPr>
        <w:pStyle w:val="18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该部分制定了对漆树苗木分级的标准，包括地径、苗高、根系长度等指标，Ⅰ级苗木地径(cm)≥1.10，Ⅱ级苗木地径(cm)≥1.00，达到Ⅰ、Ⅱ级苗木标准才能出圃。</w:t>
      </w:r>
    </w:p>
    <w:p>
      <w:pPr>
        <w:pStyle w:val="18"/>
        <w:numPr>
          <w:ilvl w:val="0"/>
          <w:numId w:val="0"/>
        </w:numPr>
        <w:ind w:left="403" w:leftChars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2.栽培管理</w:t>
      </w:r>
    </w:p>
    <w:p>
      <w:pPr>
        <w:pStyle w:val="18"/>
        <w:numPr>
          <w:ilvl w:val="0"/>
          <w:numId w:val="0"/>
        </w:numPr>
        <w:ind w:left="403" w:leftChars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（1）品种选择</w:t>
      </w:r>
    </w:p>
    <w:p>
      <w:pPr>
        <w:pStyle w:val="24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该部分主要阐述了在对品种选择上应按照适地适树的原则进行栽培，对引入品种应进行试验。</w:t>
      </w:r>
    </w:p>
    <w:p>
      <w:pPr>
        <w:pStyle w:val="18"/>
        <w:numPr>
          <w:ilvl w:val="0"/>
          <w:numId w:val="0"/>
        </w:numPr>
        <w:ind w:left="403" w:leftChars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（2）造林地规范</w:t>
      </w:r>
    </w:p>
    <w:p>
      <w:pPr>
        <w:pStyle w:val="24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该部分对造林地选择和设计规范上进行了要求。</w:t>
      </w:r>
    </w:p>
    <w:p>
      <w:pPr>
        <w:pStyle w:val="18"/>
        <w:numPr>
          <w:ilvl w:val="0"/>
          <w:numId w:val="0"/>
        </w:numPr>
        <w:ind w:left="403" w:leftChars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（3）栽培技术</w:t>
      </w:r>
    </w:p>
    <w:p>
      <w:pPr>
        <w:pStyle w:val="24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该部分对栽培的时间和方法进行了规范。</w:t>
      </w:r>
    </w:p>
    <w:p>
      <w:pPr>
        <w:pStyle w:val="18"/>
        <w:numPr>
          <w:ilvl w:val="0"/>
          <w:numId w:val="0"/>
        </w:numPr>
        <w:ind w:left="403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（4）未成林抚育管理</w:t>
      </w:r>
    </w:p>
    <w:p>
      <w:pPr>
        <w:pStyle w:val="24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该部分对漆树未成林期间抚育阶段的工作内容进行了要求包括除草、灌溉、施肥、间苗等。</w:t>
      </w:r>
    </w:p>
    <w:p>
      <w:pPr>
        <w:pStyle w:val="18"/>
        <w:numPr>
          <w:ilvl w:val="0"/>
          <w:numId w:val="0"/>
        </w:numPr>
        <w:ind w:left="403" w:leftChars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3.病虫害防治</w:t>
      </w:r>
    </w:p>
    <w:p>
      <w:pPr>
        <w:pStyle w:val="24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对加强监测，做好林木的病、虫、鼠害防治工作进行要求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18"/>
        <w:numPr>
          <w:ilvl w:val="0"/>
          <w:numId w:val="0"/>
        </w:numPr>
        <w:ind w:left="403" w:leftChars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4.割漆</w:t>
      </w:r>
    </w:p>
    <w:p>
      <w:pPr>
        <w:pStyle w:val="18"/>
        <w:numPr>
          <w:ilvl w:val="0"/>
          <w:numId w:val="0"/>
        </w:numPr>
        <w:ind w:left="403" w:leftChars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（1）开割指标</w:t>
      </w:r>
    </w:p>
    <w:p>
      <w:pPr>
        <w:pStyle w:val="24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该部分规定了漆树的开割指标，主干胸径达到12cm以上，大木漆10年～15年，小木漆6年～8年即可开割。</w:t>
      </w:r>
    </w:p>
    <w:p>
      <w:pPr>
        <w:pStyle w:val="18"/>
        <w:numPr>
          <w:ilvl w:val="0"/>
          <w:numId w:val="0"/>
        </w:numPr>
        <w:ind w:left="403" w:leftChars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（2）割漆时间</w:t>
      </w:r>
    </w:p>
    <w:p>
      <w:pPr>
        <w:pStyle w:val="18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割漆时间应在漆树展叶后开刀，落叶前收刀，对小木漆和大木漆，不同割漆的时间进行规范。对不同天气情况进行割漆要求。</w:t>
      </w:r>
    </w:p>
    <w:p>
      <w:pPr>
        <w:pStyle w:val="18"/>
        <w:numPr>
          <w:ilvl w:val="0"/>
          <w:numId w:val="0"/>
        </w:numPr>
        <w:ind w:left="403" w:leftChars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（3）割漆方法</w:t>
      </w:r>
    </w:p>
    <w:p>
      <w:pPr>
        <w:pStyle w:val="18"/>
        <w:numPr>
          <w:ilvl w:val="0"/>
          <w:numId w:val="0"/>
        </w:numPr>
        <w:ind w:left="403" w:leftChars="0" w:firstLine="320" w:firstLineChars="1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该部分对割漆的流程和割漆技术要求进行了规范。</w:t>
      </w:r>
    </w:p>
    <w:p>
      <w:pPr>
        <w:pStyle w:val="18"/>
        <w:numPr>
          <w:ilvl w:val="0"/>
          <w:numId w:val="0"/>
        </w:numPr>
        <w:ind w:left="403" w:leftChars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（4）割漆质量</w:t>
      </w:r>
    </w:p>
    <w:p>
      <w:pPr>
        <w:pStyle w:val="24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该部分对割漆质量（大木类型品种漆树均匀漆液有效成分含杂量≤5%，小木、小大木类型品种漆树均匀漆液有效成分含杂量≤3%等指标）进行规定。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bookmarkStart w:id="1" w:name="_Toc18216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5.包装贮藏运输</w:t>
      </w:r>
      <w:bookmarkEnd w:id="1"/>
    </w:p>
    <w:p>
      <w:pPr>
        <w:pStyle w:val="24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该部分对收割后生漆的包装的要求、贮藏条件和运输注意事项进行了规范说明。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6.附录A 漆树主要虫害防治适期及防治方法</w:t>
      </w:r>
    </w:p>
    <w:p>
      <w:pPr>
        <w:pStyle w:val="24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该部分对漆树的主要虫害的防治药剂、方法和时间进行了规范。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7.附录B 漆树主要病害防治适期及防治方法</w:t>
      </w:r>
    </w:p>
    <w:p>
      <w:pPr>
        <w:pStyle w:val="24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该部分对漆树的主要病害的防治药剂、方法和时间进行了规范。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采用国际标准和国外先进标准的程度情况，以及与国际、国外同类标准水平的对比情况</w:t>
      </w:r>
    </w:p>
    <w:p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本标准未采用国际、国外相关标准。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由于标准制定的目标是为了提升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宜宾市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“漆树育苗与栽培技术规范”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的标准水平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，主要内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容是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宜宾市漆树行业的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实际工作情况出发，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苗繁育、栽培管理、病虫害防治、割漆、包装贮藏运输等程序进行规范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。因此，目前未有与本标准相关的国际、国外标准。</w:t>
      </w:r>
    </w:p>
    <w:p>
      <w:pPr>
        <w:tabs>
          <w:tab w:val="left" w:pos="1080"/>
        </w:tabs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GB"/>
        </w:rPr>
      </w:pPr>
      <w:r>
        <w:rPr>
          <w:rFonts w:hint="eastAsia" w:ascii="黑体" w:hAnsi="黑体" w:eastAsia="黑体"/>
          <w:sz w:val="32"/>
          <w:szCs w:val="32"/>
          <w:lang w:val="en-GB"/>
        </w:rPr>
        <w:t>五、与现行法律法规、国家相关标准和产业政策等协调情况的说明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</w:rPr>
        <w:t>本标准编制过程中，主要遵循GB/T1.1标准化工作导则第1部分：标准结构和编写，并参考了</w:t>
      </w:r>
      <w:r>
        <w:rPr>
          <w:rFonts w:hint="eastAsia" w:ascii="仿宋_GB2312" w:hAnsi="仿宋_GB2312" w:eastAsia="仿宋_GB2312" w:cs="仿宋_GB2312"/>
          <w:sz w:val="32"/>
          <w:szCs w:val="32"/>
        </w:rPr>
        <w:t>LY/T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1894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漆树栽培技术规程</w:t>
      </w:r>
    </w:p>
    <w:p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lang w:val="en-GB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</w:rPr>
        <w:t>，相较于漆树行业标准，本标准更符合宜宾市的实际情况，种苗繁育、栽培管理、割漆技术等标准内容更符合当地的详细要求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-SA"/>
        </w:rPr>
        <w:t>，编制符合国家对标准结构、内容的要求，同时与目前国家相关文件及要求相互补充。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重大分歧意见的处理经过和依据</w:t>
      </w:r>
    </w:p>
    <w:p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</w:rPr>
        <w:t>本标准的编写过程无重大分歧意见产生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27" w:firstLineChars="196"/>
        <w:jc w:val="left"/>
        <w:rPr>
          <w:rFonts w:ascii="黑体" w:hAnsi="黑体" w:eastAsia="黑体" w:cs="Arial"/>
          <w:sz w:val="32"/>
          <w:szCs w:val="32"/>
          <w:highlight w:val="none"/>
        </w:rPr>
      </w:pPr>
      <w:r>
        <w:rPr>
          <w:rFonts w:hint="eastAsia" w:ascii="黑体" w:hAnsi="黑体" w:eastAsia="黑体" w:cs="Arial"/>
          <w:sz w:val="32"/>
          <w:szCs w:val="32"/>
          <w:highlight w:val="none"/>
          <w:lang w:eastAsia="zh-CN"/>
        </w:rPr>
        <w:t>七</w:t>
      </w:r>
      <w:r>
        <w:rPr>
          <w:rFonts w:hint="eastAsia" w:ascii="黑体" w:hAnsi="黑体" w:eastAsia="黑体" w:cs="Arial"/>
          <w:sz w:val="32"/>
          <w:szCs w:val="32"/>
          <w:highlight w:val="none"/>
        </w:rPr>
        <w:t>、贯彻标准的要求和措施建议</w:t>
      </w:r>
    </w:p>
    <w:p>
      <w:pPr>
        <w:tabs>
          <w:tab w:val="left" w:pos="1080"/>
        </w:tabs>
        <w:spacing w:line="560" w:lineRule="exact"/>
        <w:ind w:firstLine="640" w:firstLineChars="200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为保证本标准的有效和顺利执行，建议组织起草和归口单位进行宣贯培训并具体应用实施。</w:t>
      </w:r>
    </w:p>
    <w:p>
      <w:pPr>
        <w:pStyle w:val="18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jc w:val="left"/>
        <w:textAlignment w:val="auto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、废止现行有关标准的建议</w:t>
      </w:r>
    </w:p>
    <w:p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本标准为新制定。</w:t>
      </w:r>
    </w:p>
    <w:p>
      <w:pPr>
        <w:pStyle w:val="18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jc w:val="left"/>
        <w:textAlignment w:val="auto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、其他应予说明的事项</w:t>
      </w:r>
    </w:p>
    <w:p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无。</w:t>
      </w:r>
    </w:p>
    <w:p>
      <w:pPr>
        <w:tabs>
          <w:tab w:val="left" w:pos="1080"/>
        </w:tabs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GB" w:eastAsia="zh-CN" w:bidi="ar-SA"/>
        </w:rPr>
        <w:t>标准起草工作组</w:t>
      </w:r>
    </w:p>
    <w:p>
      <w:pPr>
        <w:tabs>
          <w:tab w:val="left" w:pos="1080"/>
        </w:tabs>
        <w:spacing w:line="560" w:lineRule="exact"/>
        <w:ind w:firstLine="6150" w:firstLineChars="2050"/>
        <w:rPr>
          <w:rFonts w:hint="default" w:ascii="宋体"/>
          <w:sz w:val="30"/>
          <w:szCs w:val="30"/>
          <w:lang w:val="en-US"/>
        </w:rPr>
      </w:pPr>
      <w:r>
        <w:rPr>
          <w:rFonts w:eastAsia="仿宋"/>
          <w:sz w:val="30"/>
          <w:szCs w:val="30"/>
          <w:lang w:val="en-GB"/>
        </w:rPr>
        <w:t>2020</w:t>
      </w:r>
      <w:r>
        <w:rPr>
          <w:rFonts w:hAnsi="仿宋" w:eastAsia="仿宋"/>
          <w:sz w:val="30"/>
          <w:szCs w:val="30"/>
          <w:lang w:val="en-GB"/>
        </w:rPr>
        <w:t>年</w:t>
      </w:r>
      <w:r>
        <w:rPr>
          <w:rFonts w:hint="eastAsia" w:eastAsia="仿宋"/>
          <w:sz w:val="30"/>
          <w:szCs w:val="30"/>
          <w:lang w:val="en-US" w:eastAsia="zh-CN"/>
        </w:rPr>
        <w:t>8</w:t>
      </w:r>
      <w:r>
        <w:rPr>
          <w:rFonts w:hAnsi="仿宋" w:eastAsia="仿宋"/>
          <w:sz w:val="30"/>
          <w:szCs w:val="30"/>
          <w:lang w:val="en-GB"/>
        </w:rPr>
        <w:t>月</w:t>
      </w:r>
    </w:p>
    <w:p>
      <w:pPr>
        <w:spacing w:line="360" w:lineRule="auto"/>
        <w:rPr>
          <w:rFonts w:ascii="仿宋_GB2312" w:hAnsi="黑体" w:eastAsia="仿宋_GB2312"/>
          <w:b/>
          <w:sz w:val="32"/>
          <w:szCs w:val="32"/>
        </w:rPr>
      </w:pPr>
    </w:p>
    <w:sectPr>
      <w:footerReference r:id="rId4" w:type="default"/>
      <w:pgSz w:w="11906" w:h="16838"/>
      <w:pgMar w:top="1418" w:right="1418" w:bottom="1418" w:left="158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EE8CFC"/>
    <w:multiLevelType w:val="singleLevel"/>
    <w:tmpl w:val="ABEE8CF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B175F94"/>
    <w:multiLevelType w:val="singleLevel"/>
    <w:tmpl w:val="BB175F9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B34DCBA"/>
    <w:multiLevelType w:val="singleLevel"/>
    <w:tmpl w:val="EB34DCB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FC91163"/>
    <w:multiLevelType w:val="multilevel"/>
    <w:tmpl w:val="1FC91163"/>
    <w:lvl w:ilvl="0" w:tentative="0">
      <w:start w:val="1"/>
      <w:numFmt w:val="decimal"/>
      <w:pStyle w:val="23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0540"/>
    <w:rsid w:val="000028F9"/>
    <w:rsid w:val="00024DC6"/>
    <w:rsid w:val="00050540"/>
    <w:rsid w:val="00062B92"/>
    <w:rsid w:val="00066750"/>
    <w:rsid w:val="0008238D"/>
    <w:rsid w:val="000A2D97"/>
    <w:rsid w:val="000B13F0"/>
    <w:rsid w:val="000B7FB1"/>
    <w:rsid w:val="000C6ECC"/>
    <w:rsid w:val="000D7A27"/>
    <w:rsid w:val="000E69B3"/>
    <w:rsid w:val="000F6BE3"/>
    <w:rsid w:val="000F7521"/>
    <w:rsid w:val="001050D9"/>
    <w:rsid w:val="00113F2B"/>
    <w:rsid w:val="001148D2"/>
    <w:rsid w:val="0012187D"/>
    <w:rsid w:val="00142BB2"/>
    <w:rsid w:val="00152D67"/>
    <w:rsid w:val="00154319"/>
    <w:rsid w:val="001657E0"/>
    <w:rsid w:val="00173A6C"/>
    <w:rsid w:val="00183767"/>
    <w:rsid w:val="001840E0"/>
    <w:rsid w:val="001A3326"/>
    <w:rsid w:val="001E01B3"/>
    <w:rsid w:val="001E324B"/>
    <w:rsid w:val="00213C7E"/>
    <w:rsid w:val="0023741F"/>
    <w:rsid w:val="002376A0"/>
    <w:rsid w:val="0024794B"/>
    <w:rsid w:val="00266393"/>
    <w:rsid w:val="0028480F"/>
    <w:rsid w:val="00290D67"/>
    <w:rsid w:val="00291733"/>
    <w:rsid w:val="002A0BBA"/>
    <w:rsid w:val="002A0E82"/>
    <w:rsid w:val="002C3B7B"/>
    <w:rsid w:val="002D5580"/>
    <w:rsid w:val="002E13A2"/>
    <w:rsid w:val="002F5A39"/>
    <w:rsid w:val="00333193"/>
    <w:rsid w:val="00353074"/>
    <w:rsid w:val="00375E8D"/>
    <w:rsid w:val="003806D2"/>
    <w:rsid w:val="003D56F2"/>
    <w:rsid w:val="003E76FB"/>
    <w:rsid w:val="003F750D"/>
    <w:rsid w:val="00406186"/>
    <w:rsid w:val="00415BFB"/>
    <w:rsid w:val="00422667"/>
    <w:rsid w:val="00422C26"/>
    <w:rsid w:val="004430DE"/>
    <w:rsid w:val="004507D9"/>
    <w:rsid w:val="00453FCB"/>
    <w:rsid w:val="00462535"/>
    <w:rsid w:val="00481526"/>
    <w:rsid w:val="004855A4"/>
    <w:rsid w:val="0048776F"/>
    <w:rsid w:val="00493246"/>
    <w:rsid w:val="004B19B8"/>
    <w:rsid w:val="004B5850"/>
    <w:rsid w:val="004E4F07"/>
    <w:rsid w:val="00505FC6"/>
    <w:rsid w:val="005118E0"/>
    <w:rsid w:val="0053605B"/>
    <w:rsid w:val="00537519"/>
    <w:rsid w:val="005377E6"/>
    <w:rsid w:val="005418D0"/>
    <w:rsid w:val="00551BA4"/>
    <w:rsid w:val="00583A8A"/>
    <w:rsid w:val="00595E1B"/>
    <w:rsid w:val="005B3759"/>
    <w:rsid w:val="005D0478"/>
    <w:rsid w:val="005F14CE"/>
    <w:rsid w:val="005F6B69"/>
    <w:rsid w:val="0060604E"/>
    <w:rsid w:val="00606A33"/>
    <w:rsid w:val="0063030B"/>
    <w:rsid w:val="00633115"/>
    <w:rsid w:val="006356A8"/>
    <w:rsid w:val="006414A6"/>
    <w:rsid w:val="0066127A"/>
    <w:rsid w:val="006960DC"/>
    <w:rsid w:val="006A3D62"/>
    <w:rsid w:val="006B6B6B"/>
    <w:rsid w:val="00710486"/>
    <w:rsid w:val="0071572C"/>
    <w:rsid w:val="00730EC1"/>
    <w:rsid w:val="00742AB9"/>
    <w:rsid w:val="007561BD"/>
    <w:rsid w:val="00764AE0"/>
    <w:rsid w:val="00766506"/>
    <w:rsid w:val="00772BEC"/>
    <w:rsid w:val="0079232C"/>
    <w:rsid w:val="007A19EF"/>
    <w:rsid w:val="007A4E46"/>
    <w:rsid w:val="007D5D20"/>
    <w:rsid w:val="007E2211"/>
    <w:rsid w:val="007F4F02"/>
    <w:rsid w:val="00802D23"/>
    <w:rsid w:val="00805D85"/>
    <w:rsid w:val="0081391A"/>
    <w:rsid w:val="008157E3"/>
    <w:rsid w:val="0082403E"/>
    <w:rsid w:val="008374CA"/>
    <w:rsid w:val="00853936"/>
    <w:rsid w:val="00860AB5"/>
    <w:rsid w:val="00870443"/>
    <w:rsid w:val="00871A8D"/>
    <w:rsid w:val="00872FAA"/>
    <w:rsid w:val="00873DB7"/>
    <w:rsid w:val="008A28A7"/>
    <w:rsid w:val="008A6745"/>
    <w:rsid w:val="008A7BE0"/>
    <w:rsid w:val="008C3900"/>
    <w:rsid w:val="008E0BB8"/>
    <w:rsid w:val="009067AE"/>
    <w:rsid w:val="009351DE"/>
    <w:rsid w:val="00946D65"/>
    <w:rsid w:val="00964DF3"/>
    <w:rsid w:val="00982972"/>
    <w:rsid w:val="00990D1D"/>
    <w:rsid w:val="00994E51"/>
    <w:rsid w:val="009B09A6"/>
    <w:rsid w:val="009B1B79"/>
    <w:rsid w:val="009B26B7"/>
    <w:rsid w:val="009B36A8"/>
    <w:rsid w:val="009C31C6"/>
    <w:rsid w:val="009D55F6"/>
    <w:rsid w:val="009E0382"/>
    <w:rsid w:val="009E1A72"/>
    <w:rsid w:val="009E7245"/>
    <w:rsid w:val="009F696D"/>
    <w:rsid w:val="009F745F"/>
    <w:rsid w:val="00A161B1"/>
    <w:rsid w:val="00A23E41"/>
    <w:rsid w:val="00A24662"/>
    <w:rsid w:val="00A35C81"/>
    <w:rsid w:val="00A37CED"/>
    <w:rsid w:val="00A432E5"/>
    <w:rsid w:val="00A45CA7"/>
    <w:rsid w:val="00A46252"/>
    <w:rsid w:val="00A47FC6"/>
    <w:rsid w:val="00A72681"/>
    <w:rsid w:val="00A74A3C"/>
    <w:rsid w:val="00A833E1"/>
    <w:rsid w:val="00A90896"/>
    <w:rsid w:val="00A93AC5"/>
    <w:rsid w:val="00A97D73"/>
    <w:rsid w:val="00AA15B3"/>
    <w:rsid w:val="00AA3B6E"/>
    <w:rsid w:val="00AB516B"/>
    <w:rsid w:val="00AD0327"/>
    <w:rsid w:val="00AE0B6D"/>
    <w:rsid w:val="00AE2FC6"/>
    <w:rsid w:val="00AE6BF8"/>
    <w:rsid w:val="00AF4020"/>
    <w:rsid w:val="00AF5A88"/>
    <w:rsid w:val="00B17812"/>
    <w:rsid w:val="00B267EC"/>
    <w:rsid w:val="00B373A1"/>
    <w:rsid w:val="00B61250"/>
    <w:rsid w:val="00B673C6"/>
    <w:rsid w:val="00B67687"/>
    <w:rsid w:val="00B7453D"/>
    <w:rsid w:val="00BB5CA7"/>
    <w:rsid w:val="00BB778D"/>
    <w:rsid w:val="00BD2D81"/>
    <w:rsid w:val="00BE41FD"/>
    <w:rsid w:val="00BE53BA"/>
    <w:rsid w:val="00C23231"/>
    <w:rsid w:val="00C33A8C"/>
    <w:rsid w:val="00C65758"/>
    <w:rsid w:val="00C77077"/>
    <w:rsid w:val="00CA108F"/>
    <w:rsid w:val="00CA379F"/>
    <w:rsid w:val="00CA42E5"/>
    <w:rsid w:val="00CA6C3A"/>
    <w:rsid w:val="00CB7D10"/>
    <w:rsid w:val="00CC2C98"/>
    <w:rsid w:val="00D036EC"/>
    <w:rsid w:val="00D04901"/>
    <w:rsid w:val="00D20469"/>
    <w:rsid w:val="00D27CBA"/>
    <w:rsid w:val="00D4560F"/>
    <w:rsid w:val="00D53EE1"/>
    <w:rsid w:val="00D633AF"/>
    <w:rsid w:val="00D677B9"/>
    <w:rsid w:val="00D7795F"/>
    <w:rsid w:val="00D83630"/>
    <w:rsid w:val="00D93893"/>
    <w:rsid w:val="00DA1342"/>
    <w:rsid w:val="00DA19B6"/>
    <w:rsid w:val="00DA4E60"/>
    <w:rsid w:val="00DA52D0"/>
    <w:rsid w:val="00DB1A16"/>
    <w:rsid w:val="00DC5486"/>
    <w:rsid w:val="00DD0E54"/>
    <w:rsid w:val="00DE2CA8"/>
    <w:rsid w:val="00E00FF6"/>
    <w:rsid w:val="00E03516"/>
    <w:rsid w:val="00E23ECD"/>
    <w:rsid w:val="00E3355C"/>
    <w:rsid w:val="00E4001F"/>
    <w:rsid w:val="00E40D1A"/>
    <w:rsid w:val="00E56C16"/>
    <w:rsid w:val="00E67F2A"/>
    <w:rsid w:val="00EB1721"/>
    <w:rsid w:val="00EB18AB"/>
    <w:rsid w:val="00EB2DDB"/>
    <w:rsid w:val="00EB678B"/>
    <w:rsid w:val="00ED023F"/>
    <w:rsid w:val="00ED3DE4"/>
    <w:rsid w:val="00EE20FA"/>
    <w:rsid w:val="00EF321B"/>
    <w:rsid w:val="00EF4EDF"/>
    <w:rsid w:val="00EF4EE2"/>
    <w:rsid w:val="00F06657"/>
    <w:rsid w:val="00F22C13"/>
    <w:rsid w:val="00F25290"/>
    <w:rsid w:val="00F3264B"/>
    <w:rsid w:val="00F37B56"/>
    <w:rsid w:val="00F4385C"/>
    <w:rsid w:val="00F56F72"/>
    <w:rsid w:val="00FA4FE2"/>
    <w:rsid w:val="00FB4225"/>
    <w:rsid w:val="00FC6F55"/>
    <w:rsid w:val="00FD2B22"/>
    <w:rsid w:val="00FD360F"/>
    <w:rsid w:val="00FD5E4E"/>
    <w:rsid w:val="00FE0586"/>
    <w:rsid w:val="068F77C4"/>
    <w:rsid w:val="0B0E0D8A"/>
    <w:rsid w:val="0C832F3C"/>
    <w:rsid w:val="0D354FCC"/>
    <w:rsid w:val="0D5617AD"/>
    <w:rsid w:val="158A17DB"/>
    <w:rsid w:val="19BD267B"/>
    <w:rsid w:val="1AB667C8"/>
    <w:rsid w:val="1B4639F1"/>
    <w:rsid w:val="230405DB"/>
    <w:rsid w:val="2D0E69A4"/>
    <w:rsid w:val="37742455"/>
    <w:rsid w:val="3DE32376"/>
    <w:rsid w:val="43CE339C"/>
    <w:rsid w:val="481E6A04"/>
    <w:rsid w:val="4A4848DE"/>
    <w:rsid w:val="4C874849"/>
    <w:rsid w:val="4D661942"/>
    <w:rsid w:val="4F3E27C0"/>
    <w:rsid w:val="4F744C24"/>
    <w:rsid w:val="555E0B08"/>
    <w:rsid w:val="56267D76"/>
    <w:rsid w:val="56630FC6"/>
    <w:rsid w:val="56B20F68"/>
    <w:rsid w:val="59A14CEF"/>
    <w:rsid w:val="5BCE6A79"/>
    <w:rsid w:val="5DFF3E5C"/>
    <w:rsid w:val="5E2E2A8C"/>
    <w:rsid w:val="61423126"/>
    <w:rsid w:val="62D50976"/>
    <w:rsid w:val="633C751D"/>
    <w:rsid w:val="64F35E54"/>
    <w:rsid w:val="6A3358BD"/>
    <w:rsid w:val="6C244F66"/>
    <w:rsid w:val="723F4D28"/>
    <w:rsid w:val="743B1835"/>
    <w:rsid w:val="788C32E7"/>
    <w:rsid w:val="79A91B85"/>
    <w:rsid w:val="7ACA6C2D"/>
    <w:rsid w:val="7B4B5228"/>
    <w:rsid w:val="7E03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Lines="50" w:afterLines="50"/>
    </w:pPr>
    <w:rPr>
      <w:rFonts w:eastAsia="黑体"/>
      <w:b w:val="0"/>
      <w:bCs w:val="0"/>
      <w:kern w:val="44"/>
      <w:szCs w:val="44"/>
    </w:rPr>
  </w:style>
  <w:style w:type="paragraph" w:styleId="5">
    <w:name w:val="heading 2"/>
    <w:basedOn w:val="1"/>
    <w:next w:val="1"/>
    <w:link w:val="16"/>
    <w:qFormat/>
    <w:uiPriority w:val="0"/>
    <w:pPr>
      <w:keepNext/>
      <w:keepLines/>
      <w:snapToGrid w:val="0"/>
      <w:spacing w:before="100" w:beforeAutospacing="1" w:after="100" w:afterAutospacing="1"/>
      <w:jc w:val="left"/>
      <w:outlineLvl w:val="1"/>
    </w:pPr>
    <w:rPr>
      <w:rFonts w:ascii="Arial" w:hAnsi="Arial" w:eastAsia="黑体"/>
      <w:b/>
      <w:bCs/>
      <w:sz w:val="30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100" w:beforeAutospacing="1" w:after="100" w:afterAutospacing="1"/>
      <w:outlineLvl w:val="2"/>
    </w:pPr>
    <w:rPr>
      <w:rFonts w:eastAsia="黑体"/>
      <w:b/>
      <w:bCs/>
      <w:sz w:val="28"/>
      <w:szCs w:val="32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100" w:beforeAutospacing="1" w:after="100" w:afterAutospacing="1"/>
      <w:outlineLvl w:val="3"/>
    </w:pPr>
    <w:rPr>
      <w:rFonts w:ascii="Arial" w:hAnsi="Arial" w:eastAsia="黑体"/>
      <w:b/>
      <w:bCs/>
      <w:sz w:val="24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8">
    <w:name w:val="Note Heading"/>
    <w:basedOn w:val="3"/>
    <w:next w:val="1"/>
    <w:qFormat/>
    <w:uiPriority w:val="0"/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alloon Text"/>
    <w:basedOn w:val="1"/>
    <w:link w:val="22"/>
    <w:qFormat/>
    <w:uiPriority w:val="0"/>
    <w:rPr>
      <w:sz w:val="18"/>
      <w:szCs w:val="18"/>
    </w:rPr>
  </w:style>
  <w:style w:type="paragraph" w:styleId="11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5">
    <w:name w:val="样式2"/>
    <w:basedOn w:val="1"/>
    <w:next w:val="1"/>
    <w:qFormat/>
    <w:uiPriority w:val="0"/>
    <w:pPr>
      <w:spacing w:line="360" w:lineRule="auto"/>
    </w:pPr>
    <w:rPr>
      <w:rFonts w:ascii="宋体" w:hAnsi="宋体" w:eastAsia="黑体"/>
      <w:b/>
      <w:color w:val="000000"/>
      <w:sz w:val="24"/>
    </w:rPr>
  </w:style>
  <w:style w:type="character" w:customStyle="1" w:styleId="16">
    <w:name w:val="标题 2 Char"/>
    <w:link w:val="5"/>
    <w:qFormat/>
    <w:uiPriority w:val="0"/>
    <w:rPr>
      <w:rFonts w:ascii="Arial" w:hAnsi="Arial" w:eastAsia="黑体"/>
      <w:b/>
      <w:bCs/>
      <w:kern w:val="2"/>
      <w:sz w:val="30"/>
      <w:szCs w:val="32"/>
      <w:lang w:val="en-US" w:eastAsia="zh-CN" w:bidi="ar-SA"/>
    </w:rPr>
  </w:style>
  <w:style w:type="character" w:customStyle="1" w:styleId="17">
    <w:name w:val="段 Char Char"/>
    <w:link w:val="18"/>
    <w:qFormat/>
    <w:uiPriority w:val="0"/>
    <w:rPr>
      <w:rFonts w:ascii="宋体"/>
      <w:sz w:val="21"/>
      <w:lang w:val="en-US" w:eastAsia="zh-CN" w:bidi="ar-SA"/>
    </w:rPr>
  </w:style>
  <w:style w:type="paragraph" w:customStyle="1" w:styleId="18">
    <w:name w:val="段"/>
    <w:link w:val="1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9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11"/>
    <w:qFormat/>
    <w:uiPriority w:val="99"/>
    <w:rPr>
      <w:kern w:val="2"/>
      <w:sz w:val="18"/>
      <w:szCs w:val="18"/>
    </w:rPr>
  </w:style>
  <w:style w:type="character" w:customStyle="1" w:styleId="21">
    <w:name w:val="段 Char"/>
    <w:qFormat/>
    <w:uiPriority w:val="0"/>
    <w:rPr>
      <w:rFonts w:ascii="宋体"/>
      <w:sz w:val="21"/>
      <w:lang w:val="en-US" w:eastAsia="zh-CN" w:bidi="ar-SA"/>
    </w:rPr>
  </w:style>
  <w:style w:type="character" w:customStyle="1" w:styleId="22">
    <w:name w:val="批注框文本 Char"/>
    <w:basedOn w:val="14"/>
    <w:link w:val="10"/>
    <w:qFormat/>
    <w:uiPriority w:val="0"/>
    <w:rPr>
      <w:kern w:val="2"/>
      <w:sz w:val="18"/>
      <w:szCs w:val="18"/>
    </w:rPr>
  </w:style>
  <w:style w:type="paragraph" w:customStyle="1" w:styleId="23">
    <w:name w:val="章标题"/>
    <w:next w:val="18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4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8</Pages>
  <Words>630</Words>
  <Characters>3592</Characters>
  <Lines>29</Lines>
  <Paragraphs>8</Paragraphs>
  <TotalTime>8</TotalTime>
  <ScaleCrop>false</ScaleCrop>
  <LinksUpToDate>false</LinksUpToDate>
  <CharactersWithSpaces>4214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2020-06-08T09:21:00Z</dcterms:created>
  <dc:creator>Windows 用户</dc:creator>
  <cp:lastModifiedBy>林先生</cp:lastModifiedBy>
  <dcterms:modified xsi:type="dcterms:W3CDTF">2020-08-24T05:56:50Z</dcterms:modified>
  <dc:title>《宜宾绿色优质玉米种植技术规程》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