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3" w:name="_GoBack"/>
      <w:bookmarkEnd w:id="3"/>
      <w:r>
        <w:rPr>
          <w:rFonts w:hint="eastAsia" w:ascii="Times New Roman" w:hAnsi="Times New Roman" w:eastAsia="黑体"/>
          <w:color w:val="000000"/>
          <w:sz w:val="32"/>
          <w:szCs w:val="32"/>
        </w:rPr>
        <w:t>附件18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大肠菌群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黑体"/>
          <w:color w:val="000000"/>
          <w:sz w:val="32"/>
          <w:szCs w:val="32"/>
        </w:rPr>
      </w:pPr>
      <w:r>
        <w:rPr>
          <w:rFonts w:hint="eastAsia" w:eastAsia="仿宋_GB2312" w:cs="黑体"/>
          <w:color w:val="000000"/>
          <w:sz w:val="32"/>
          <w:szCs w:val="32"/>
        </w:rPr>
        <w:t>大肠菌群是国内外通用的食品污染常用指示菌之一。食品及餐饮具中检出大肠菌群，提示被肠道致病菌污染的可能性较大。《</w:t>
      </w:r>
      <w:r>
        <w:rPr>
          <w:rFonts w:eastAsia="仿宋_GB2312" w:cs="黑体"/>
          <w:color w:val="000000"/>
          <w:sz w:val="32"/>
          <w:szCs w:val="32"/>
        </w:rPr>
        <w:t>食品安全国家标准 豆制品</w:t>
      </w:r>
      <w:r>
        <w:rPr>
          <w:rFonts w:hint="eastAsia" w:eastAsia="仿宋_GB2312" w:cs="黑体"/>
          <w:color w:val="000000"/>
          <w:sz w:val="32"/>
          <w:szCs w:val="32"/>
        </w:rPr>
        <w:t>》（</w:t>
      </w:r>
      <w:r>
        <w:rPr>
          <w:rFonts w:eastAsia="仿宋_GB2312" w:cs="黑体"/>
          <w:color w:val="000000"/>
          <w:sz w:val="32"/>
          <w:szCs w:val="32"/>
        </w:rPr>
        <w:t>GB 2712</w:t>
      </w:r>
      <w:r>
        <w:rPr>
          <w:rFonts w:hint="eastAsia" w:eastAsia="仿宋_GB2312" w:cs="黑体"/>
          <w:color w:val="000000"/>
          <w:sz w:val="32"/>
          <w:szCs w:val="32"/>
        </w:rPr>
        <w:t>）</w:t>
      </w:r>
      <w:r>
        <w:rPr>
          <w:rFonts w:hint="eastAsia" w:eastAsia="仿宋_GB2312" w:cs="黑体"/>
          <w:sz w:val="32"/>
          <w:szCs w:val="32"/>
        </w:rPr>
        <w:t>对即食豆制品中的大肠菌群</w:t>
      </w:r>
      <w:r>
        <w:rPr>
          <w:rFonts w:hint="eastAsia" w:eastAsia="仿宋_GB2312"/>
          <w:bCs/>
          <w:sz w:val="32"/>
          <w:szCs w:val="32"/>
        </w:rPr>
        <w:t>规定同批次5个独立包装产品中</w:t>
      </w:r>
      <w:r>
        <w:rPr>
          <w:rFonts w:hint="eastAsia" w:eastAsia="仿宋_GB2312" w:cs="黑体"/>
          <w:sz w:val="32"/>
          <w:szCs w:val="32"/>
        </w:rPr>
        <w:t>大肠菌群</w:t>
      </w:r>
      <w:r>
        <w:rPr>
          <w:rFonts w:hint="eastAsia" w:eastAsia="仿宋_GB2312"/>
          <w:bCs/>
          <w:sz w:val="32"/>
          <w:szCs w:val="32"/>
        </w:rPr>
        <w:t>检测结果不允许有超过</w:t>
      </w:r>
      <w:r>
        <w:rPr>
          <w:rFonts w:eastAsia="仿宋_GB2312" w:cs="黑体"/>
          <w:sz w:val="32"/>
          <w:szCs w:val="32"/>
        </w:rPr>
        <w:t>10</w:t>
      </w:r>
      <w:r>
        <w:rPr>
          <w:rFonts w:hint="eastAsia" w:eastAsia="仿宋_GB2312" w:cs="黑体"/>
          <w:sz w:val="32"/>
          <w:szCs w:val="32"/>
          <w:vertAlign w:val="superscript"/>
        </w:rPr>
        <w:t>3</w:t>
      </w:r>
      <w:r>
        <w:rPr>
          <w:rFonts w:eastAsia="仿宋_GB2312" w:cs="黑体"/>
          <w:sz w:val="32"/>
          <w:szCs w:val="32"/>
          <w:vertAlign w:val="superscript"/>
        </w:rPr>
        <w:t xml:space="preserve"> </w:t>
      </w:r>
      <w:r>
        <w:rPr>
          <w:rFonts w:eastAsia="仿宋_GB2312" w:cs="黑体"/>
          <w:sz w:val="32"/>
          <w:szCs w:val="32"/>
        </w:rPr>
        <w:t>CFU/g</w:t>
      </w:r>
      <w:r>
        <w:rPr>
          <w:rFonts w:hint="eastAsia" w:eastAsia="仿宋_GB2312" w:cs="黑体"/>
          <w:sz w:val="32"/>
          <w:szCs w:val="32"/>
        </w:rPr>
        <w:t>的，</w:t>
      </w:r>
      <w:r>
        <w:rPr>
          <w:rFonts w:hint="eastAsia" w:eastAsia="仿宋_GB2312"/>
          <w:bCs/>
          <w:sz w:val="32"/>
          <w:szCs w:val="32"/>
        </w:rPr>
        <w:t>且至少3个</w:t>
      </w:r>
      <w:r>
        <w:rPr>
          <w:rFonts w:hint="eastAsia" w:eastAsia="仿宋_GB2312"/>
          <w:bCs/>
          <w:color w:val="000000"/>
          <w:sz w:val="32"/>
          <w:szCs w:val="32"/>
        </w:rPr>
        <w:t>包装产品检测结果不超过</w:t>
      </w:r>
      <w:r>
        <w:rPr>
          <w:rFonts w:eastAsia="仿宋_GB2312" w:cs="黑体"/>
          <w:color w:val="000000"/>
          <w:sz w:val="32"/>
          <w:szCs w:val="32"/>
        </w:rPr>
        <w:t>10</w:t>
      </w:r>
      <w:r>
        <w:rPr>
          <w:rFonts w:hint="eastAsia" w:eastAsia="仿宋_GB2312" w:cs="黑体"/>
          <w:color w:val="000000"/>
          <w:sz w:val="32"/>
          <w:szCs w:val="32"/>
          <w:vertAlign w:val="superscript"/>
        </w:rPr>
        <w:t>2</w:t>
      </w:r>
      <w:r>
        <w:rPr>
          <w:rFonts w:eastAsia="仿宋_GB2312" w:cs="黑体"/>
          <w:color w:val="000000"/>
          <w:sz w:val="32"/>
          <w:szCs w:val="32"/>
        </w:rPr>
        <w:t xml:space="preserve"> CFU/g</w:t>
      </w:r>
      <w:r>
        <w:rPr>
          <w:rFonts w:hint="eastAsia" w:eastAsia="仿宋_GB2312" w:cs="黑体"/>
          <w:color w:val="000000"/>
          <w:sz w:val="32"/>
          <w:szCs w:val="32"/>
        </w:rPr>
        <w:t>。</w:t>
      </w:r>
      <w:r>
        <w:rPr>
          <w:rFonts w:eastAsia="仿宋_GB2312" w:cs="黑体"/>
          <w:color w:val="000000"/>
          <w:sz w:val="32"/>
          <w:szCs w:val="32"/>
        </w:rPr>
        <w:t>《食品安全国家标准 消毒餐（饮）具》（GB 14934）规定消毒餐（饮）具中大肠菌群不得检出。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</w:t>
      </w:r>
      <w:r>
        <w:rPr>
          <w:rFonts w:hint="eastAsia" w:eastAsia="仿宋_GB2312" w:cs="仿宋"/>
          <w:sz w:val="32"/>
          <w:szCs w:val="32"/>
        </w:rPr>
        <w:t>《食品安全国家标准 食品中污染物限量》（GB 2762）规定，鲜、冻水产动物甲壳类中镉（</w:t>
      </w:r>
      <w:r>
        <w:rPr>
          <w:rFonts w:eastAsia="仿宋_GB2312" w:cs="仿宋"/>
          <w:sz w:val="32"/>
          <w:szCs w:val="32"/>
        </w:rPr>
        <w:t>以Cd计</w:t>
      </w:r>
      <w:r>
        <w:rPr>
          <w:rFonts w:hint="eastAsia" w:eastAsia="仿宋_GB2312" w:cs="仿宋"/>
          <w:sz w:val="32"/>
          <w:szCs w:val="32"/>
        </w:rPr>
        <w:t>）应不超过0.5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甲拌磷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甲拌磷是一种有机磷类广谱、内吸杀虫剂、杀螨剂，对害虫具有触杀、胃毒、熏蒸作用，属高毒农药。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农业部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门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规定蔬菜中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禁止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使用甲拌磷。《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（GB 2763）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叶菜类蔬菜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中甲拌磷的最大残留限量为0.01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mg/kg。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五氯酚酸钠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五氯酚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酸钠属于有机氯农药，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可用作除草剂和杀菌剂，易溶于水，容易进入水和土壤中，经环境累积，进入饲料用植物中，通过食物链进入动物内。《食品动物中禁止使用的药品及其他化合物清单》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农业农村部公告第250号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食品动物中禁止使用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五氯酚酸钠。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6-苄基腺嘌呤</w:t>
      </w:r>
      <w:r>
        <w:rPr>
          <w:rFonts w:hint="eastAsia" w:eastAsia="黑体"/>
          <w:color w:val="000000"/>
          <w:sz w:val="32"/>
          <w:szCs w:val="32"/>
        </w:rPr>
        <w:t>（</w:t>
      </w:r>
      <w:r>
        <w:rPr>
          <w:rFonts w:eastAsia="黑体"/>
          <w:color w:val="000000"/>
          <w:sz w:val="32"/>
          <w:szCs w:val="32"/>
        </w:rPr>
        <w:t>6-BA</w:t>
      </w:r>
      <w:r>
        <w:rPr>
          <w:rFonts w:hint="eastAsia" w:eastAsia="黑体"/>
          <w:color w:val="000000"/>
          <w:sz w:val="32"/>
          <w:szCs w:val="32"/>
        </w:rPr>
        <w:t>）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黑体"/>
          <w:color w:val="000000"/>
          <w:sz w:val="32"/>
          <w:szCs w:val="32"/>
        </w:rPr>
      </w:pPr>
      <w:r>
        <w:rPr>
          <w:rFonts w:eastAsia="仿宋_GB2312" w:cs="黑体"/>
          <w:color w:val="000000"/>
          <w:sz w:val="32"/>
          <w:szCs w:val="32"/>
        </w:rPr>
        <w:t>6-苄基腺嘌呤</w:t>
      </w:r>
      <w:r>
        <w:rPr>
          <w:rFonts w:hint="eastAsia" w:eastAsia="仿宋_GB2312" w:cs="黑体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6-BA</w:t>
      </w:r>
      <w:r>
        <w:rPr>
          <w:rFonts w:hint="eastAsia" w:eastAsia="仿宋_GB2312" w:cs="黑体"/>
          <w:color w:val="000000"/>
          <w:sz w:val="32"/>
          <w:szCs w:val="32"/>
        </w:rPr>
        <w:t>）</w:t>
      </w:r>
      <w:r>
        <w:rPr>
          <w:rFonts w:eastAsia="仿宋_GB2312" w:cs="黑体"/>
          <w:color w:val="000000"/>
          <w:sz w:val="32"/>
          <w:szCs w:val="32"/>
        </w:rPr>
        <w:t>是植物生长调节剂。主要用于防止落花落果、抑制豆类生根，并能调节植物株内激素的平衡。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textAlignment w:val="baseline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地西泮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地西泮又名安定，为镇静剂类药物，主要用于焦虑、镇静催眠，还可用于抗癫痫和抗惊厥。《食品安全国家标准 食品中兽药最大残留限量》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GB 31650</w:t>
      </w:r>
      <w:r>
        <w:rPr>
          <w:rFonts w:eastAsia="仿宋_GB2312"/>
          <w:sz w:val="32"/>
          <w:szCs w:val="32"/>
        </w:rPr>
        <w:t>）规定</w:t>
      </w:r>
      <w:r>
        <w:rPr>
          <w:rFonts w:hint="eastAsia" w:eastAsia="仿宋_GB2312"/>
          <w:sz w:val="32"/>
          <w:szCs w:val="32"/>
        </w:rPr>
        <w:t>，地西泮是</w:t>
      </w:r>
      <w:r>
        <w:rPr>
          <w:rFonts w:eastAsia="仿宋_GB2312" w:cs="黑体"/>
          <w:sz w:val="32"/>
          <w:szCs w:val="32"/>
        </w:rPr>
        <w:t>允许作治疗用，但不得在动物性食品中检出的兽药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铜绿假单胞菌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 w:cs="仿宋"/>
          <w:sz w:val="32"/>
          <w:szCs w:val="32"/>
        </w:rPr>
      </w:pPr>
      <w:r>
        <w:rPr>
          <w:rFonts w:hint="eastAsia" w:eastAsia="仿宋" w:cs="仿宋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 饮用天然矿泉水》（GB 8537）规定</w:t>
      </w:r>
      <w:r>
        <w:rPr>
          <w:rFonts w:hint="eastAsia" w:ascii="仿宋_GB2312" w:eastAsia="仿宋_GB2312" w:cs="仿宋"/>
          <w:color w:val="000000"/>
          <w:sz w:val="32"/>
          <w:szCs w:val="32"/>
        </w:rPr>
        <w:t>，</w:t>
      </w:r>
      <w:r>
        <w:rPr>
          <w:rFonts w:hint="eastAsia" w:eastAsia="仿宋" w:cs="仿宋"/>
          <w:color w:val="000000"/>
          <w:sz w:val="32"/>
          <w:szCs w:val="32"/>
        </w:rPr>
        <w:t>同批次5个独立包装的</w:t>
      </w:r>
      <w:r>
        <w:rPr>
          <w:rFonts w:hint="eastAsia" w:eastAsia="仿宋_GB2312"/>
          <w:bCs/>
          <w:sz w:val="32"/>
          <w:szCs w:val="32"/>
        </w:rPr>
        <w:t>产品</w:t>
      </w:r>
      <w:r>
        <w:rPr>
          <w:rFonts w:eastAsia="仿宋_GB2312"/>
          <w:bCs/>
          <w:sz w:val="32"/>
          <w:szCs w:val="32"/>
        </w:rPr>
        <w:t>中铜绿假单胞菌</w:t>
      </w:r>
      <w:r>
        <w:rPr>
          <w:rFonts w:eastAsia="仿宋_GB2312"/>
          <w:color w:val="000000"/>
          <w:sz w:val="32"/>
          <w:szCs w:val="32"/>
        </w:rPr>
        <w:t>均不得检出。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djustRightInd w:val="0"/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bookmarkStart w:id="0" w:name="OLE_LINK1"/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）</w:t>
      </w:r>
      <w:bookmarkEnd w:id="0"/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规定，鱼中恩诺沙星（以恩诺沙星与环丙沙星之和计）应不超过100μg/kg。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5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腐霉利属于低毒性杀菌剂，</w:t>
      </w:r>
      <w:r>
        <w:rPr>
          <w:rFonts w:hint="eastAsia" w:eastAsia="仿宋_GB2312"/>
          <w:color w:val="000000"/>
          <w:sz w:val="32"/>
          <w:szCs w:val="32"/>
        </w:rPr>
        <w:t>主要用于果树、蔬菜作物的灰霉病、菌核病、褐腐病防治。</w:t>
      </w:r>
      <w:r>
        <w:rPr>
          <w:rFonts w:hint="eastAsia" w:eastAsia="仿宋_GB2312"/>
          <w:bCs/>
          <w:color w:val="000000"/>
          <w:sz w:val="32"/>
          <w:szCs w:val="32"/>
        </w:rPr>
        <w:t>《食品安全国家标准 食品中农药最大残留限量》（GB 2763）规定，韭菜中腐霉利的最大残留限量为0.2 mg/kg。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总糖分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总糖分是衡量食糖质量高低的重要指标，总糖分越高说明糖越纯，其他物质含量越少。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《绵白糖》（</w:t>
      </w:r>
      <w:r>
        <w:rPr>
          <w:rFonts w:ascii="Times New Roman" w:hAnsi="Times New Roman" w:eastAsia="仿宋_GB2312"/>
          <w:kern w:val="0"/>
          <w:sz w:val="32"/>
          <w:szCs w:val="32"/>
        </w:rPr>
        <w:t>GB/T 1445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）规定，精制绵白糖中</w:t>
      </w:r>
      <w:r>
        <w:rPr>
          <w:rFonts w:hint="eastAsia" w:ascii="Times New Roman" w:hAnsi="Times New Roman" w:eastAsia="仿宋_GB2312"/>
          <w:sz w:val="32"/>
          <w:szCs w:val="32"/>
        </w:rPr>
        <w:t>总糖分≥98.4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g/100g。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32" w:firstLineChars="200"/>
        <w:rPr>
          <w:rFonts w:eastAsia="黑体" w:cs="Arial"/>
          <w:spacing w:val="-2"/>
          <w:kern w:val="0"/>
          <w:sz w:val="32"/>
          <w:szCs w:val="32"/>
        </w:rPr>
      </w:pPr>
      <w:r>
        <w:rPr>
          <w:rFonts w:hint="eastAsia" w:eastAsia="黑体" w:cs="Arial"/>
          <w:spacing w:val="-2"/>
          <w:kern w:val="0"/>
          <w:sz w:val="32"/>
          <w:szCs w:val="32"/>
        </w:rPr>
        <w:t>还原糖分</w:t>
      </w:r>
    </w:p>
    <w:p>
      <w:pPr>
        <w:pStyle w:val="5"/>
        <w:adjustRightInd w:val="0"/>
        <w:snapToGrid w:val="0"/>
        <w:spacing w:line="560" w:lineRule="exact"/>
        <w:ind w:firstLine="632" w:firstLineChars="200"/>
        <w:rPr>
          <w:rFonts w:eastAsia="仿宋_GB2312" w:cs="黑体"/>
          <w:kern w:val="0"/>
          <w:sz w:val="32"/>
          <w:szCs w:val="32"/>
        </w:rPr>
      </w:pPr>
      <w:r>
        <w:rPr>
          <w:rFonts w:hint="eastAsia" w:eastAsia="仿宋_GB2312" w:cs="Arial"/>
          <w:spacing w:val="-2"/>
          <w:kern w:val="0"/>
          <w:sz w:val="32"/>
          <w:szCs w:val="32"/>
        </w:rPr>
        <w:t>还原糖分是食糖的质量指标之一，反</w:t>
      </w:r>
      <w:r>
        <w:rPr>
          <w:rFonts w:hint="eastAsia" w:eastAsia="仿宋_GB2312"/>
          <w:kern w:val="0"/>
          <w:sz w:val="32"/>
          <w:szCs w:val="32"/>
        </w:rPr>
        <w:t>映了食糖中还原糖的含量。还原糖分是区分绵白糖和白砂糖的主要参数之一，绵白糖的外观和口感与还原糖的含量密切相关。</w:t>
      </w:r>
      <w:bookmarkStart w:id="1" w:name="OLE_LINK3"/>
      <w:r>
        <w:rPr>
          <w:rFonts w:hint="eastAsia" w:eastAsia="仿宋_GB2312"/>
          <w:kern w:val="0"/>
          <w:sz w:val="32"/>
          <w:szCs w:val="32"/>
        </w:rPr>
        <w:t>《绵白糖》</w:t>
      </w:r>
      <w:bookmarkEnd w:id="1"/>
      <w:r>
        <w:rPr>
          <w:rFonts w:hint="eastAsia" w:eastAsia="仿宋_GB2312"/>
          <w:kern w:val="0"/>
          <w:sz w:val="32"/>
          <w:szCs w:val="32"/>
        </w:rPr>
        <w:t>（</w:t>
      </w:r>
      <w:bookmarkStart w:id="2" w:name="OLE_LINK2"/>
      <w:r>
        <w:rPr>
          <w:rFonts w:eastAsia="仿宋_GB2312"/>
          <w:kern w:val="0"/>
          <w:sz w:val="32"/>
          <w:szCs w:val="32"/>
        </w:rPr>
        <w:t>GB/T 1445</w:t>
      </w:r>
      <w:bookmarkEnd w:id="2"/>
      <w:r>
        <w:rPr>
          <w:rFonts w:hint="eastAsia" w:eastAsia="仿宋_GB2312"/>
          <w:kern w:val="0"/>
          <w:sz w:val="32"/>
          <w:szCs w:val="32"/>
        </w:rPr>
        <w:t>）规定，绵白糖中还原糖分为</w:t>
      </w:r>
      <w:r>
        <w:rPr>
          <w:rFonts w:eastAsia="仿宋_GB2312"/>
          <w:kern w:val="0"/>
          <w:sz w:val="32"/>
          <w:szCs w:val="32"/>
        </w:rPr>
        <w:t>1.5</w:t>
      </w:r>
      <w:r>
        <w:rPr>
          <w:rFonts w:hint="eastAsia" w:eastAsia="仿宋_GB2312"/>
          <w:kern w:val="0"/>
          <w:sz w:val="32"/>
          <w:szCs w:val="32"/>
        </w:rPr>
        <w:t xml:space="preserve"> g/100g～</w:t>
      </w:r>
      <w:r>
        <w:rPr>
          <w:rFonts w:eastAsia="仿宋_GB2312"/>
          <w:kern w:val="0"/>
          <w:sz w:val="32"/>
          <w:szCs w:val="32"/>
        </w:rPr>
        <w:t>2.5</w:t>
      </w:r>
      <w:r>
        <w:rPr>
          <w:rFonts w:hint="eastAsia" w:eastAsia="仿宋_GB2312"/>
          <w:kern w:val="0"/>
          <w:sz w:val="32"/>
          <w:szCs w:val="32"/>
        </w:rPr>
        <w:t xml:space="preserve"> g/100g。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铝的残留量</w:t>
      </w:r>
    </w:p>
    <w:p>
      <w:pPr>
        <w:pStyle w:val="9"/>
        <w:widowControl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硫酸铝钾（又名钾明矾），硫酸铝铵（又名铵明矾）是食品加工中常用的膨松剂和稳定剂，使用后产生铝残留。《食品安全国家标准 食品添加剂使用标准》（GB 2760）规定，明矾在腌制水产品（仅限海蜇）中可以按照生产需要适量添加，但铝的残留量应≤500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mg/kg（以即食海蜇中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>Al</w:t>
      </w:r>
      <w:r>
        <w:rPr>
          <w:rFonts w:hint="eastAsia" w:ascii="Times New Roman" w:hAnsi="Times New Roman" w:eastAsia="仿宋" w:cs="仿宋"/>
          <w:color w:val="000000"/>
          <w:sz w:val="32"/>
          <w:szCs w:val="32"/>
        </w:rPr>
        <w:t>计）。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67002968">
    <w:nsid w:val="753E1558"/>
    <w:multiLevelType w:val="multilevel"/>
    <w:tmpl w:val="753E1558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670029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9yXA3qBEEZ5d6js2Tue89gSEdJY=" w:salt="3AQ7K945044wpu5Acp0B5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87FDB"/>
    <w:rsid w:val="00097EC2"/>
    <w:rsid w:val="000A0EB8"/>
    <w:rsid w:val="000A2EEF"/>
    <w:rsid w:val="000C3C92"/>
    <w:rsid w:val="000C4DFB"/>
    <w:rsid w:val="000F7D55"/>
    <w:rsid w:val="00115D71"/>
    <w:rsid w:val="00151A13"/>
    <w:rsid w:val="0016657F"/>
    <w:rsid w:val="0016674A"/>
    <w:rsid w:val="00176F93"/>
    <w:rsid w:val="001B4234"/>
    <w:rsid w:val="001C084C"/>
    <w:rsid w:val="00203CEF"/>
    <w:rsid w:val="00210759"/>
    <w:rsid w:val="00216F1A"/>
    <w:rsid w:val="002209C3"/>
    <w:rsid w:val="00227C98"/>
    <w:rsid w:val="00231227"/>
    <w:rsid w:val="0024384C"/>
    <w:rsid w:val="00263422"/>
    <w:rsid w:val="00264FFF"/>
    <w:rsid w:val="00281DF9"/>
    <w:rsid w:val="00287106"/>
    <w:rsid w:val="002B5A26"/>
    <w:rsid w:val="002C223D"/>
    <w:rsid w:val="002D4079"/>
    <w:rsid w:val="002D76B0"/>
    <w:rsid w:val="002F1403"/>
    <w:rsid w:val="003058CE"/>
    <w:rsid w:val="00320337"/>
    <w:rsid w:val="00335654"/>
    <w:rsid w:val="0034068A"/>
    <w:rsid w:val="00346E01"/>
    <w:rsid w:val="00361E66"/>
    <w:rsid w:val="00385653"/>
    <w:rsid w:val="0039607F"/>
    <w:rsid w:val="003B0507"/>
    <w:rsid w:val="003C0FD6"/>
    <w:rsid w:val="003D6207"/>
    <w:rsid w:val="004012A2"/>
    <w:rsid w:val="00414508"/>
    <w:rsid w:val="00414758"/>
    <w:rsid w:val="00430E21"/>
    <w:rsid w:val="00435ACC"/>
    <w:rsid w:val="00446771"/>
    <w:rsid w:val="00475C35"/>
    <w:rsid w:val="00490F04"/>
    <w:rsid w:val="00495F06"/>
    <w:rsid w:val="004A2980"/>
    <w:rsid w:val="004A7B13"/>
    <w:rsid w:val="004D0759"/>
    <w:rsid w:val="00507310"/>
    <w:rsid w:val="0051081B"/>
    <w:rsid w:val="00524DAE"/>
    <w:rsid w:val="005437A0"/>
    <w:rsid w:val="00557B9A"/>
    <w:rsid w:val="00580A7E"/>
    <w:rsid w:val="00585877"/>
    <w:rsid w:val="005A532E"/>
    <w:rsid w:val="005A5392"/>
    <w:rsid w:val="005C3B9C"/>
    <w:rsid w:val="005D35D3"/>
    <w:rsid w:val="005E26BC"/>
    <w:rsid w:val="005E4129"/>
    <w:rsid w:val="005E7EC6"/>
    <w:rsid w:val="005F2ABB"/>
    <w:rsid w:val="005F4F4B"/>
    <w:rsid w:val="00615C9F"/>
    <w:rsid w:val="00630DC8"/>
    <w:rsid w:val="0065262F"/>
    <w:rsid w:val="00660E64"/>
    <w:rsid w:val="00683B6B"/>
    <w:rsid w:val="00686D3D"/>
    <w:rsid w:val="0069468A"/>
    <w:rsid w:val="006A219A"/>
    <w:rsid w:val="006A67A6"/>
    <w:rsid w:val="006C2263"/>
    <w:rsid w:val="006C754E"/>
    <w:rsid w:val="006D0756"/>
    <w:rsid w:val="007046E5"/>
    <w:rsid w:val="007231CF"/>
    <w:rsid w:val="007336EF"/>
    <w:rsid w:val="007442C1"/>
    <w:rsid w:val="00762757"/>
    <w:rsid w:val="0076723A"/>
    <w:rsid w:val="0077019D"/>
    <w:rsid w:val="007771CD"/>
    <w:rsid w:val="007955BC"/>
    <w:rsid w:val="007A6867"/>
    <w:rsid w:val="007E0D9E"/>
    <w:rsid w:val="007E2DBB"/>
    <w:rsid w:val="007E673A"/>
    <w:rsid w:val="008050BC"/>
    <w:rsid w:val="00827383"/>
    <w:rsid w:val="00830ABC"/>
    <w:rsid w:val="0085016D"/>
    <w:rsid w:val="00853C2D"/>
    <w:rsid w:val="00872A98"/>
    <w:rsid w:val="00877733"/>
    <w:rsid w:val="00890F56"/>
    <w:rsid w:val="008C2B4D"/>
    <w:rsid w:val="009025F4"/>
    <w:rsid w:val="00903A9D"/>
    <w:rsid w:val="00911DEC"/>
    <w:rsid w:val="00916DDB"/>
    <w:rsid w:val="00923D48"/>
    <w:rsid w:val="0093237C"/>
    <w:rsid w:val="009331A4"/>
    <w:rsid w:val="00941AB8"/>
    <w:rsid w:val="0094284A"/>
    <w:rsid w:val="00944899"/>
    <w:rsid w:val="00984FED"/>
    <w:rsid w:val="0098558F"/>
    <w:rsid w:val="009C7045"/>
    <w:rsid w:val="009E436D"/>
    <w:rsid w:val="00A007B4"/>
    <w:rsid w:val="00A40680"/>
    <w:rsid w:val="00A44B75"/>
    <w:rsid w:val="00A85D79"/>
    <w:rsid w:val="00A9410C"/>
    <w:rsid w:val="00AB52C9"/>
    <w:rsid w:val="00B16DD3"/>
    <w:rsid w:val="00B65241"/>
    <w:rsid w:val="00B86DBA"/>
    <w:rsid w:val="00B87DF6"/>
    <w:rsid w:val="00BA7A5C"/>
    <w:rsid w:val="00BC4743"/>
    <w:rsid w:val="00BC6C8C"/>
    <w:rsid w:val="00BF1C67"/>
    <w:rsid w:val="00C55E00"/>
    <w:rsid w:val="00C5702F"/>
    <w:rsid w:val="00C66001"/>
    <w:rsid w:val="00C91D58"/>
    <w:rsid w:val="00C92AC2"/>
    <w:rsid w:val="00CA542D"/>
    <w:rsid w:val="00CA6E01"/>
    <w:rsid w:val="00CB6EA1"/>
    <w:rsid w:val="00CC4DEC"/>
    <w:rsid w:val="00CE074F"/>
    <w:rsid w:val="00CF2DC1"/>
    <w:rsid w:val="00D130D8"/>
    <w:rsid w:val="00D35784"/>
    <w:rsid w:val="00D37BE6"/>
    <w:rsid w:val="00D67F5E"/>
    <w:rsid w:val="00D70BCE"/>
    <w:rsid w:val="00D70DCF"/>
    <w:rsid w:val="00D8752F"/>
    <w:rsid w:val="00DA1484"/>
    <w:rsid w:val="00DB6B4F"/>
    <w:rsid w:val="00DC2436"/>
    <w:rsid w:val="00DC766E"/>
    <w:rsid w:val="00DE3228"/>
    <w:rsid w:val="00E00D5D"/>
    <w:rsid w:val="00E0493A"/>
    <w:rsid w:val="00E224EE"/>
    <w:rsid w:val="00E32844"/>
    <w:rsid w:val="00E4499E"/>
    <w:rsid w:val="00E53857"/>
    <w:rsid w:val="00E61915"/>
    <w:rsid w:val="00E67BA4"/>
    <w:rsid w:val="00E67F3B"/>
    <w:rsid w:val="00E71EA2"/>
    <w:rsid w:val="00E84511"/>
    <w:rsid w:val="00E84ACC"/>
    <w:rsid w:val="00EC701C"/>
    <w:rsid w:val="00EE3B7B"/>
    <w:rsid w:val="00F33E20"/>
    <w:rsid w:val="00F51004"/>
    <w:rsid w:val="00F76C16"/>
    <w:rsid w:val="00F9610F"/>
    <w:rsid w:val="00F97CA3"/>
    <w:rsid w:val="00FA014A"/>
    <w:rsid w:val="00FE43BD"/>
    <w:rsid w:val="00FF653A"/>
    <w:rsid w:val="07AE2006"/>
    <w:rsid w:val="09776334"/>
    <w:rsid w:val="099E1D4B"/>
    <w:rsid w:val="13515910"/>
    <w:rsid w:val="14BC6CC4"/>
    <w:rsid w:val="176820C2"/>
    <w:rsid w:val="1775494C"/>
    <w:rsid w:val="1831126E"/>
    <w:rsid w:val="1C2C6E58"/>
    <w:rsid w:val="1F9B28F8"/>
    <w:rsid w:val="20827181"/>
    <w:rsid w:val="209005FD"/>
    <w:rsid w:val="225C3C81"/>
    <w:rsid w:val="23E97F38"/>
    <w:rsid w:val="281026FA"/>
    <w:rsid w:val="299E2E0B"/>
    <w:rsid w:val="29FC4125"/>
    <w:rsid w:val="2A9E1780"/>
    <w:rsid w:val="32C0209F"/>
    <w:rsid w:val="333B066B"/>
    <w:rsid w:val="33B77259"/>
    <w:rsid w:val="380D2FFA"/>
    <w:rsid w:val="39997C19"/>
    <w:rsid w:val="3E2A1862"/>
    <w:rsid w:val="3E565C74"/>
    <w:rsid w:val="418A341C"/>
    <w:rsid w:val="43647A48"/>
    <w:rsid w:val="439A2AC1"/>
    <w:rsid w:val="465F0FDF"/>
    <w:rsid w:val="49F133DD"/>
    <w:rsid w:val="4A754998"/>
    <w:rsid w:val="4B0F4C04"/>
    <w:rsid w:val="4BA13A50"/>
    <w:rsid w:val="4BB3766A"/>
    <w:rsid w:val="4D0714C7"/>
    <w:rsid w:val="4F4B10EF"/>
    <w:rsid w:val="53D91CC8"/>
    <w:rsid w:val="5616109A"/>
    <w:rsid w:val="56D62CEE"/>
    <w:rsid w:val="57772CF1"/>
    <w:rsid w:val="577B6340"/>
    <w:rsid w:val="58030A90"/>
    <w:rsid w:val="5C6C6636"/>
    <w:rsid w:val="5D0578A1"/>
    <w:rsid w:val="5F235D60"/>
    <w:rsid w:val="60C1101C"/>
    <w:rsid w:val="6192467F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B0075F0"/>
    <w:rsid w:val="6D17077E"/>
    <w:rsid w:val="6DEC0CF9"/>
    <w:rsid w:val="6EC828CB"/>
    <w:rsid w:val="70771DBB"/>
    <w:rsid w:val="709B67CD"/>
    <w:rsid w:val="73951D0F"/>
    <w:rsid w:val="74210BA7"/>
    <w:rsid w:val="74BE04FC"/>
    <w:rsid w:val="75ED0473"/>
    <w:rsid w:val="77504EE4"/>
    <w:rsid w:val="78003728"/>
    <w:rsid w:val="7807013D"/>
    <w:rsid w:val="78997A7C"/>
    <w:rsid w:val="7B0559CF"/>
    <w:rsid w:val="7C7452C5"/>
    <w:rsid w:val="7E8258AE"/>
    <w:rsid w:val="7ECC4E9B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3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246</Words>
  <Characters>1408</Characters>
  <Lines>11</Lines>
  <Paragraphs>3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2020-09-10T09:31:05Z</dcterms:modified>
  <dc:title>附件18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