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部分不合格项目的小知识</w:t>
      </w:r>
    </w:p>
    <w:p>
      <w:pPr>
        <w:suppressAutoHyphens/>
        <w:adjustRightInd w:val="0"/>
        <w:snapToGrid w:val="0"/>
        <w:spacing w:line="59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一、腐霉利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腐霉利是一种低毒内吸性杀菌剂，具有保护和治疗双重作用。主要用于蔬菜及果树的灰霉病防治。《食品安全国家标准食品中农药最大残留限量》（GB 2763—2019）中规定，腐霉利在韭菜中的最大残留限量为0.2mg/kg。腐霉利对眼睛与皮肤有刺激作用，经口毒性低。少量的农药残留不会引起人体急性中毒，但长期食用农药残留超标的食品，对人体健康有一定影响。</w:t>
      </w: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（干样品，以Al计）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硫酸铝钾（又名钾明矾）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硫酸铝铵（又名铵明矶）是食品加工中常用的膨松剂和稳定剂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使用后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产生铝残留。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淀粉及淀粉制品中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铝的残留量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超标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的原因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可能是商家过量使用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相关食品添加剂。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长期摄入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铝残留超标的食品，可能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影响人体对铁、钙等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营养元素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的吸收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，从而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导致骨质疏松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贫血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甚至影响神经细胞的发育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、4-氯苯氧乙酸钠(</w:t>
      </w:r>
      <w:r>
        <w:rPr>
          <w:rFonts w:hint="default" w:ascii="Times New Roman" w:hAnsi="Times New Roman" w:eastAsia="黑体" w:cs="Times New Roman"/>
          <w:sz w:val="32"/>
          <w:szCs w:val="32"/>
        </w:rPr>
        <w:t>以4-氯苯氧乙酸计)</w:t>
      </w:r>
    </w:p>
    <w:p>
      <w:pPr>
        <w:numPr>
          <w:ilvl w:val="0"/>
          <w:numId w:val="1"/>
        </w:num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</w:rPr>
      </w:pPr>
      <w:r>
        <w:rPr>
          <w:rFonts w:hint="default" w:ascii="方正仿宋_GBK" w:hAnsi="Times New Roman" w:eastAsia="方正仿宋_GBK"/>
          <w:sz w:val="32"/>
          <w:szCs w:val="32"/>
        </w:rPr>
        <w:t>氯苯氧乙酸钠（以4-氯苯氧乙酸计）又称防落素、保果灵，是一种植物生长调节剂。具有防止落花落果、抑制豆类生根、调节植物株内激素平衡等作用。《国家食品药品监督管理总局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4-氯苯氧乙酸钠的原因，可能是生产者为提高豆芽产量，从而违规使用相关农药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、6-苄基腺嘌呤(6-BA)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6-</w:t>
      </w:r>
      <w:r>
        <w:rPr>
          <w:rFonts w:ascii="Times New Roman" w:hAnsi="Times New Roman" w:eastAsia="方正仿宋_GBK" w:cs="Times New Roman"/>
          <w:sz w:val="32"/>
          <w:szCs w:val="32"/>
        </w:rPr>
        <w:t>苄基腺嘌呤(6-BA)是一种广泛用的细胞分裂素，具有抑制植物叶内叶绿素、核酸、蛋白质的分解，保绿防老作用。《国家食品药品监督管理总局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的原因，可能是生产者为提高豆芽产量，从而违规使用相关农药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五、过氧化值(以脂肪计)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过氧化值，主要反映食品中油脂是否氧化变质。随着油脂氧化，过氧化值会逐步升高，造成油脂品质下降，吃起来就会有酸败、哈喇等异味，口感比较差，虽一般不会对人体的健康产生损害，但严重时会导致肠胃不适、腹泻等症状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六、菌落总数</w:t>
      </w:r>
    </w:p>
    <w:p>
      <w:pPr>
        <w:ind w:firstLine="640" w:firstLineChars="200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苯甲酸及其钠盐(以苯甲酸计)</w:t>
      </w:r>
    </w:p>
    <w:p>
      <w:pPr>
        <w:spacing w:line="570" w:lineRule="exact"/>
        <w:ind w:firstLine="640" w:firstLineChars="20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苯甲酸及其钠盐是食品工业中常见的一种防腐保鲜剂，对霉菌、酵母和细菌有较好的抑制作用。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numPr>
          <w:ilvl w:val="0"/>
          <w:numId w:val="0"/>
        </w:numPr>
        <w:spacing w:line="600" w:lineRule="exact"/>
        <w:ind w:firstLine="592" w:firstLineChars="200"/>
        <w:rPr>
          <w:rFonts w:hint="eastAsia" w:eastAsia="黑体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八、谷氨酸钠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eastAsia="黑体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谷氨酸钠是鸡精调味料的主要成分，它具有特殊的鲜味，主要用于食品、菜肴的增鲜，主要反映了鸡精调味料的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品质质量。SB/T 10371-2003《鸡精调味料》中规定产品中谷氨酸钠含量≥35.0g/100g。谷氨酸钠不达标主要影响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的品质。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</w:rPr>
        <w:t>、酸价(以脂肪计)</w:t>
      </w:r>
    </w:p>
    <w:p>
      <w:pPr>
        <w:spacing w:line="594" w:lineRule="exact"/>
        <w:ind w:firstLine="640" w:firstLineChars="200"/>
        <w:textAlignment w:val="baseline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酸值（价）主要反映食品中的油脂酸败的程度。油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脂酸败产生的醛酮类等化合物长期摄入会对健康有一定影响，但一般情况下，消费者可以辨别出油脂酸败特有的哈喇等异味，需避免食用。造成酸值（价）不合格的主要原因有：食品生产者原料采购上把关不严；油脂加工工艺不达标；产品储藏条件不当，特别是在环境温度较高时，易导致食品中油脂的氧化酸败。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十、脱氢乙酸及其钠盐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sz w:val="32"/>
          <w:szCs w:val="32"/>
        </w:rPr>
        <w:t>脱氢乙酸及其钠盐作为食品添加剂，广泛用作防腐剂，对霉菌具有较强的抑制作用。《食品安全国家标准 食品添加剂使用标准》（GB 2760—2014）中规定</w:t>
      </w:r>
      <w:r>
        <w:rPr>
          <w:rFonts w:hint="eastAsia" w:ascii="仿宋_GB2312" w:hAnsi="ˎ̥" w:eastAsia="仿宋_GB2312" w:cs="Arial"/>
          <w:sz w:val="32"/>
          <w:szCs w:val="32"/>
          <w:lang w:eastAsia="zh-CN"/>
        </w:rPr>
        <w:t>糕点</w:t>
      </w:r>
      <w:r>
        <w:rPr>
          <w:rFonts w:hint="eastAsia" w:ascii="仿宋_GB2312" w:hAnsi="ˎ̥" w:eastAsia="仿宋_GB2312" w:cs="Arial"/>
          <w:sz w:val="32"/>
          <w:szCs w:val="32"/>
        </w:rPr>
        <w:t>中脱氢乙酸及其钠盐</w:t>
      </w:r>
      <w:r>
        <w:rPr>
          <w:rFonts w:hint="eastAsia" w:ascii="仿宋_GB2312" w:hAnsi="ˎ̥" w:eastAsia="仿宋_GB2312" w:cs="Arial"/>
          <w:sz w:val="32"/>
          <w:szCs w:val="32"/>
          <w:lang w:eastAsia="zh-CN"/>
        </w:rPr>
        <w:t>不超过0.5g/kg</w:t>
      </w:r>
      <w:r>
        <w:rPr>
          <w:rFonts w:hint="eastAsia" w:ascii="仿宋_GB2312" w:hAnsi="ˎ̥" w:eastAsia="仿宋_GB2312" w:cs="Arial"/>
          <w:sz w:val="32"/>
          <w:szCs w:val="32"/>
        </w:rPr>
        <w:t>。长期大量食用脱氢乙酸及其钠盐超标</w:t>
      </w: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>产品，可能对人体健康产生一定影响。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</w:p>
    <w:p>
      <w:pPr>
        <w:spacing w:line="64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492CAD"/>
    <w:multiLevelType w:val="singleLevel"/>
    <w:tmpl w:val="FD492CAD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3E03A02"/>
    <w:rsid w:val="05150AE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686E73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CB7495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4CF34BC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7246F64"/>
    <w:rsid w:val="372F7CA3"/>
    <w:rsid w:val="37975EBC"/>
    <w:rsid w:val="37980617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0520A2"/>
    <w:rsid w:val="442336B4"/>
    <w:rsid w:val="445D67A1"/>
    <w:rsid w:val="44F63D12"/>
    <w:rsid w:val="452A1919"/>
    <w:rsid w:val="45B97969"/>
    <w:rsid w:val="46E541D5"/>
    <w:rsid w:val="47492C28"/>
    <w:rsid w:val="47C5755B"/>
    <w:rsid w:val="48220383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BE0029"/>
    <w:rsid w:val="566F178F"/>
    <w:rsid w:val="58C52A1E"/>
    <w:rsid w:val="591702CA"/>
    <w:rsid w:val="59203A01"/>
    <w:rsid w:val="5A007D61"/>
    <w:rsid w:val="5AF17BBB"/>
    <w:rsid w:val="5B7936AC"/>
    <w:rsid w:val="5B8B3D37"/>
    <w:rsid w:val="5B9C406B"/>
    <w:rsid w:val="5BDC6E44"/>
    <w:rsid w:val="5C6258A4"/>
    <w:rsid w:val="5C9F00AC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CAE458A"/>
    <w:rsid w:val="6DFA31D5"/>
    <w:rsid w:val="6E7403AD"/>
    <w:rsid w:val="6F703737"/>
    <w:rsid w:val="70433045"/>
    <w:rsid w:val="71236AF0"/>
    <w:rsid w:val="71A911C1"/>
    <w:rsid w:val="722F26B4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3068C"/>
    <w:rsid w:val="78FC1BBE"/>
    <w:rsid w:val="79425C88"/>
    <w:rsid w:val="79E41CD7"/>
    <w:rsid w:val="79FB5304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7E7E7E" w:themeColor="text1" w:themeTint="80"/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7E7E7E" w:themeColor="text1" w:themeTint="80"/>
    </w:rPr>
  </w:style>
  <w:style w:type="character" w:customStyle="1" w:styleId="28">
    <w:name w:val="不明显强调3"/>
    <w:basedOn w:val="10"/>
    <w:qFormat/>
    <w:uiPriority w:val="19"/>
    <w:rPr>
      <w:i/>
      <w:iCs/>
      <w:color w:val="7E7E7E" w:themeColor="text1" w:themeTint="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321</Words>
  <Characters>1835</Characters>
  <Lines>15</Lines>
  <Paragraphs>4</Paragraphs>
  <TotalTime>43</TotalTime>
  <ScaleCrop>false</ScaleCrop>
  <LinksUpToDate>false</LinksUpToDate>
  <CharactersWithSpaces>2152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JSZJ</cp:lastModifiedBy>
  <cp:lastPrinted>2019-01-28T02:50:00Z</cp:lastPrinted>
  <dcterms:modified xsi:type="dcterms:W3CDTF">2020-09-04T07:38:53Z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 linkTarget="0">
    <vt:lpwstr>6</vt:lpwstr>
  </property>
</Properties>
</file>