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3A0" w:rsidRDefault="00FF10C2">
      <w:pPr>
        <w:pStyle w:val="aa"/>
        <w:rPr>
          <w:highlight w:val="yellow"/>
        </w:rPr>
        <w:sectPr w:rsidR="006163A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/>
          <w:pgMar w:top="567" w:right="851" w:bottom="1361" w:left="1418" w:header="283" w:footer="0" w:gutter="0"/>
          <w:pgNumType w:fmt="upperRoman" w:start="1"/>
          <w:cols w:space="720"/>
          <w:titlePg/>
          <w:docGrid w:type="lines" w:linePitch="312"/>
        </w:sectPr>
      </w:pPr>
      <w:bookmarkStart w:id="0" w:name="OLE_LINK1"/>
      <w:r>
        <w:rPr>
          <w:rFonts w:ascii="黑体" w:eastAsia="黑体" w:hAnsi="黑体" w:cs="黑体" w:hint="eastAsia"/>
          <w:sz w:val="36"/>
          <w:szCs w:val="36"/>
        </w:rPr>
        <w:br w:type="page"/>
      </w:r>
      <w:bookmarkStart w:id="1" w:name="SectionMark0"/>
      <w:r w:rsidR="00226513" w:rsidRPr="00226513">
        <w:rPr>
          <w:highlight w:val="yellow"/>
        </w:rPr>
        <w:pict>
          <v:line id="_x0000_s2050" style="position:absolute;left:0;text-align:left;z-index:251665408" from="0,700pt" to="482pt,700pt" strokecolor="#800008" strokeweight="1pt"/>
        </w:pict>
      </w:r>
      <w:r w:rsidR="00226513" w:rsidRPr="00226513">
        <w:rPr>
          <w:highlight w:val="yello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fmFrame7" o:spid="_x0000_s2051" type="#_x0000_t202" style="position:absolute;left:0;text-align:left;margin-left:0;margin-top:717.2pt;width:481.9pt;height:28.6pt;z-index:251664384;mso-position-horizontal-relative:margin;mso-position-vertical-relative:margin" stroked="f">
            <v:textbox inset="0,0,0,0">
              <w:txbxContent>
                <w:p w:rsidR="006163A0" w:rsidRDefault="00FF10C2">
                  <w:pPr>
                    <w:pStyle w:val="ad"/>
                  </w:pPr>
                  <w:r>
                    <w:rPr>
                      <w:rFonts w:hint="eastAsia"/>
                    </w:rPr>
                    <w:t xml:space="preserve">湖南省市场监督管理局   </w:t>
                  </w:r>
                  <w:r>
                    <w:rPr>
                      <w:rStyle w:val="af"/>
                      <w:rFonts w:hint="eastAsia"/>
                    </w:rPr>
                    <w:t xml:space="preserve"> 发布</w:t>
                  </w:r>
                </w:p>
              </w:txbxContent>
            </v:textbox>
            <w10:wrap anchorx="margin" anchory="margin"/>
            <w10:anchorlock/>
          </v:shape>
        </w:pict>
      </w:r>
      <w:r w:rsidR="00226513" w:rsidRPr="00226513">
        <w:rPr>
          <w:highlight w:val="yellow"/>
        </w:rPr>
        <w:pict>
          <v:shape id="fmFrame6" o:spid="_x0000_s2052" type="#_x0000_t202" style="position:absolute;left:0;text-align:left;margin-left:322.9pt;margin-top:674.3pt;width:159pt;height:24.6pt;z-index:251663360;mso-position-horizontal-relative:margin;mso-position-vertical-relative:margin" stroked="f">
            <v:textbox inset="0,0,0,0">
              <w:txbxContent>
                <w:p w:rsidR="006163A0" w:rsidRDefault="00FF10C2">
                  <w:pPr>
                    <w:pStyle w:val="af0"/>
                    <w:rPr>
                      <w:rFonts w:ascii="黑体"/>
                    </w:rPr>
                  </w:pPr>
                  <w:r>
                    <w:rPr>
                      <w:rFonts w:hint="eastAsia"/>
                    </w:rPr>
                    <w:t>2020-00-00</w:t>
                  </w:r>
                  <w:r>
                    <w:rPr>
                      <w:rFonts w:hint="eastAsia"/>
                    </w:rPr>
                    <w:t>实</w:t>
                  </w:r>
                  <w:r>
                    <w:rPr>
                      <w:rFonts w:ascii="黑体" w:hint="eastAsia"/>
                    </w:rPr>
                    <w:t>施</w:t>
                  </w:r>
                </w:p>
              </w:txbxContent>
            </v:textbox>
            <w10:wrap anchorx="margin" anchory="margin"/>
            <w10:anchorlock/>
          </v:shape>
        </w:pict>
      </w:r>
      <w:r w:rsidR="00226513" w:rsidRPr="00226513">
        <w:rPr>
          <w:highlight w:val="yellow"/>
        </w:rPr>
        <w:pict>
          <v:shape id="fmFrame5" o:spid="_x0000_s2053" type="#_x0000_t202" style="position:absolute;left:0;text-align:left;margin-left:0;margin-top:674.3pt;width:159pt;height:24.6pt;z-index:251662336;mso-position-horizontal-relative:margin;mso-position-vertical-relative:margin" stroked="f">
            <v:textbox inset="0,0,0,0">
              <w:txbxContent>
                <w:p w:rsidR="006163A0" w:rsidRDefault="00FF10C2">
                  <w:pPr>
                    <w:pStyle w:val="af1"/>
                    <w:rPr>
                      <w:rFonts w:ascii="黑体"/>
                    </w:rPr>
                  </w:pPr>
                  <w:r>
                    <w:rPr>
                      <w:rFonts w:hint="eastAsia"/>
                    </w:rPr>
                    <w:t>2020-00-00</w:t>
                  </w:r>
                  <w:r>
                    <w:rPr>
                      <w:rFonts w:hint="eastAsia"/>
                    </w:rPr>
                    <w:t>发</w:t>
                  </w:r>
                  <w:r>
                    <w:rPr>
                      <w:rFonts w:ascii="黑体" w:hint="eastAsia"/>
                    </w:rPr>
                    <w:t>布</w:t>
                  </w:r>
                </w:p>
              </w:txbxContent>
            </v:textbox>
            <w10:wrap anchorx="margin" anchory="margin"/>
            <w10:anchorlock/>
          </v:shape>
        </w:pict>
      </w:r>
      <w:r w:rsidR="00226513" w:rsidRPr="00226513">
        <w:rPr>
          <w:highlight w:val="yellow"/>
        </w:rPr>
        <w:pict>
          <v:shape id="fmFrame4" o:spid="_x0000_s2054" type="#_x0000_t202" style="position:absolute;left:0;text-align:left;margin-left:-6pt;margin-top:247.25pt;width:470pt;height:359.7pt;z-index:251661312;mso-position-horizontal-relative:margin;mso-position-vertical-relative:margin" stroked="f">
            <v:textbox inset="0,0,0,0">
              <w:txbxContent>
                <w:p w:rsidR="006163A0" w:rsidRDefault="00FF10C2">
                  <w:pPr>
                    <w:spacing w:line="360" w:lineRule="auto"/>
                    <w:jc w:val="center"/>
                    <w:rPr>
                      <w:rFonts w:ascii="黑体" w:eastAsia="黑体" w:hAnsi="黑体" w:cs="黑体"/>
                      <w:sz w:val="36"/>
                      <w:szCs w:val="36"/>
                    </w:rPr>
                  </w:pPr>
                  <w:r>
                    <w:rPr>
                      <w:rFonts w:eastAsia="黑体" w:hint="eastAsia"/>
                      <w:sz w:val="52"/>
                      <w:szCs w:val="44"/>
                    </w:rPr>
                    <w:t>朝鲜蓟根茎腐烂病防治技术规程</w:t>
                  </w:r>
                </w:p>
                <w:p w:rsidR="006163A0" w:rsidRDefault="006163A0">
                  <w:pPr>
                    <w:spacing w:line="36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</w:p>
                <w:p w:rsidR="006163A0" w:rsidRDefault="00FF10C2">
                  <w:pPr>
                    <w:pStyle w:val="a6"/>
                    <w:widowControl/>
                    <w:spacing w:before="0" w:beforeAutospacing="0" w:after="0" w:afterAutospacing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Technical Regulation for stem and root rot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 xml:space="preserve"> disease</w:t>
                  </w:r>
                  <w:r>
                    <w:rPr>
                      <w:b/>
                      <w:sz w:val="28"/>
                      <w:szCs w:val="28"/>
                    </w:rPr>
                    <w:t xml:space="preserve"> of </w:t>
                  </w:r>
                </w:p>
                <w:p w:rsidR="006163A0" w:rsidRDefault="00FF10C2">
                  <w:pPr>
                    <w:pStyle w:val="a6"/>
                    <w:widowControl/>
                    <w:spacing w:before="0" w:beforeAutospacing="0" w:after="0" w:afterAutospacing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the Artichokes</w:t>
                  </w:r>
                  <w:r>
                    <w:rPr>
                      <w:b/>
                      <w:sz w:val="28"/>
                      <w:szCs w:val="28"/>
                    </w:rPr>
                    <w:t>（</w:t>
                  </w:r>
                  <w:r>
                    <w:rPr>
                      <w:b/>
                      <w:sz w:val="28"/>
                      <w:szCs w:val="28"/>
                    </w:rPr>
                    <w:t>Cynara scolymus L.</w:t>
                  </w:r>
                  <w:r>
                    <w:rPr>
                      <w:b/>
                      <w:sz w:val="28"/>
                      <w:szCs w:val="28"/>
                    </w:rPr>
                    <w:t>）</w:t>
                  </w:r>
                </w:p>
                <w:p w:rsidR="006163A0" w:rsidRDefault="00E567EB">
                  <w:pPr>
                    <w:pStyle w:val="a6"/>
                    <w:widowControl/>
                    <w:spacing w:before="0" w:beforeAutospacing="0" w:after="0" w:afterAutospacing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征求意见稿</w:t>
                  </w:r>
                </w:p>
                <w:p w:rsidR="006163A0" w:rsidRDefault="006163A0">
                  <w:pPr>
                    <w:ind w:firstLineChars="100" w:firstLine="210"/>
                    <w:jc w:val="center"/>
                    <w:rPr>
                      <w:rFonts w:ascii="微软雅黑" w:eastAsia="微软雅黑" w:hAnsi="宋体" w:cs="宋体"/>
                      <w:b/>
                      <w:bCs/>
                      <w:kern w:val="36"/>
                      <w:szCs w:val="21"/>
                    </w:rPr>
                  </w:pPr>
                </w:p>
                <w:p w:rsidR="006163A0" w:rsidRDefault="006163A0">
                  <w:pPr>
                    <w:ind w:firstLineChars="100" w:firstLine="210"/>
                    <w:jc w:val="center"/>
                    <w:rPr>
                      <w:rFonts w:ascii="微软雅黑" w:eastAsia="微软雅黑" w:hAnsi="宋体" w:cs="宋体"/>
                      <w:b/>
                      <w:bCs/>
                      <w:kern w:val="36"/>
                      <w:szCs w:val="21"/>
                    </w:rPr>
                  </w:pPr>
                </w:p>
                <w:p w:rsidR="006163A0" w:rsidRDefault="006163A0">
                  <w:pPr>
                    <w:pStyle w:val="af2"/>
                    <w:jc w:val="both"/>
                  </w:pPr>
                </w:p>
              </w:txbxContent>
            </v:textbox>
            <w10:wrap anchorx="margin" anchory="margin"/>
            <w10:anchorlock/>
          </v:shape>
        </w:pict>
      </w:r>
      <w:r w:rsidR="00226513" w:rsidRPr="00226513">
        <w:rPr>
          <w:highlight w:val="yellow"/>
        </w:rPr>
        <w:pict>
          <v:shape id="fmFrame3" o:spid="_x0000_s2055" type="#_x0000_t202" style="position:absolute;left:0;text-align:left;margin-left:3pt;margin-top:126.55pt;width:476.9pt;height:67.75pt;z-index:251660288;mso-position-horizontal-relative:margin;mso-position-vertical-relative:margin" stroked="f">
            <v:textbox inset="0,0,0,0">
              <w:txbxContent>
                <w:p w:rsidR="006163A0" w:rsidRDefault="00FF10C2">
                  <w:pPr>
                    <w:pBdr>
                      <w:bottom w:val="single" w:sz="6" w:space="1" w:color="auto"/>
                    </w:pBdr>
                    <w:spacing w:line="100" w:lineRule="atLeast"/>
                    <w:ind w:right="2"/>
                    <w:jc w:val="right"/>
                    <w:rPr>
                      <w:rFonts w:ascii="黑体" w:eastAsia="黑体"/>
                      <w:sz w:val="28"/>
                      <w:szCs w:val="28"/>
                    </w:rPr>
                  </w:pP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>DB43/T 0000-2020</w:t>
                  </w:r>
                </w:p>
                <w:p w:rsidR="006163A0" w:rsidRDefault="006163A0"/>
              </w:txbxContent>
            </v:textbox>
            <w10:wrap anchorx="margin" anchory="margin"/>
            <w10:anchorlock/>
          </v:shape>
        </w:pict>
      </w:r>
      <w:r w:rsidR="00226513" w:rsidRPr="00226513">
        <w:rPr>
          <w:highlight w:val="yellow"/>
        </w:rPr>
        <w:pict>
          <v:shape id="fmFrame8" o:spid="_x0000_s2056" type="#_x0000_t202" style="position:absolute;left:0;text-align:left;margin-left:210pt;margin-top:15.6pt;width:273pt;height:54.6pt;z-index:251659264;mso-position-horizontal-relative:margin;mso-position-vertical-relative:margin" stroked="f">
            <v:textbox inset="0,0,0,0">
              <w:txbxContent>
                <w:p w:rsidR="006163A0" w:rsidRDefault="00FF10C2">
                  <w:pPr>
                    <w:pStyle w:val="af3"/>
                  </w:pPr>
                  <w:r>
                    <w:rPr>
                      <w:rFonts w:hint="eastAsia"/>
                    </w:rPr>
                    <w:t>DB43</w:t>
                  </w:r>
                </w:p>
              </w:txbxContent>
            </v:textbox>
            <w10:wrap anchorx="margin" anchory="margin"/>
            <w10:anchorlock/>
          </v:shape>
        </w:pict>
      </w:r>
      <w:r w:rsidR="00226513" w:rsidRPr="00226513">
        <w:rPr>
          <w:highlight w:val="yellow"/>
        </w:rPr>
        <w:pict>
          <v:shape id="fmFrame2" o:spid="_x0000_s2057" type="#_x0000_t202" style="position:absolute;left:0;text-align:left;margin-left:8.25pt;margin-top:89.6pt;width:472.5pt;height:30.8pt;z-index:251658240;mso-position-horizontal-relative:margin;mso-position-vertical-relative:margin" stroked="f">
            <v:textbox inset="0,0,0,0">
              <w:txbxContent>
                <w:p w:rsidR="006163A0" w:rsidRDefault="00FF10C2">
                  <w:pPr>
                    <w:pStyle w:val="af4"/>
                    <w:rPr>
                      <w:w w:val="85"/>
                      <w:sz w:val="48"/>
                      <w:szCs w:val="48"/>
                    </w:rPr>
                  </w:pPr>
                  <w:r>
                    <w:rPr>
                      <w:rFonts w:hint="eastAsia"/>
                      <w:w w:val="85"/>
                      <w:sz w:val="48"/>
                      <w:szCs w:val="48"/>
                    </w:rPr>
                    <w:t>湖南省地方标准</w:t>
                  </w:r>
                </w:p>
              </w:txbxContent>
            </v:textbox>
            <w10:wrap anchorx="margin" anchory="margin"/>
            <w10:anchorlock/>
          </v:shape>
        </w:pict>
      </w:r>
    </w:p>
    <w:bookmarkEnd w:id="1"/>
    <w:p w:rsidR="006163A0" w:rsidRDefault="00FF10C2">
      <w:pPr>
        <w:pStyle w:val="ab"/>
        <w:rPr>
          <w:rFonts w:ascii="Times New Roman"/>
        </w:rPr>
      </w:pPr>
      <w:r>
        <w:rPr>
          <w:rFonts w:ascii="Times New Roman"/>
        </w:rPr>
        <w:lastRenderedPageBreak/>
        <w:t>目</w:t>
      </w:r>
      <w:r>
        <w:rPr>
          <w:rFonts w:ascii="Times New Roman"/>
        </w:rPr>
        <w:t xml:space="preserve">    </w:t>
      </w:r>
      <w:r>
        <w:rPr>
          <w:rFonts w:ascii="Times New Roman"/>
        </w:rPr>
        <w:t>次</w:t>
      </w:r>
    </w:p>
    <w:p w:rsidR="006163A0" w:rsidRDefault="00226513">
      <w:pPr>
        <w:pStyle w:val="1"/>
        <w:tabs>
          <w:tab w:val="right" w:leader="dot" w:pos="9345"/>
        </w:tabs>
        <w:spacing w:line="560" w:lineRule="exact"/>
        <w:jc w:val="distribute"/>
        <w:rPr>
          <w:rFonts w:asciiTheme="minorEastAsia" w:eastAsiaTheme="minorEastAsia" w:hAnsiTheme="minorEastAsia" w:cstheme="minorEastAsia"/>
          <w:color w:val="auto"/>
          <w:kern w:val="1"/>
          <w:szCs w:val="24"/>
        </w:rPr>
      </w:pPr>
      <w:hyperlink w:anchor="_Toc399838492" w:history="1">
        <w:r w:rsidR="00FF10C2">
          <w:rPr>
            <w:rFonts w:asciiTheme="minorEastAsia" w:eastAsiaTheme="minorEastAsia" w:hAnsiTheme="minorEastAsia" w:cstheme="minorEastAsia" w:hint="eastAsia"/>
            <w:color w:val="auto"/>
            <w:szCs w:val="32"/>
          </w:rPr>
          <w:t>前言</w:t>
        </w:r>
        <w:r w:rsidR="00FF10C2">
          <w:rPr>
            <w:rFonts w:asciiTheme="minorEastAsia" w:eastAsiaTheme="minorEastAsia" w:hAnsiTheme="minorEastAsia" w:cstheme="minorEastAsia" w:hint="eastAsia"/>
            <w:color w:val="auto"/>
          </w:rPr>
          <w:t>………………………………………………………………………………………</w:t>
        </w:r>
        <w:bookmarkStart w:id="2" w:name="OLE_LINK4"/>
        <w:r w:rsidR="00FF10C2">
          <w:rPr>
            <w:rFonts w:asciiTheme="minorEastAsia" w:eastAsiaTheme="minorEastAsia" w:hAnsiTheme="minorEastAsia" w:cstheme="minorEastAsia" w:hint="eastAsia"/>
            <w:color w:val="auto"/>
          </w:rPr>
          <w:t>…</w:t>
        </w:r>
        <w:bookmarkEnd w:id="2"/>
        <w:r w:rsidR="00FF10C2">
          <w:rPr>
            <w:rFonts w:asciiTheme="minorEastAsia" w:eastAsiaTheme="minorEastAsia" w:hAnsiTheme="minorEastAsia" w:cstheme="minorEastAsia" w:hint="eastAsia"/>
            <w:color w:val="auto"/>
          </w:rPr>
          <w:t>……</w:t>
        </w:r>
        <w:r w:rsidR="00FF10C2">
          <w:rPr>
            <w:rFonts w:asciiTheme="minorEastAsia" w:eastAsiaTheme="minorEastAsia" w:hAnsiTheme="minorEastAsia" w:cstheme="minorEastAsia" w:hint="eastAsia"/>
            <w:color w:val="auto"/>
            <w:kern w:val="1"/>
            <w:szCs w:val="24"/>
          </w:rPr>
          <w:t>Ⅰ</w:t>
        </w:r>
      </w:hyperlink>
    </w:p>
    <w:p w:rsidR="006163A0" w:rsidRDefault="00226513">
      <w:pPr>
        <w:pStyle w:val="4"/>
        <w:jc w:val="distribute"/>
        <w:rPr>
          <w:rFonts w:asciiTheme="minorEastAsia" w:eastAsiaTheme="minorEastAsia" w:hAnsiTheme="minorEastAsia" w:cstheme="minorEastAsia"/>
          <w:color w:val="auto"/>
          <w:kern w:val="1"/>
          <w:szCs w:val="24"/>
        </w:rPr>
      </w:pPr>
      <w:hyperlink w:anchor="_Toc399838493" w:history="1">
        <w:r w:rsidR="00FF10C2">
          <w:rPr>
            <w:rFonts w:asciiTheme="minorEastAsia" w:eastAsiaTheme="minorEastAsia" w:hAnsiTheme="minorEastAsia" w:cstheme="minorEastAsia" w:hint="eastAsia"/>
            <w:color w:val="auto"/>
          </w:rPr>
          <w:t>1 范围………………………………………………………………………………………………</w:t>
        </w:r>
      </w:hyperlink>
      <w:r w:rsidR="00FF10C2">
        <w:rPr>
          <w:rFonts w:asciiTheme="minorEastAsia" w:eastAsiaTheme="minorEastAsia" w:hAnsiTheme="minorEastAsia" w:cstheme="minorEastAsia" w:hint="eastAsia"/>
          <w:color w:val="auto"/>
          <w:kern w:val="1"/>
          <w:szCs w:val="24"/>
        </w:rPr>
        <w:t>1</w:t>
      </w:r>
    </w:p>
    <w:p w:rsidR="006163A0" w:rsidRDefault="00226513">
      <w:pPr>
        <w:pStyle w:val="4"/>
        <w:jc w:val="distribute"/>
        <w:rPr>
          <w:rFonts w:asciiTheme="minorEastAsia" w:eastAsiaTheme="minorEastAsia" w:hAnsiTheme="minorEastAsia" w:cstheme="minorEastAsia"/>
          <w:color w:val="auto"/>
          <w:kern w:val="1"/>
          <w:szCs w:val="24"/>
        </w:rPr>
      </w:pPr>
      <w:hyperlink w:anchor="_Toc399838494" w:history="1">
        <w:r w:rsidR="00FF10C2">
          <w:rPr>
            <w:rFonts w:asciiTheme="minorEastAsia" w:eastAsiaTheme="minorEastAsia" w:hAnsiTheme="minorEastAsia" w:cstheme="minorEastAsia" w:hint="eastAsia"/>
            <w:color w:val="auto"/>
          </w:rPr>
          <w:t>2 规范性引用文件…………………………………………………………………………………</w:t>
        </w:r>
      </w:hyperlink>
      <w:r w:rsidR="00FF10C2">
        <w:rPr>
          <w:rFonts w:asciiTheme="minorEastAsia" w:eastAsiaTheme="minorEastAsia" w:hAnsiTheme="minorEastAsia" w:cstheme="minorEastAsia" w:hint="eastAsia"/>
          <w:color w:val="auto"/>
          <w:kern w:val="1"/>
          <w:szCs w:val="24"/>
        </w:rPr>
        <w:t>1</w:t>
      </w:r>
    </w:p>
    <w:p w:rsidR="006163A0" w:rsidRDefault="00226513">
      <w:pPr>
        <w:pStyle w:val="4"/>
        <w:jc w:val="distribute"/>
        <w:rPr>
          <w:rFonts w:asciiTheme="minorEastAsia" w:eastAsiaTheme="minorEastAsia" w:hAnsiTheme="minorEastAsia" w:cstheme="minorEastAsia"/>
          <w:color w:val="auto"/>
          <w:kern w:val="1"/>
          <w:szCs w:val="24"/>
        </w:rPr>
      </w:pPr>
      <w:hyperlink w:anchor="_Toc399838495" w:history="1">
        <w:r w:rsidR="00FF10C2">
          <w:rPr>
            <w:rFonts w:asciiTheme="minorEastAsia" w:eastAsiaTheme="minorEastAsia" w:hAnsiTheme="minorEastAsia" w:cstheme="minorEastAsia" w:hint="eastAsia"/>
            <w:color w:val="auto"/>
          </w:rPr>
          <w:t>3 术语和定义………………………………………………………………………………………</w:t>
        </w:r>
      </w:hyperlink>
      <w:r w:rsidR="00FF10C2">
        <w:rPr>
          <w:rFonts w:asciiTheme="minorEastAsia" w:eastAsiaTheme="minorEastAsia" w:hAnsiTheme="minorEastAsia" w:cstheme="minorEastAsia" w:hint="eastAsia"/>
          <w:color w:val="auto"/>
          <w:kern w:val="1"/>
          <w:szCs w:val="24"/>
        </w:rPr>
        <w:t>1</w:t>
      </w:r>
    </w:p>
    <w:p w:rsidR="006163A0" w:rsidRDefault="00FF10C2">
      <w:pPr>
        <w:pStyle w:val="4"/>
        <w:jc w:val="distribute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4 产地环境</w:t>
      </w:r>
      <w:hyperlink w:anchor="_Toc399838495" w:history="1">
        <w:r>
          <w:rPr>
            <w:rFonts w:asciiTheme="minorEastAsia" w:eastAsiaTheme="minorEastAsia" w:hAnsiTheme="minorEastAsia" w:cstheme="minorEastAsia" w:hint="eastAsia"/>
            <w:color w:val="auto"/>
          </w:rPr>
          <w:t>…………………………………………………………………………………………</w:t>
        </w:r>
      </w:hyperlink>
      <w:r>
        <w:rPr>
          <w:rFonts w:asciiTheme="minorEastAsia" w:eastAsiaTheme="minorEastAsia" w:hAnsiTheme="minorEastAsia" w:cstheme="minorEastAsia" w:hint="eastAsia"/>
          <w:color w:val="auto"/>
        </w:rPr>
        <w:t>1</w:t>
      </w:r>
    </w:p>
    <w:p w:rsidR="006163A0" w:rsidRDefault="00FF10C2">
      <w:pPr>
        <w:pStyle w:val="4"/>
        <w:jc w:val="distribute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5防治原则………………………………………………………………………</w:t>
      </w:r>
      <w:bookmarkStart w:id="3" w:name="OLE_LINK5"/>
      <w:r>
        <w:rPr>
          <w:rFonts w:asciiTheme="minorEastAsia" w:eastAsiaTheme="minorEastAsia" w:hAnsiTheme="minorEastAsia" w:cstheme="minorEastAsia" w:hint="eastAsia"/>
          <w:color w:val="auto"/>
        </w:rPr>
        <w:t>…</w:t>
      </w:r>
      <w:bookmarkEnd w:id="3"/>
      <w:r>
        <w:rPr>
          <w:rFonts w:asciiTheme="minorEastAsia" w:eastAsiaTheme="minorEastAsia" w:hAnsiTheme="minorEastAsia" w:cstheme="minorEastAsia" w:hint="eastAsia"/>
          <w:color w:val="auto"/>
        </w:rPr>
        <w:t>………………1</w:t>
      </w:r>
    </w:p>
    <w:p w:rsidR="006163A0" w:rsidRDefault="00FF10C2">
      <w:pPr>
        <w:pStyle w:val="4"/>
        <w:jc w:val="distribute"/>
        <w:rPr>
          <w:rFonts w:asciiTheme="minorEastAsia" w:eastAsiaTheme="minorEastAsia" w:hAnsiTheme="minorEastAsia" w:cstheme="minorEastAsia"/>
          <w:b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6 农业防治…………………………………………………………………………………………2</w:t>
      </w:r>
    </w:p>
    <w:p w:rsidR="006163A0" w:rsidRDefault="00FF10C2">
      <w:pPr>
        <w:pStyle w:val="4"/>
        <w:jc w:val="distribute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7物理防治…………………………………………………………………………………………3</w:t>
      </w:r>
    </w:p>
    <w:p w:rsidR="006163A0" w:rsidRDefault="00FF10C2">
      <w:pPr>
        <w:pStyle w:val="4"/>
        <w:jc w:val="distribute"/>
        <w:rPr>
          <w:rFonts w:asciiTheme="minorEastAsia" w:eastAsiaTheme="minorEastAsia" w:hAnsiTheme="minorEastAsia" w:cstheme="minorEastAsia"/>
          <w:color w:val="auto"/>
        </w:rPr>
      </w:pPr>
      <w:r>
        <w:rPr>
          <w:rFonts w:hint="eastAsia"/>
        </w:rPr>
        <w:t>8生物防治</w:t>
      </w:r>
      <w:r>
        <w:rPr>
          <w:rFonts w:asciiTheme="minorEastAsia" w:eastAsiaTheme="minorEastAsia" w:hAnsiTheme="minorEastAsia" w:cstheme="minorEastAsia" w:hint="eastAsia"/>
          <w:color w:val="auto"/>
        </w:rPr>
        <w:t>…………………………………………………………………………………3</w:t>
      </w:r>
    </w:p>
    <w:p w:rsidR="006163A0" w:rsidRDefault="00FF10C2">
      <w:pPr>
        <w:pStyle w:val="4"/>
        <w:jc w:val="distribute"/>
        <w:rPr>
          <w:rFonts w:asciiTheme="minorEastAsia" w:eastAsiaTheme="minorEastAsia" w:hAnsiTheme="minorEastAsia" w:cstheme="minorEastAsia"/>
          <w:color w:val="auto"/>
        </w:rPr>
      </w:pPr>
      <w:r>
        <w:rPr>
          <w:rFonts w:hint="eastAsia"/>
        </w:rPr>
        <w:t>9 化学防治</w:t>
      </w:r>
      <w:r>
        <w:rPr>
          <w:rFonts w:asciiTheme="minorEastAsia" w:eastAsiaTheme="minorEastAsia" w:hAnsiTheme="minorEastAsia" w:cstheme="minorEastAsia" w:hint="eastAsia"/>
          <w:color w:val="auto"/>
        </w:rPr>
        <w:t>…………………………………………………………………………………3</w:t>
      </w:r>
    </w:p>
    <w:p w:rsidR="006163A0" w:rsidRDefault="00FF10C2">
      <w:pPr>
        <w:pStyle w:val="4"/>
        <w:jc w:val="distribute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10档案管理………………………………………………………</w:t>
      </w:r>
      <w:bookmarkStart w:id="4" w:name="OLE_LINK8"/>
      <w:r>
        <w:rPr>
          <w:rFonts w:asciiTheme="minorEastAsia" w:eastAsiaTheme="minorEastAsia" w:hAnsiTheme="minorEastAsia" w:cstheme="minorEastAsia" w:hint="eastAsia"/>
          <w:color w:val="auto"/>
        </w:rPr>
        <w:t>…</w:t>
      </w:r>
      <w:bookmarkEnd w:id="4"/>
      <w:r>
        <w:rPr>
          <w:rFonts w:asciiTheme="minorEastAsia" w:eastAsiaTheme="minorEastAsia" w:hAnsiTheme="minorEastAsia" w:cstheme="minorEastAsia" w:hint="eastAsia"/>
          <w:color w:val="auto"/>
        </w:rPr>
        <w:t>……………………………3</w:t>
      </w:r>
    </w:p>
    <w:p w:rsidR="006163A0" w:rsidRDefault="00FF10C2">
      <w:pPr>
        <w:widowControl/>
        <w:shd w:val="clear" w:color="000000" w:fill="FFFFFF"/>
        <w:tabs>
          <w:tab w:val="right" w:leader="dot" w:pos="9345"/>
        </w:tabs>
        <w:spacing w:line="560" w:lineRule="exact"/>
        <w:jc w:val="distribute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附录A（资料性附录） 朝鲜蓟根茎腐烂病防治方法…………………………</w:t>
      </w:r>
      <w:bookmarkStart w:id="5" w:name="OLE_LINK9"/>
      <w:r>
        <w:rPr>
          <w:rFonts w:asciiTheme="minorEastAsia" w:hAnsiTheme="minorEastAsia" w:cstheme="minorEastAsia" w:hint="eastAsia"/>
          <w:szCs w:val="21"/>
        </w:rPr>
        <w:t>…</w:t>
      </w:r>
      <w:bookmarkEnd w:id="5"/>
      <w:r>
        <w:rPr>
          <w:rFonts w:asciiTheme="minorEastAsia" w:hAnsiTheme="minorEastAsia" w:cstheme="minorEastAsia" w:hint="eastAsia"/>
          <w:szCs w:val="21"/>
        </w:rPr>
        <w:t>……………5</w:t>
      </w:r>
    </w:p>
    <w:p w:rsidR="006163A0" w:rsidRDefault="00FF10C2">
      <w:pPr>
        <w:widowControl/>
        <w:shd w:val="clear" w:color="000000" w:fill="FFFFFF"/>
        <w:tabs>
          <w:tab w:val="right" w:leader="dot" w:pos="9345"/>
        </w:tabs>
        <w:spacing w:line="560" w:lineRule="exact"/>
        <w:jc w:val="distribute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附录B（规范性附录） 生产管理档案…………………………………………………………6</w:t>
      </w:r>
    </w:p>
    <w:p w:rsidR="006163A0" w:rsidRDefault="006163A0">
      <w:pPr>
        <w:rPr>
          <w:rFonts w:ascii="黑体" w:eastAsia="黑体" w:hAnsi="黑体" w:cs="黑体"/>
          <w:sz w:val="36"/>
          <w:szCs w:val="36"/>
        </w:rPr>
      </w:pPr>
    </w:p>
    <w:p w:rsidR="006163A0" w:rsidRDefault="00FF10C2">
      <w:bookmarkStart w:id="6" w:name="OLE_LINK3"/>
      <w:r>
        <w:br w:type="page"/>
      </w:r>
    </w:p>
    <w:p w:rsidR="006163A0" w:rsidRDefault="00FF10C2">
      <w:pPr>
        <w:pStyle w:val="a"/>
        <w:spacing w:line="360" w:lineRule="auto"/>
      </w:pPr>
      <w:r>
        <w:lastRenderedPageBreak/>
        <w:t>前    言</w:t>
      </w:r>
    </w:p>
    <w:p w:rsidR="006163A0" w:rsidRDefault="00FF10C2">
      <w:pPr>
        <w:spacing w:line="560" w:lineRule="exact"/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本标准按照GB/T1.1-2009的规则起草。</w:t>
      </w:r>
    </w:p>
    <w:p w:rsidR="006163A0" w:rsidRDefault="00FF10C2">
      <w:pPr>
        <w:spacing w:line="560" w:lineRule="exact"/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本标准某些内容可能涉及某些专利，发布单位不承担识别这些专利的相关责任。</w:t>
      </w:r>
    </w:p>
    <w:p w:rsidR="006163A0" w:rsidRDefault="00FF10C2">
      <w:pPr>
        <w:spacing w:line="560" w:lineRule="exact"/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本标准由常德市农林科学研究院、常德市农学会、西洞庭农业农村管理局、汇美农业科技有限公司提出。</w:t>
      </w:r>
    </w:p>
    <w:p w:rsidR="006163A0" w:rsidRDefault="00FF10C2">
      <w:pPr>
        <w:spacing w:line="560" w:lineRule="exact"/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本标准由湖南省农业标准化技术委员会归口。</w:t>
      </w:r>
    </w:p>
    <w:p w:rsidR="006163A0" w:rsidRDefault="00FF10C2">
      <w:pPr>
        <w:spacing w:line="560" w:lineRule="exact"/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本标准起草单位：常德市农林科学研究院、常德市农学会、西洞庭农业农村管理局、汇美农业科技有限公司。</w:t>
      </w:r>
    </w:p>
    <w:p w:rsidR="006163A0" w:rsidRDefault="00FF10C2">
      <w:pPr>
        <w:spacing w:line="560" w:lineRule="exact"/>
        <w:ind w:firstLine="420"/>
      </w:pPr>
      <w:r>
        <w:rPr>
          <w:rFonts w:ascii="宋体" w:hAnsi="宋体" w:cs="宋体" w:hint="eastAsia"/>
          <w:szCs w:val="21"/>
        </w:rPr>
        <w:t>本标准起草人：张平喜、刘会桃、王中美、张洋、吴亚飞、李树举、魏廷龙、禹淞文、周娟、王桢、龚立华、尤龙威、柏秀芳、肖宝刚、陈祖宏、刘二刚</w:t>
      </w:r>
      <w:bookmarkStart w:id="7" w:name="SectionMark4"/>
      <w:bookmarkEnd w:id="7"/>
      <w:r>
        <w:rPr>
          <w:rFonts w:ascii="宋体" w:hAnsi="宋体" w:cs="宋体" w:hint="eastAsia"/>
          <w:szCs w:val="21"/>
        </w:rPr>
        <w:t>、赵伶俐、罗彬彬、吴春娥、丁立君、李密</w:t>
      </w:r>
      <w:r w:rsidR="00BF1826">
        <w:rPr>
          <w:rFonts w:ascii="宋体" w:hAnsi="宋体" w:cs="宋体" w:hint="eastAsia"/>
          <w:szCs w:val="21"/>
        </w:rPr>
        <w:t xml:space="preserve">  黎圣云</w:t>
      </w:r>
    </w:p>
    <w:p w:rsidR="006163A0" w:rsidRDefault="006163A0">
      <w:pPr>
        <w:rPr>
          <w:rFonts w:ascii="黑体" w:eastAsia="黑体" w:hAnsi="黑体" w:cs="黑体"/>
          <w:sz w:val="36"/>
          <w:szCs w:val="36"/>
        </w:rPr>
      </w:pPr>
    </w:p>
    <w:p w:rsidR="006163A0" w:rsidRDefault="006163A0">
      <w:pPr>
        <w:spacing w:line="360" w:lineRule="auto"/>
        <w:jc w:val="center"/>
        <w:rPr>
          <w:rFonts w:ascii="黑体" w:eastAsia="黑体" w:hAnsi="黑体" w:cs="黑体"/>
          <w:sz w:val="36"/>
          <w:szCs w:val="36"/>
        </w:rPr>
        <w:sectPr w:rsidR="006163A0">
          <w:footerReference w:type="default" r:id="rId15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:rsidR="006163A0" w:rsidRDefault="00FF10C2">
      <w:pPr>
        <w:spacing w:line="360" w:lineRule="auto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lastRenderedPageBreak/>
        <w:t>朝鲜蓟根茎腐烂病防治技术规程</w:t>
      </w:r>
    </w:p>
    <w:bookmarkEnd w:id="0"/>
    <w:bookmarkEnd w:id="6"/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="142"/>
        <w:outlineLvl w:val="0"/>
        <w:rPr>
          <w:rFonts w:ascii="Times New Roman" w:eastAsia="黑体" w:hAnsi="Times New Roman" w:cs="Times New Roman"/>
          <w:kern w:val="0"/>
          <w:szCs w:val="21"/>
        </w:rPr>
      </w:pPr>
      <w:r>
        <w:rPr>
          <w:rFonts w:ascii="Times New Roman" w:eastAsia="黑体" w:hAnsi="Times New Roman" w:cs="Times New Roman" w:hint="eastAsia"/>
          <w:kern w:val="0"/>
          <w:szCs w:val="21"/>
        </w:rPr>
        <w:t xml:space="preserve">1  </w:t>
      </w:r>
      <w:r>
        <w:rPr>
          <w:rFonts w:ascii="Times New Roman" w:eastAsia="黑体" w:hAnsi="Times New Roman" w:cs="Times New Roman" w:hint="eastAsia"/>
          <w:kern w:val="0"/>
          <w:szCs w:val="21"/>
        </w:rPr>
        <w:t>范围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ind w:firstLineChars="200" w:firstLine="420"/>
        <w:rPr>
          <w:rFonts w:ascii="Times New Roman" w:eastAsia="宋体" w:hAnsi="Times New Roman" w:cs="Times New Roman"/>
          <w:bCs/>
          <w:kern w:val="0"/>
          <w:szCs w:val="21"/>
        </w:rPr>
      </w:pPr>
      <w:r>
        <w:rPr>
          <w:rFonts w:ascii="Times New Roman" w:eastAsia="宋体" w:hAnsi="Times New Roman" w:cs="Times New Roman"/>
          <w:bCs/>
          <w:kern w:val="0"/>
          <w:szCs w:val="21"/>
        </w:rPr>
        <w:t>本标准规定了朝鲜蓟根茎腐烂病的术语和定义</w:t>
      </w:r>
      <w:r>
        <w:rPr>
          <w:rFonts w:ascii="Times New Roman" w:eastAsia="宋体" w:hAnsi="Times New Roman" w:cs="Times New Roman" w:hint="eastAsia"/>
          <w:bCs/>
          <w:kern w:val="0"/>
          <w:szCs w:val="21"/>
        </w:rPr>
        <w:t>、产地环境、防治原则、农业防治、物理防治、生物防治、化学防治等技术内容。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ind w:firstLineChars="200" w:firstLine="420"/>
        <w:rPr>
          <w:rFonts w:ascii="Times New Roman" w:eastAsia="宋体" w:hAnsi="Times New Roman" w:cs="Times New Roman"/>
          <w:bCs/>
          <w:kern w:val="0"/>
          <w:szCs w:val="21"/>
        </w:rPr>
      </w:pPr>
      <w:r>
        <w:rPr>
          <w:rFonts w:ascii="Times New Roman" w:eastAsia="宋体" w:hAnsi="Times New Roman" w:cs="Times New Roman" w:hint="eastAsia"/>
          <w:bCs/>
          <w:kern w:val="0"/>
          <w:szCs w:val="21"/>
        </w:rPr>
        <w:t>本标准适用于湖南省朝鲜蓟根茎腐烂病的防治。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="142"/>
        <w:outlineLvl w:val="0"/>
        <w:rPr>
          <w:rFonts w:ascii="Times New Roman" w:eastAsia="黑体" w:hAnsi="Times New Roman" w:cs="Times New Roman"/>
          <w:kern w:val="0"/>
          <w:szCs w:val="21"/>
        </w:rPr>
      </w:pPr>
      <w:r>
        <w:rPr>
          <w:rFonts w:ascii="Times New Roman" w:eastAsia="黑体" w:hAnsi="Times New Roman" w:cs="Times New Roman" w:hint="eastAsia"/>
          <w:kern w:val="0"/>
          <w:szCs w:val="21"/>
        </w:rPr>
        <w:t xml:space="preserve">2  </w:t>
      </w:r>
      <w:r>
        <w:rPr>
          <w:rFonts w:ascii="Times New Roman" w:eastAsia="黑体" w:hAnsi="Times New Roman" w:cs="Times New Roman" w:hint="eastAsia"/>
          <w:kern w:val="0"/>
          <w:szCs w:val="21"/>
        </w:rPr>
        <w:t>规范性引用文件</w:t>
      </w:r>
    </w:p>
    <w:p w:rsidR="006163A0" w:rsidRDefault="00FF10C2">
      <w:pPr>
        <w:spacing w:line="48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下列文件对于本文件的应用是必不可少的。凡是注日期的引用文件，仅注日期的版本适用于本标准。凡是不注日期的引用文件，其最新版本（包括所有的修改单）适用于本标准。</w:t>
      </w:r>
    </w:p>
    <w:p w:rsidR="00F91C0B" w:rsidRDefault="00F91C0B" w:rsidP="00F91C0B">
      <w:pPr>
        <w:spacing w:line="480" w:lineRule="auto"/>
        <w:rPr>
          <w:rFonts w:ascii="宋体" w:eastAsia="宋体" w:hAnsi="宋体"/>
        </w:rPr>
      </w:pPr>
      <w:r w:rsidRPr="00F91C0B">
        <w:rPr>
          <w:rFonts w:ascii="宋体" w:eastAsia="宋体" w:hAnsi="宋体"/>
        </w:rPr>
        <w:t>GB 4285</w:t>
      </w:r>
      <w:r>
        <w:rPr>
          <w:rFonts w:ascii="宋体" w:eastAsia="宋体" w:hAnsi="宋体" w:hint="eastAsia"/>
        </w:rPr>
        <w:t xml:space="preserve">    农药安全使用标准</w:t>
      </w:r>
    </w:p>
    <w:p w:rsidR="006163A0" w:rsidRDefault="00FF10C2">
      <w:pPr>
        <w:spacing w:line="48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GB/T 8321   农药合理使用准则</w:t>
      </w:r>
    </w:p>
    <w:p w:rsidR="006163A0" w:rsidRDefault="00FF10C2">
      <w:pPr>
        <w:spacing w:line="48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NY/T 391    绿色食品 产地环境质量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NY/T 393    绿色食品 农药使用准则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 xml:space="preserve">NY/T 1276  </w:t>
      </w:r>
      <w:bookmarkStart w:id="8" w:name="_GoBack"/>
      <w:bookmarkEnd w:id="8"/>
      <w:r>
        <w:rPr>
          <w:rFonts w:ascii="宋体" w:hAnsi="宋体" w:cs="宋体" w:hint="eastAsia"/>
          <w:bCs/>
          <w:kern w:val="0"/>
          <w:szCs w:val="21"/>
        </w:rPr>
        <w:t>农药安全使用规范  总则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="142"/>
        <w:outlineLvl w:val="0"/>
        <w:rPr>
          <w:rFonts w:ascii="Times New Roman" w:eastAsia="黑体" w:hAnsi="Times New Roman" w:cs="Times New Roman"/>
          <w:kern w:val="0"/>
          <w:szCs w:val="21"/>
        </w:rPr>
      </w:pPr>
      <w:r>
        <w:rPr>
          <w:rFonts w:ascii="Times New Roman" w:eastAsia="黑体" w:hAnsi="Times New Roman" w:cs="Times New Roman" w:hint="eastAsia"/>
          <w:kern w:val="0"/>
          <w:szCs w:val="21"/>
        </w:rPr>
        <w:t xml:space="preserve">3  </w:t>
      </w:r>
      <w:r>
        <w:rPr>
          <w:rFonts w:ascii="Times New Roman" w:eastAsia="黑体" w:hAnsi="Times New Roman" w:cs="Times New Roman" w:hint="eastAsia"/>
          <w:kern w:val="0"/>
          <w:szCs w:val="21"/>
        </w:rPr>
        <w:t>术语和定义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rPr>
          <w:rFonts w:ascii="黑体" w:eastAsia="黑体" w:hAnsi="黑体" w:cs="黑体"/>
          <w:bCs/>
          <w:kern w:val="0"/>
          <w:szCs w:val="21"/>
        </w:rPr>
      </w:pPr>
      <w:r>
        <w:rPr>
          <w:rFonts w:ascii="黑体" w:eastAsia="黑体" w:hAnsi="黑体" w:cs="黑体" w:hint="eastAsia"/>
          <w:bCs/>
          <w:kern w:val="0"/>
          <w:szCs w:val="21"/>
        </w:rPr>
        <w:t>3.1 朝鲜蓟根茎腐烂病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ind w:firstLineChars="200" w:firstLine="420"/>
        <w:rPr>
          <w:rFonts w:ascii="Calibri" w:eastAsia="宋体" w:hAnsi="Calibri" w:cs="Times New Roman"/>
          <w:bCs/>
          <w:kern w:val="0"/>
          <w:szCs w:val="21"/>
        </w:rPr>
      </w:pPr>
      <w:bookmarkStart w:id="9" w:name="OLE_LINK2"/>
      <w:r>
        <w:rPr>
          <w:rFonts w:ascii="Calibri" w:eastAsia="宋体" w:hAnsi="Calibri" w:cs="Times New Roman" w:hint="eastAsia"/>
          <w:bCs/>
          <w:kern w:val="0"/>
          <w:szCs w:val="21"/>
        </w:rPr>
        <w:t>朝鲜蓟根茎腐烂病</w:t>
      </w:r>
      <w:bookmarkEnd w:id="9"/>
      <w:r>
        <w:rPr>
          <w:rFonts w:ascii="Calibri" w:eastAsia="宋体" w:hAnsi="Calibri" w:cs="Times New Roman" w:hint="eastAsia"/>
          <w:bCs/>
          <w:kern w:val="0"/>
          <w:szCs w:val="21"/>
        </w:rPr>
        <w:t>是一种细菌性土传病害，通过伤口侵入，根部和主茎的髓部腐烂变褐，呈空腔状，吸收水分和养分的功能逐渐减弱，最后全株枯萎死亡。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outlineLvl w:val="0"/>
        <w:rPr>
          <w:rFonts w:ascii="Times New Roman" w:eastAsia="黑体" w:hAnsi="Times New Roman" w:cs="Times New Roman"/>
          <w:kern w:val="0"/>
          <w:szCs w:val="21"/>
        </w:rPr>
      </w:pPr>
      <w:r>
        <w:rPr>
          <w:rFonts w:ascii="Times New Roman" w:eastAsia="黑体" w:hAnsi="Times New Roman" w:cs="Times New Roman" w:hint="eastAsia"/>
          <w:kern w:val="0"/>
          <w:szCs w:val="21"/>
        </w:rPr>
        <w:t xml:space="preserve">4  </w:t>
      </w:r>
      <w:r>
        <w:rPr>
          <w:rFonts w:ascii="Times New Roman" w:eastAsia="黑体" w:hAnsi="Times New Roman" w:cs="Times New Roman" w:hint="eastAsia"/>
          <w:kern w:val="0"/>
          <w:szCs w:val="21"/>
        </w:rPr>
        <w:t>产地环境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ind w:firstLineChars="200" w:firstLine="420"/>
        <w:rPr>
          <w:rFonts w:ascii="Calibri" w:eastAsia="宋体" w:hAnsi="Calibri" w:cs="Times New Roman"/>
          <w:bCs/>
          <w:kern w:val="0"/>
          <w:szCs w:val="21"/>
        </w:rPr>
      </w:pPr>
      <w:r>
        <w:rPr>
          <w:rFonts w:ascii="Calibri" w:eastAsia="宋体" w:hAnsi="Calibri" w:cs="Times New Roman" w:hint="eastAsia"/>
          <w:bCs/>
          <w:kern w:val="0"/>
          <w:szCs w:val="21"/>
        </w:rPr>
        <w:t>产地环境应符合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NY 5010 </w:t>
      </w:r>
      <w:r>
        <w:rPr>
          <w:rFonts w:ascii="Calibri" w:eastAsia="宋体" w:hAnsi="Calibri" w:cs="Times New Roman" w:hint="eastAsia"/>
          <w:bCs/>
          <w:kern w:val="0"/>
          <w:szCs w:val="21"/>
        </w:rPr>
        <w:t>无公害食品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  </w:t>
      </w:r>
      <w:r>
        <w:rPr>
          <w:rFonts w:ascii="Calibri" w:eastAsia="宋体" w:hAnsi="Calibri" w:cs="Times New Roman" w:hint="eastAsia"/>
          <w:bCs/>
          <w:kern w:val="0"/>
          <w:szCs w:val="21"/>
        </w:rPr>
        <w:t>蔬菜产地环境条件。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rPr>
          <w:rFonts w:ascii="Times New Roman" w:eastAsia="黑体" w:hAnsi="Times New Roman" w:cs="Times New Roman"/>
          <w:kern w:val="0"/>
          <w:szCs w:val="21"/>
        </w:rPr>
      </w:pPr>
      <w:r>
        <w:rPr>
          <w:rFonts w:ascii="Times New Roman" w:eastAsia="黑体" w:hAnsi="Times New Roman" w:cs="Times New Roman" w:hint="eastAsia"/>
          <w:kern w:val="0"/>
          <w:szCs w:val="21"/>
        </w:rPr>
        <w:t xml:space="preserve">5  </w:t>
      </w:r>
      <w:r>
        <w:rPr>
          <w:rFonts w:ascii="Times New Roman" w:eastAsia="黑体" w:hAnsi="Times New Roman" w:cs="Times New Roman" w:hint="eastAsia"/>
          <w:kern w:val="0"/>
          <w:szCs w:val="21"/>
        </w:rPr>
        <w:t>防治原则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firstLineChars="200" w:firstLine="420"/>
        <w:outlineLvl w:val="1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lastRenderedPageBreak/>
        <w:t>按照 “预防为主，综合防治”的植保方针，综合运用农业防治、物理防治、生物防治、化学防治等综合措施治理朝鲜蓟根茎腐烂病，少量、合理地使用低毒农药。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outlineLvl w:val="0"/>
        <w:rPr>
          <w:rFonts w:ascii="Times New Roman" w:eastAsia="黑体" w:hAnsi="Times New Roman" w:cs="Times New Roman"/>
          <w:kern w:val="0"/>
          <w:szCs w:val="21"/>
        </w:rPr>
      </w:pPr>
      <w:r>
        <w:rPr>
          <w:rFonts w:ascii="Times New Roman" w:eastAsia="黑体" w:hAnsi="Times New Roman" w:cs="Times New Roman" w:hint="eastAsia"/>
          <w:kern w:val="0"/>
          <w:szCs w:val="21"/>
        </w:rPr>
        <w:t xml:space="preserve">6  </w:t>
      </w:r>
      <w:r>
        <w:rPr>
          <w:rFonts w:ascii="Times New Roman" w:eastAsia="黑体" w:hAnsi="Times New Roman" w:cs="Times New Roman" w:hint="eastAsia"/>
          <w:kern w:val="0"/>
          <w:szCs w:val="21"/>
        </w:rPr>
        <w:t>农业防治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outlineLvl w:val="1"/>
        <w:rPr>
          <w:rFonts w:ascii="Calibri" w:eastAsia="黑体" w:hAnsi="Calibri" w:cs="Times New Roman"/>
          <w:kern w:val="0"/>
          <w:szCs w:val="21"/>
        </w:rPr>
      </w:pPr>
      <w:r>
        <w:rPr>
          <w:rFonts w:ascii="Calibri" w:eastAsia="黑体" w:hAnsi="Calibri" w:cs="Times New Roman" w:hint="eastAsia"/>
          <w:kern w:val="0"/>
          <w:szCs w:val="21"/>
        </w:rPr>
        <w:t>6.1</w:t>
      </w:r>
      <w:r>
        <w:rPr>
          <w:rFonts w:ascii="Calibri" w:eastAsia="黑体" w:hAnsi="Calibri" w:cs="Times New Roman" w:hint="eastAsia"/>
          <w:kern w:val="0"/>
          <w:szCs w:val="21"/>
        </w:rPr>
        <w:t>品种选择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="142"/>
        <w:outlineLvl w:val="1"/>
        <w:rPr>
          <w:rFonts w:ascii="Calibri" w:eastAsia="黑体" w:hAnsi="Calibri" w:cs="Times New Roman"/>
          <w:kern w:val="0"/>
          <w:szCs w:val="21"/>
        </w:rPr>
      </w:pPr>
      <w:r>
        <w:rPr>
          <w:rFonts w:ascii="Calibri" w:eastAsia="宋体" w:hAnsi="Calibri" w:cs="Times New Roman" w:hint="eastAsia"/>
          <w:bCs/>
          <w:kern w:val="0"/>
          <w:szCs w:val="21"/>
        </w:rPr>
        <w:t>选择本区域适应性强和抗病虫的品种，如劳卡等。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outlineLvl w:val="1"/>
        <w:rPr>
          <w:rFonts w:ascii="Calibri" w:eastAsia="黑体" w:hAnsi="Calibri" w:cs="Times New Roman"/>
          <w:kern w:val="0"/>
          <w:szCs w:val="21"/>
        </w:rPr>
      </w:pPr>
      <w:r>
        <w:rPr>
          <w:rFonts w:ascii="Calibri" w:eastAsia="黑体" w:hAnsi="Calibri" w:cs="Times New Roman" w:hint="eastAsia"/>
          <w:kern w:val="0"/>
          <w:szCs w:val="21"/>
        </w:rPr>
        <w:t>6.2</w:t>
      </w:r>
      <w:r>
        <w:rPr>
          <w:rFonts w:ascii="Calibri" w:eastAsia="黑体" w:hAnsi="Calibri" w:cs="Times New Roman" w:hint="eastAsia"/>
          <w:kern w:val="0"/>
          <w:szCs w:val="21"/>
        </w:rPr>
        <w:t>合理轮作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firstLineChars="200" w:firstLine="420"/>
        <w:outlineLvl w:val="1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提倡与禾本科作物、棉花2～3年轮作，减少田间病菌来源，前作瓜菜类、烟叶类的地块不宜种植。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outlineLvl w:val="1"/>
        <w:rPr>
          <w:rFonts w:ascii="Calibri" w:eastAsia="黑体" w:hAnsi="Calibri" w:cs="Times New Roman"/>
          <w:kern w:val="0"/>
          <w:szCs w:val="21"/>
        </w:rPr>
      </w:pPr>
      <w:r>
        <w:rPr>
          <w:rFonts w:ascii="Calibri" w:eastAsia="黑体" w:hAnsi="Calibri" w:cs="Times New Roman" w:hint="eastAsia"/>
          <w:kern w:val="0"/>
          <w:szCs w:val="21"/>
        </w:rPr>
        <w:t xml:space="preserve">6.3 </w:t>
      </w:r>
      <w:r>
        <w:rPr>
          <w:rFonts w:ascii="Calibri" w:eastAsia="黑体" w:hAnsi="Calibri" w:cs="Times New Roman" w:hint="eastAsia"/>
          <w:kern w:val="0"/>
          <w:szCs w:val="21"/>
        </w:rPr>
        <w:t>清洁田园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firstLineChars="200" w:firstLine="420"/>
        <w:outlineLvl w:val="1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 xml:space="preserve"> 清除沟边杂草，减少虫源基数。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="142"/>
        <w:outlineLvl w:val="1"/>
        <w:rPr>
          <w:rFonts w:ascii="Calibri" w:eastAsia="黑体" w:hAnsi="Calibri" w:cs="Times New Roman"/>
          <w:kern w:val="0"/>
          <w:szCs w:val="21"/>
        </w:rPr>
      </w:pPr>
      <w:r>
        <w:rPr>
          <w:rFonts w:ascii="Calibri" w:eastAsia="黑体" w:hAnsi="Calibri" w:cs="Times New Roman" w:hint="eastAsia"/>
          <w:kern w:val="0"/>
          <w:szCs w:val="21"/>
        </w:rPr>
        <w:t xml:space="preserve">6.4 </w:t>
      </w:r>
      <w:r>
        <w:rPr>
          <w:rFonts w:ascii="Calibri" w:eastAsia="黑体" w:hAnsi="Calibri" w:cs="Times New Roman" w:hint="eastAsia"/>
          <w:kern w:val="0"/>
          <w:szCs w:val="21"/>
        </w:rPr>
        <w:t>合理整地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firstLineChars="200" w:firstLine="420"/>
        <w:outlineLvl w:val="1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每年的</w:t>
      </w:r>
      <w:r w:rsidR="00FC092B">
        <w:rPr>
          <w:rFonts w:ascii="宋体" w:eastAsia="宋体" w:hAnsi="宋体" w:cs="Times New Roman" w:hint="eastAsia"/>
          <w:kern w:val="0"/>
          <w:szCs w:val="21"/>
        </w:rPr>
        <w:t>9</w:t>
      </w:r>
      <w:r>
        <w:rPr>
          <w:rFonts w:ascii="宋体" w:eastAsia="宋体" w:hAnsi="宋体" w:cs="Times New Roman" w:hint="eastAsia"/>
          <w:kern w:val="0"/>
          <w:szCs w:val="21"/>
        </w:rPr>
        <w:t>月20日前抢有利天气做好准备，要求清除杂草、深翻，并将土块整碎，按垄宽包沟2.4 m整垄，栽双行，行距1.2 m, 株距0.7m～0.8 m，每亩栽700株～750株，行向选择南北向，便于抗倒伏，抬高朝鲜蓟植株生长空间。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="142"/>
        <w:outlineLvl w:val="1"/>
        <w:rPr>
          <w:rFonts w:ascii="Calibri" w:eastAsia="黑体" w:hAnsi="Calibri" w:cs="Times New Roman"/>
          <w:kern w:val="0"/>
          <w:szCs w:val="21"/>
        </w:rPr>
      </w:pPr>
      <w:r>
        <w:rPr>
          <w:rFonts w:ascii="Calibri" w:eastAsia="黑体" w:hAnsi="Calibri" w:cs="Times New Roman" w:hint="eastAsia"/>
          <w:kern w:val="0"/>
          <w:szCs w:val="21"/>
        </w:rPr>
        <w:t>6.5</w:t>
      </w:r>
      <w:r>
        <w:rPr>
          <w:rFonts w:ascii="Calibri" w:eastAsia="黑体" w:hAnsi="Calibri" w:cs="Times New Roman" w:hint="eastAsia"/>
          <w:kern w:val="0"/>
          <w:szCs w:val="21"/>
        </w:rPr>
        <w:t>开好“三沟”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ind w:firstLineChars="200" w:firstLine="420"/>
        <w:rPr>
          <w:rFonts w:ascii="Calibri" w:eastAsia="宋体" w:hAnsi="Calibri" w:cs="Times New Roman"/>
          <w:bCs/>
          <w:kern w:val="0"/>
          <w:szCs w:val="21"/>
        </w:rPr>
      </w:pPr>
      <w:r>
        <w:rPr>
          <w:rFonts w:ascii="Calibri" w:eastAsia="宋体" w:hAnsi="Calibri" w:cs="Times New Roman" w:hint="eastAsia"/>
          <w:bCs/>
          <w:kern w:val="0"/>
          <w:szCs w:val="21"/>
        </w:rPr>
        <w:t>即厢沟、腰沟、围沟，做到深沟高厢，本着厢沟浅、围沟深的原则，一般厢沟深</w:t>
      </w:r>
      <w:r>
        <w:rPr>
          <w:rFonts w:ascii="Calibri" w:eastAsia="宋体" w:hAnsi="Calibri" w:cs="Times New Roman" w:hint="eastAsia"/>
          <w:bCs/>
          <w:kern w:val="0"/>
          <w:szCs w:val="21"/>
        </w:rPr>
        <w:t>30 cm</w:t>
      </w:r>
      <w:r>
        <w:rPr>
          <w:rFonts w:ascii="Calibri" w:eastAsia="宋体" w:hAnsi="Calibri" w:cs="Times New Roman" w:hint="eastAsia"/>
          <w:bCs/>
          <w:kern w:val="0"/>
          <w:szCs w:val="21"/>
        </w:rPr>
        <w:t>，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 </w:t>
      </w:r>
      <w:r>
        <w:rPr>
          <w:rFonts w:ascii="Calibri" w:eastAsia="宋体" w:hAnsi="Calibri" w:cs="Times New Roman" w:hint="eastAsia"/>
          <w:bCs/>
          <w:kern w:val="0"/>
          <w:szCs w:val="21"/>
        </w:rPr>
        <w:t>腰沟深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35 cm </w:t>
      </w:r>
      <w:r>
        <w:rPr>
          <w:rFonts w:ascii="Calibri" w:eastAsia="宋体" w:hAnsi="Calibri" w:cs="Times New Roman" w:hint="eastAsia"/>
          <w:bCs/>
          <w:kern w:val="0"/>
          <w:szCs w:val="21"/>
        </w:rPr>
        <w:t>，围沟深</w:t>
      </w:r>
      <w:r>
        <w:rPr>
          <w:rFonts w:ascii="Calibri" w:eastAsia="宋体" w:hAnsi="Calibri" w:cs="Times New Roman" w:hint="eastAsia"/>
          <w:bCs/>
          <w:kern w:val="0"/>
          <w:szCs w:val="21"/>
        </w:rPr>
        <w:t>40 cm</w:t>
      </w:r>
      <w:r>
        <w:rPr>
          <w:rFonts w:ascii="Calibri" w:eastAsia="宋体" w:hAnsi="Calibri" w:cs="Times New Roman" w:hint="eastAsia"/>
          <w:bCs/>
          <w:kern w:val="0"/>
          <w:szCs w:val="21"/>
        </w:rPr>
        <w:t>，在降雨或农事操作后及时清理田沟，保证沟内无积泥积水，沟沟相通，保持适宜的墒情，有效地降低田间相对湿度。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="142"/>
        <w:outlineLvl w:val="1"/>
        <w:rPr>
          <w:rFonts w:ascii="Calibri" w:eastAsia="黑体" w:hAnsi="Calibri" w:cs="Times New Roman"/>
          <w:kern w:val="0"/>
          <w:szCs w:val="21"/>
        </w:rPr>
      </w:pPr>
      <w:r>
        <w:rPr>
          <w:rFonts w:ascii="Calibri" w:eastAsia="黑体" w:hAnsi="Calibri" w:cs="Times New Roman" w:hint="eastAsia"/>
          <w:kern w:val="0"/>
          <w:szCs w:val="21"/>
        </w:rPr>
        <w:t>6.6</w:t>
      </w:r>
      <w:r>
        <w:rPr>
          <w:rFonts w:ascii="Calibri" w:eastAsia="黑体" w:hAnsi="Calibri" w:cs="Times New Roman" w:hint="eastAsia"/>
          <w:kern w:val="0"/>
          <w:szCs w:val="21"/>
        </w:rPr>
        <w:t>平衡施肥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firstLineChars="200" w:firstLine="420"/>
        <w:outlineLvl w:val="1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平衡施肥能促进朝鲜蓟健壮生长，增强朝鲜蓟植株的抗病和耐病能力。主要做好两点：一是平衡施肥，不偏施氮肥，适量增加磷钾肥，促进朝鲜蓟根、茎坚韧健壮；二是增施微肥，勤施叶面肥，结合防病治虫，喷施含有硼、锌的多元微肥，提高抗根茎腐烂病的能力。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="142"/>
        <w:outlineLvl w:val="0"/>
        <w:rPr>
          <w:rFonts w:ascii="Times New Roman" w:eastAsia="黑体" w:hAnsi="Times New Roman" w:cs="Times New Roman"/>
          <w:kern w:val="0"/>
          <w:szCs w:val="21"/>
        </w:rPr>
      </w:pPr>
      <w:r>
        <w:rPr>
          <w:rFonts w:ascii="Times New Roman" w:eastAsia="黑体" w:hAnsi="Times New Roman" w:cs="Times New Roman" w:hint="eastAsia"/>
          <w:kern w:val="0"/>
          <w:szCs w:val="21"/>
        </w:rPr>
        <w:lastRenderedPageBreak/>
        <w:t xml:space="preserve">7 </w:t>
      </w:r>
      <w:r>
        <w:rPr>
          <w:rFonts w:ascii="Times New Roman" w:eastAsia="黑体" w:hAnsi="Times New Roman" w:cs="Times New Roman" w:hint="eastAsia"/>
          <w:kern w:val="0"/>
          <w:szCs w:val="21"/>
        </w:rPr>
        <w:t>物理防治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="142"/>
        <w:outlineLvl w:val="1"/>
        <w:rPr>
          <w:rFonts w:ascii="Calibri" w:eastAsia="黑体" w:hAnsi="Calibri" w:cs="Times New Roman"/>
          <w:kern w:val="0"/>
          <w:szCs w:val="21"/>
        </w:rPr>
      </w:pPr>
      <w:r>
        <w:rPr>
          <w:rFonts w:ascii="Calibri" w:eastAsia="黑体" w:hAnsi="Calibri" w:cs="Times New Roman" w:hint="eastAsia"/>
          <w:kern w:val="0"/>
          <w:szCs w:val="21"/>
        </w:rPr>
        <w:t xml:space="preserve">7.1 </w:t>
      </w:r>
      <w:r>
        <w:rPr>
          <w:rFonts w:ascii="Calibri" w:eastAsia="黑体" w:hAnsi="Calibri" w:cs="Times New Roman" w:hint="eastAsia"/>
          <w:kern w:val="0"/>
          <w:szCs w:val="21"/>
        </w:rPr>
        <w:t>保护根系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ind w:firstLineChars="200" w:firstLine="420"/>
        <w:rPr>
          <w:rFonts w:ascii="Calibri" w:eastAsia="宋体" w:hAnsi="Calibri" w:cs="Times New Roman"/>
          <w:bCs/>
          <w:color w:val="000000" w:themeColor="text1"/>
          <w:kern w:val="0"/>
          <w:szCs w:val="21"/>
        </w:rPr>
      </w:pPr>
      <w:r>
        <w:rPr>
          <w:rFonts w:ascii="Calibri" w:eastAsia="宋体" w:hAnsi="Calibri" w:cs="Times New Roman" w:hint="eastAsia"/>
          <w:bCs/>
          <w:kern w:val="0"/>
          <w:szCs w:val="21"/>
        </w:rPr>
        <w:t>减少</w:t>
      </w:r>
      <w:r w:rsidR="00FC092B">
        <w:rPr>
          <w:rFonts w:ascii="Calibri" w:eastAsia="宋体" w:hAnsi="Calibri" w:cs="Times New Roman" w:hint="eastAsia"/>
          <w:bCs/>
          <w:kern w:val="0"/>
          <w:szCs w:val="21"/>
        </w:rPr>
        <w:t>伤口，避免人为和害虫损伤根系，降低病菌侵染的机会。一严禁深中耕。</w:t>
      </w:r>
      <w:r>
        <w:rPr>
          <w:rFonts w:ascii="Calibri" w:eastAsia="宋体" w:hAnsi="Calibri" w:cs="Times New Roman" w:hint="eastAsia"/>
          <w:bCs/>
          <w:kern w:val="0"/>
          <w:szCs w:val="21"/>
        </w:rPr>
        <w:t>3</w:t>
      </w:r>
      <w:r>
        <w:rPr>
          <w:rFonts w:ascii="Calibri" w:eastAsia="宋体" w:hAnsi="Calibri" w:cs="Times New Roman" w:hint="eastAsia"/>
          <w:bCs/>
          <w:kern w:val="0"/>
          <w:szCs w:val="21"/>
        </w:rPr>
        <w:t>月至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4 </w:t>
      </w:r>
      <w:r>
        <w:rPr>
          <w:rFonts w:ascii="Calibri" w:eastAsia="宋体" w:hAnsi="Calibri" w:cs="Times New Roman" w:hint="eastAsia"/>
          <w:bCs/>
          <w:kern w:val="0"/>
          <w:szCs w:val="21"/>
        </w:rPr>
        <w:t>月揭膜除草时要轻锄、浅锄或人工拔除，提倡免耕，可试用全程地膜覆盖。二是埋肥沟距朝鲜蓟根部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30 cm </w:t>
      </w:r>
      <w:r>
        <w:rPr>
          <w:rFonts w:ascii="Calibri" w:eastAsia="宋体" w:hAnsi="Calibri" w:cs="Times New Roman" w:hint="eastAsia"/>
          <w:bCs/>
          <w:kern w:val="0"/>
          <w:szCs w:val="21"/>
        </w:rPr>
        <w:t>以上，严禁埋肥过近。三是早拔分蘖，并喷药保护。</w:t>
      </w:r>
      <w:r>
        <w:rPr>
          <w:rFonts w:ascii="Calibri" w:eastAsia="宋体" w:hAnsi="Calibri" w:cs="Times New Roman" w:hint="eastAsia"/>
          <w:bCs/>
          <w:kern w:val="0"/>
          <w:szCs w:val="21"/>
        </w:rPr>
        <w:t>3</w:t>
      </w:r>
      <w:r>
        <w:rPr>
          <w:rFonts w:ascii="Calibri" w:eastAsia="宋体" w:hAnsi="Calibri" w:cs="Times New Roman" w:hint="eastAsia"/>
          <w:bCs/>
          <w:kern w:val="0"/>
          <w:szCs w:val="21"/>
        </w:rPr>
        <w:t>月底前趁气温较低时及时拔除分蘖，在气温较高后要选择晴天无露水时拔除分蘖，并且每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 667 m</w:t>
      </w:r>
      <w:r>
        <w:rPr>
          <w:rFonts w:ascii="Calibri" w:eastAsia="宋体" w:hAnsi="Calibri" w:cs="Times New Roman" w:hint="eastAsia"/>
          <w:bCs/>
          <w:kern w:val="0"/>
          <w:szCs w:val="21"/>
          <w:vertAlign w:val="superscript"/>
        </w:rPr>
        <w:t>2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 </w:t>
      </w:r>
      <w:r>
        <w:rPr>
          <w:rFonts w:ascii="Calibri" w:eastAsia="宋体" w:hAnsi="Calibri" w:cs="Times New Roman" w:hint="eastAsia"/>
          <w:bCs/>
          <w:kern w:val="0"/>
          <w:szCs w:val="21"/>
        </w:rPr>
        <w:t>喷施波尔多液（硫酸铜∶生石灰∶热水为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 1</w:t>
      </w:r>
      <w:r>
        <w:rPr>
          <w:rFonts w:ascii="Calibri" w:eastAsia="宋体" w:hAnsi="Calibri" w:cs="Times New Roman" w:hint="eastAsia"/>
          <w:bCs/>
          <w:kern w:val="0"/>
          <w:szCs w:val="21"/>
        </w:rPr>
        <w:t>∶</w:t>
      </w:r>
      <w:r>
        <w:rPr>
          <w:rFonts w:ascii="Calibri" w:eastAsia="宋体" w:hAnsi="Calibri" w:cs="Times New Roman" w:hint="eastAsia"/>
          <w:bCs/>
          <w:kern w:val="0"/>
          <w:szCs w:val="21"/>
        </w:rPr>
        <w:t>1</w:t>
      </w:r>
      <w:r>
        <w:rPr>
          <w:rFonts w:ascii="Calibri" w:eastAsia="宋体" w:hAnsi="Calibri" w:cs="Times New Roman" w:hint="eastAsia"/>
          <w:bCs/>
          <w:kern w:val="0"/>
          <w:szCs w:val="21"/>
        </w:rPr>
        <w:t>∶</w:t>
      </w:r>
      <w:r>
        <w:rPr>
          <w:rFonts w:ascii="Calibri" w:eastAsia="宋体" w:hAnsi="Calibri" w:cs="Times New Roman" w:hint="eastAsia"/>
          <w:bCs/>
          <w:kern w:val="0"/>
          <w:szCs w:val="21"/>
        </w:rPr>
        <w:t>100</w:t>
      </w:r>
      <w:r>
        <w:rPr>
          <w:rFonts w:ascii="Calibri" w:eastAsia="宋体" w:hAnsi="Calibri" w:cs="Times New Roman" w:hint="eastAsia"/>
          <w:bCs/>
          <w:kern w:val="0"/>
          <w:szCs w:val="21"/>
        </w:rPr>
        <w:t>）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50 kg </w:t>
      </w:r>
      <w:r>
        <w:rPr>
          <w:rFonts w:ascii="Calibri" w:eastAsia="宋体" w:hAnsi="Calibri" w:cs="Times New Roman" w:hint="eastAsia"/>
          <w:bCs/>
          <w:kern w:val="0"/>
          <w:szCs w:val="21"/>
        </w:rPr>
        <w:t>等防病杀菌剂保护分蘖伤口。</w:t>
      </w:r>
      <w:r w:rsidR="00FC092B">
        <w:rPr>
          <w:rFonts w:ascii="Calibri" w:eastAsia="宋体" w:hAnsi="Calibri" w:cs="Times New Roman" w:hint="eastAsia"/>
          <w:bCs/>
          <w:color w:val="000000" w:themeColor="text1"/>
          <w:kern w:val="0"/>
          <w:szCs w:val="21"/>
        </w:rPr>
        <w:t>四是杀灭地下害虫和蜗牛。</w:t>
      </w:r>
      <w:r>
        <w:rPr>
          <w:rFonts w:ascii="Calibri" w:eastAsia="宋体" w:hAnsi="Calibri" w:cs="Times New Roman" w:hint="eastAsia"/>
          <w:bCs/>
          <w:color w:val="000000" w:themeColor="text1"/>
          <w:kern w:val="0"/>
          <w:szCs w:val="21"/>
        </w:rPr>
        <w:t>在</w:t>
      </w:r>
      <w:r>
        <w:rPr>
          <w:rFonts w:ascii="Calibri" w:eastAsia="宋体" w:hAnsi="Calibri" w:cs="Times New Roman" w:hint="eastAsia"/>
          <w:bCs/>
          <w:color w:val="000000" w:themeColor="text1"/>
          <w:kern w:val="0"/>
          <w:szCs w:val="21"/>
        </w:rPr>
        <w:t xml:space="preserve">3 </w:t>
      </w:r>
      <w:r>
        <w:rPr>
          <w:rFonts w:ascii="Calibri" w:eastAsia="宋体" w:hAnsi="Calibri" w:cs="Times New Roman" w:hint="eastAsia"/>
          <w:bCs/>
          <w:color w:val="000000" w:themeColor="text1"/>
          <w:kern w:val="0"/>
          <w:szCs w:val="21"/>
        </w:rPr>
        <w:t>月下旬病害流行前，用</w:t>
      </w:r>
      <w:r>
        <w:rPr>
          <w:rFonts w:ascii="Calibri" w:eastAsia="宋体" w:hAnsi="Calibri" w:cs="Times New Roman" w:hint="eastAsia"/>
          <w:bCs/>
          <w:color w:val="000000" w:themeColor="text1"/>
          <w:kern w:val="0"/>
          <w:szCs w:val="21"/>
        </w:rPr>
        <w:t xml:space="preserve"> 50% </w:t>
      </w:r>
      <w:r>
        <w:rPr>
          <w:rFonts w:ascii="Calibri" w:eastAsia="宋体" w:hAnsi="Calibri" w:cs="Times New Roman" w:hint="eastAsia"/>
          <w:bCs/>
          <w:color w:val="000000" w:themeColor="text1"/>
          <w:kern w:val="0"/>
          <w:szCs w:val="21"/>
        </w:rPr>
        <w:t>辛硫磷乳油</w:t>
      </w:r>
      <w:r>
        <w:rPr>
          <w:rFonts w:ascii="Calibri" w:eastAsia="宋体" w:hAnsi="Calibri" w:cs="Times New Roman" w:hint="eastAsia"/>
          <w:bCs/>
          <w:color w:val="000000" w:themeColor="text1"/>
          <w:kern w:val="0"/>
          <w:szCs w:val="21"/>
        </w:rPr>
        <w:t xml:space="preserve"> 500 </w:t>
      </w:r>
      <w:r>
        <w:rPr>
          <w:rFonts w:ascii="Calibri" w:eastAsia="宋体" w:hAnsi="Calibri" w:cs="Times New Roman" w:hint="eastAsia"/>
          <w:bCs/>
          <w:color w:val="000000" w:themeColor="text1"/>
          <w:kern w:val="0"/>
          <w:szCs w:val="21"/>
        </w:rPr>
        <w:t>倍液灌根，减少地下害虫的伤害。蜗牛开始活动时撒施</w:t>
      </w:r>
      <w:r>
        <w:rPr>
          <w:rFonts w:ascii="Calibri" w:eastAsia="宋体" w:hAnsi="Calibri" w:cs="Times New Roman" w:hint="eastAsia"/>
          <w:bCs/>
          <w:color w:val="000000" w:themeColor="text1"/>
          <w:kern w:val="0"/>
          <w:szCs w:val="21"/>
        </w:rPr>
        <w:t xml:space="preserve"> 6% </w:t>
      </w:r>
      <w:r>
        <w:rPr>
          <w:rFonts w:ascii="Calibri" w:eastAsia="宋体" w:hAnsi="Calibri" w:cs="Times New Roman" w:hint="eastAsia"/>
          <w:bCs/>
          <w:color w:val="000000" w:themeColor="text1"/>
          <w:kern w:val="0"/>
          <w:szCs w:val="21"/>
        </w:rPr>
        <w:t>四聚乙醛（密达蜗牛灵）颗粒剂</w:t>
      </w:r>
      <w:r>
        <w:rPr>
          <w:rFonts w:ascii="Calibri" w:eastAsia="宋体" w:hAnsi="Calibri" w:cs="Times New Roman" w:hint="eastAsia"/>
          <w:bCs/>
          <w:color w:val="000000" w:themeColor="text1"/>
          <w:kern w:val="0"/>
          <w:szCs w:val="21"/>
        </w:rPr>
        <w:t xml:space="preserve"> 400 g </w:t>
      </w:r>
      <w:r>
        <w:rPr>
          <w:rFonts w:ascii="Calibri" w:eastAsia="宋体" w:hAnsi="Calibri" w:cs="Times New Roman" w:hint="eastAsia"/>
          <w:bCs/>
          <w:color w:val="000000" w:themeColor="text1"/>
          <w:kern w:val="0"/>
          <w:szCs w:val="21"/>
        </w:rPr>
        <w:t>等杀灭蜗牛。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="142"/>
        <w:outlineLvl w:val="1"/>
        <w:rPr>
          <w:rFonts w:ascii="Calibri" w:eastAsia="黑体" w:hAnsi="Calibri" w:cs="Times New Roman"/>
          <w:kern w:val="0"/>
          <w:szCs w:val="21"/>
        </w:rPr>
      </w:pPr>
      <w:r>
        <w:rPr>
          <w:rFonts w:ascii="Calibri" w:eastAsia="黑体" w:hAnsi="Calibri" w:cs="Times New Roman" w:hint="eastAsia"/>
          <w:kern w:val="0"/>
          <w:szCs w:val="21"/>
        </w:rPr>
        <w:t xml:space="preserve">7.2 </w:t>
      </w:r>
      <w:r>
        <w:rPr>
          <w:rFonts w:ascii="Calibri" w:eastAsia="黑体" w:hAnsi="Calibri" w:cs="Times New Roman" w:hint="eastAsia"/>
          <w:kern w:val="0"/>
          <w:szCs w:val="21"/>
        </w:rPr>
        <w:t>及时拔除病株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="142" w:firstLineChars="200" w:firstLine="420"/>
        <w:outlineLvl w:val="1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田间一旦发现枯萎病株，及时拔除并带出田外集中销毁，同时对病穴撒施生石灰进行消毒处理。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="142"/>
        <w:outlineLvl w:val="1"/>
        <w:rPr>
          <w:rFonts w:ascii="Calibri" w:eastAsia="黑体" w:hAnsi="Calibri" w:cs="Times New Roman"/>
          <w:kern w:val="0"/>
          <w:szCs w:val="21"/>
        </w:rPr>
      </w:pPr>
      <w:r>
        <w:rPr>
          <w:rFonts w:ascii="Calibri" w:eastAsia="黑体" w:hAnsi="Calibri" w:cs="Times New Roman" w:hint="eastAsia"/>
          <w:kern w:val="0"/>
          <w:szCs w:val="21"/>
        </w:rPr>
        <w:t>7.3</w:t>
      </w:r>
      <w:r>
        <w:rPr>
          <w:rFonts w:ascii="Calibri" w:eastAsia="黑体" w:hAnsi="Calibri" w:cs="Times New Roman" w:hint="eastAsia"/>
          <w:kern w:val="0"/>
          <w:szCs w:val="21"/>
        </w:rPr>
        <w:t>及时除虫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Chars="68" w:left="143" w:firstLineChars="200" w:firstLine="420"/>
        <w:outlineLvl w:val="1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丘块四周用防虫网隔离虫源、挂黄板诱杀蚜虫；安装频振式杀虫灯、黑光灯等诱杀成虫，减少伤口的发生，降低病原菌侵染机会。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="142"/>
        <w:outlineLvl w:val="0"/>
        <w:rPr>
          <w:rFonts w:ascii="Times New Roman" w:eastAsia="黑体" w:hAnsi="Times New Roman" w:cs="Times New Roman"/>
          <w:kern w:val="0"/>
          <w:szCs w:val="21"/>
        </w:rPr>
      </w:pPr>
      <w:r>
        <w:rPr>
          <w:rFonts w:ascii="Times New Roman" w:eastAsia="黑体" w:hAnsi="Times New Roman" w:cs="Times New Roman" w:hint="eastAsia"/>
          <w:kern w:val="0"/>
          <w:szCs w:val="21"/>
        </w:rPr>
        <w:t xml:space="preserve">8 </w:t>
      </w:r>
      <w:r>
        <w:rPr>
          <w:rFonts w:ascii="Times New Roman" w:eastAsia="黑体" w:hAnsi="Times New Roman" w:cs="Times New Roman" w:hint="eastAsia"/>
          <w:kern w:val="0"/>
          <w:szCs w:val="21"/>
        </w:rPr>
        <w:t>生物防治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ind w:firstLineChars="200" w:firstLine="420"/>
        <w:rPr>
          <w:rFonts w:asciiTheme="minorEastAsia" w:hAnsiTheme="minorEastAsia" w:cs="Times New Roman"/>
          <w:bCs/>
          <w:kern w:val="0"/>
          <w:szCs w:val="21"/>
        </w:rPr>
      </w:pPr>
      <w:r>
        <w:rPr>
          <w:rFonts w:asciiTheme="minorEastAsia" w:hAnsiTheme="minorEastAsia" w:cs="Times New Roman" w:hint="eastAsia"/>
          <w:bCs/>
          <w:kern w:val="0"/>
          <w:szCs w:val="21"/>
        </w:rPr>
        <w:t>从2月中旬开始，选用有效活菌数大于等于2.0亿/ml的枯草芽孢杆菌液体20ml/支兑水喷洒，根据苗情每666.7m</w:t>
      </w:r>
      <w:r>
        <w:rPr>
          <w:rFonts w:asciiTheme="minorEastAsia" w:hAnsiTheme="minorEastAsia" w:cs="Times New Roman" w:hint="eastAsia"/>
          <w:bCs/>
          <w:kern w:val="0"/>
          <w:szCs w:val="21"/>
          <w:vertAlign w:val="superscript"/>
        </w:rPr>
        <w:t>2</w:t>
      </w:r>
      <w:r>
        <w:rPr>
          <w:rFonts w:asciiTheme="minorEastAsia" w:hAnsiTheme="minorEastAsia" w:cs="Times New Roman" w:hint="eastAsia"/>
          <w:bCs/>
          <w:kern w:val="0"/>
          <w:szCs w:val="21"/>
        </w:rPr>
        <w:t>喷洒10ml</w:t>
      </w:r>
      <w:r>
        <w:rPr>
          <w:rFonts w:ascii="宋体" w:eastAsia="宋体" w:hAnsi="宋体" w:cs="Times New Roman" w:hint="eastAsia"/>
          <w:kern w:val="0"/>
          <w:szCs w:val="21"/>
        </w:rPr>
        <w:t>～</w:t>
      </w:r>
      <w:r>
        <w:rPr>
          <w:rFonts w:asciiTheme="minorEastAsia" w:hAnsiTheme="minorEastAsia" w:cs="Times New Roman" w:hint="eastAsia"/>
          <w:bCs/>
          <w:kern w:val="0"/>
          <w:szCs w:val="21"/>
        </w:rPr>
        <w:t>20ml。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="142"/>
        <w:outlineLvl w:val="0"/>
        <w:rPr>
          <w:rFonts w:ascii="Times New Roman" w:eastAsia="黑体" w:hAnsi="Times New Roman" w:cs="Times New Roman"/>
          <w:kern w:val="0"/>
          <w:szCs w:val="21"/>
        </w:rPr>
      </w:pPr>
      <w:r>
        <w:rPr>
          <w:rFonts w:ascii="Times New Roman" w:eastAsia="黑体" w:hAnsi="Times New Roman" w:cs="Times New Roman" w:hint="eastAsia"/>
          <w:kern w:val="0"/>
          <w:szCs w:val="21"/>
        </w:rPr>
        <w:t xml:space="preserve">9 </w:t>
      </w:r>
      <w:r>
        <w:rPr>
          <w:rFonts w:ascii="Times New Roman" w:eastAsia="黑体" w:hAnsi="Times New Roman" w:cs="Times New Roman" w:hint="eastAsia"/>
          <w:kern w:val="0"/>
          <w:szCs w:val="21"/>
        </w:rPr>
        <w:t>化学防治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ind w:firstLineChars="200" w:firstLine="420"/>
        <w:rPr>
          <w:rFonts w:ascii="Calibri" w:eastAsia="宋体" w:hAnsi="Calibri" w:cs="Times New Roman"/>
          <w:bCs/>
          <w:kern w:val="0"/>
          <w:szCs w:val="21"/>
        </w:rPr>
      </w:pPr>
      <w:r>
        <w:rPr>
          <w:rFonts w:ascii="Calibri" w:eastAsia="宋体" w:hAnsi="Calibri" w:cs="Times New Roman" w:hint="eastAsia"/>
          <w:bCs/>
          <w:kern w:val="0"/>
          <w:szCs w:val="21"/>
        </w:rPr>
        <w:t>在发病初期开始喷药，用药间隔一般</w:t>
      </w:r>
      <w:r>
        <w:rPr>
          <w:rFonts w:ascii="Calibri" w:eastAsia="宋体" w:hAnsi="Calibri" w:cs="Times New Roman" w:hint="eastAsia"/>
          <w:bCs/>
          <w:kern w:val="0"/>
          <w:szCs w:val="21"/>
        </w:rPr>
        <w:t>7 d</w:t>
      </w:r>
      <w:r>
        <w:rPr>
          <w:rFonts w:ascii="宋体" w:eastAsia="宋体" w:hAnsi="宋体" w:cs="Times New Roman" w:hint="eastAsia"/>
          <w:kern w:val="0"/>
          <w:szCs w:val="21"/>
        </w:rPr>
        <w:t>～</w:t>
      </w:r>
      <w:r>
        <w:rPr>
          <w:rFonts w:ascii="Calibri" w:eastAsia="宋体" w:hAnsi="Calibri" w:cs="Times New Roman" w:hint="eastAsia"/>
          <w:bCs/>
          <w:kern w:val="0"/>
          <w:szCs w:val="21"/>
        </w:rPr>
        <w:t>10 d</w:t>
      </w:r>
      <w:r>
        <w:rPr>
          <w:rFonts w:ascii="Calibri" w:eastAsia="宋体" w:hAnsi="Calibri" w:cs="Times New Roman" w:hint="eastAsia"/>
          <w:bCs/>
          <w:kern w:val="0"/>
          <w:szCs w:val="21"/>
        </w:rPr>
        <w:t>，连续喷雾防治</w:t>
      </w:r>
      <w:r>
        <w:rPr>
          <w:rFonts w:ascii="Calibri" w:eastAsia="宋体" w:hAnsi="Calibri" w:cs="Times New Roman" w:hint="eastAsia"/>
          <w:bCs/>
          <w:kern w:val="0"/>
          <w:szCs w:val="21"/>
        </w:rPr>
        <w:t>2</w:t>
      </w:r>
      <w:r>
        <w:rPr>
          <w:rFonts w:ascii="Calibri" w:eastAsia="宋体" w:hAnsi="Calibri" w:cs="Times New Roman" w:hint="eastAsia"/>
          <w:bCs/>
          <w:kern w:val="0"/>
          <w:szCs w:val="21"/>
        </w:rPr>
        <w:t>次</w:t>
      </w:r>
      <w:r>
        <w:rPr>
          <w:rFonts w:ascii="宋体" w:eastAsia="宋体" w:hAnsi="宋体" w:cs="Times New Roman" w:hint="eastAsia"/>
          <w:kern w:val="0"/>
          <w:szCs w:val="21"/>
        </w:rPr>
        <w:t>～</w:t>
      </w:r>
      <w:r>
        <w:rPr>
          <w:rFonts w:ascii="Calibri" w:eastAsia="宋体" w:hAnsi="Calibri" w:cs="Times New Roman" w:hint="eastAsia"/>
          <w:bCs/>
          <w:kern w:val="0"/>
          <w:szCs w:val="21"/>
        </w:rPr>
        <w:t>3</w:t>
      </w:r>
      <w:r>
        <w:rPr>
          <w:rFonts w:ascii="Calibri" w:eastAsia="宋体" w:hAnsi="Calibri" w:cs="Times New Roman" w:hint="eastAsia"/>
          <w:bCs/>
          <w:kern w:val="0"/>
          <w:szCs w:val="21"/>
        </w:rPr>
        <w:t>次。　从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 3 </w:t>
      </w:r>
      <w:r>
        <w:rPr>
          <w:rFonts w:ascii="Calibri" w:eastAsia="宋体" w:hAnsi="Calibri" w:cs="Times New Roman" w:hint="eastAsia"/>
          <w:bCs/>
          <w:kern w:val="0"/>
          <w:szCs w:val="21"/>
        </w:rPr>
        <w:t>月下旬开始做好药剂预防工作，可用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72% </w:t>
      </w:r>
      <w:r>
        <w:rPr>
          <w:rFonts w:ascii="Calibri" w:eastAsia="宋体" w:hAnsi="Calibri" w:cs="Times New Roman" w:hint="eastAsia"/>
          <w:bCs/>
          <w:color w:val="000000" w:themeColor="text1"/>
          <w:kern w:val="0"/>
          <w:szCs w:val="21"/>
        </w:rPr>
        <w:t>农用链霉素</w:t>
      </w:r>
      <w:r>
        <w:rPr>
          <w:rFonts w:ascii="Calibri" w:eastAsia="宋体" w:hAnsi="Calibri" w:cs="Times New Roman" w:hint="eastAsia"/>
          <w:bCs/>
          <w:color w:val="000000" w:themeColor="text1"/>
          <w:kern w:val="0"/>
          <w:szCs w:val="21"/>
        </w:rPr>
        <w:t>2 5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00 </w:t>
      </w:r>
      <w:r>
        <w:rPr>
          <w:rFonts w:ascii="Calibri" w:eastAsia="宋体" w:hAnsi="Calibri" w:cs="Times New Roman" w:hint="eastAsia"/>
          <w:bCs/>
          <w:kern w:val="0"/>
          <w:szCs w:val="21"/>
        </w:rPr>
        <w:t>倍液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20% </w:t>
      </w:r>
      <w:r>
        <w:rPr>
          <w:rFonts w:ascii="Calibri" w:eastAsia="宋体" w:hAnsi="Calibri" w:cs="Times New Roman" w:hint="eastAsia"/>
          <w:bCs/>
          <w:kern w:val="0"/>
          <w:szCs w:val="21"/>
        </w:rPr>
        <w:t>噻菌铜（龙克菌）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700 </w:t>
      </w:r>
      <w:r>
        <w:rPr>
          <w:rFonts w:ascii="Calibri" w:eastAsia="宋体" w:hAnsi="Calibri" w:cs="Times New Roman" w:hint="eastAsia"/>
          <w:bCs/>
          <w:kern w:val="0"/>
          <w:szCs w:val="21"/>
        </w:rPr>
        <w:t>倍液，并加促根剂进行全株喷雾或灌根，每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 10 d</w:t>
      </w:r>
      <w:r>
        <w:rPr>
          <w:rFonts w:ascii="Calibri" w:eastAsia="宋体" w:hAnsi="Calibri" w:cs="Times New Roman" w:hint="eastAsia"/>
          <w:bCs/>
          <w:kern w:val="0"/>
          <w:szCs w:val="21"/>
        </w:rPr>
        <w:t>（天）左右喷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 1 </w:t>
      </w:r>
      <w:r>
        <w:rPr>
          <w:rFonts w:ascii="Calibri" w:eastAsia="宋体" w:hAnsi="Calibri" w:cs="Times New Roman" w:hint="eastAsia"/>
          <w:bCs/>
          <w:kern w:val="0"/>
          <w:szCs w:val="21"/>
        </w:rPr>
        <w:t>次，两种药交替施用（也可</w:t>
      </w:r>
      <w:r>
        <w:rPr>
          <w:rFonts w:ascii="Calibri" w:eastAsia="宋体" w:hAnsi="Calibri" w:cs="Times New Roman" w:hint="eastAsia"/>
          <w:bCs/>
          <w:kern w:val="0"/>
          <w:szCs w:val="21"/>
        </w:rPr>
        <w:lastRenderedPageBreak/>
        <w:t>试用锐抗霉素等），直到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5 </w:t>
      </w:r>
      <w:r>
        <w:rPr>
          <w:rFonts w:ascii="Calibri" w:eastAsia="宋体" w:hAnsi="Calibri" w:cs="Times New Roman" w:hint="eastAsia"/>
          <w:bCs/>
          <w:kern w:val="0"/>
          <w:szCs w:val="21"/>
        </w:rPr>
        <w:t>月中旬，尤其暴风雨后要及时喷药保护。推广使用生物农药，限量使用高效、低毒及低残留农药，严禁使用剧毒、高毒及高残留农药。</w:t>
      </w:r>
    </w:p>
    <w:p w:rsidR="006163A0" w:rsidRDefault="00FF10C2">
      <w:pPr>
        <w:widowControl/>
        <w:shd w:val="clear" w:color="auto" w:fill="FFFFFF"/>
        <w:snapToGrid w:val="0"/>
        <w:spacing w:before="156" w:after="156" w:line="540" w:lineRule="exact"/>
        <w:ind w:left="142"/>
        <w:outlineLvl w:val="0"/>
        <w:rPr>
          <w:rFonts w:ascii="Times New Roman" w:eastAsia="黑体" w:hAnsi="Times New Roman" w:cs="Times New Roman"/>
          <w:kern w:val="0"/>
          <w:szCs w:val="21"/>
        </w:rPr>
      </w:pPr>
      <w:r>
        <w:rPr>
          <w:rFonts w:ascii="Times New Roman" w:eastAsia="黑体" w:hAnsi="Times New Roman" w:cs="Times New Roman" w:hint="eastAsia"/>
          <w:kern w:val="0"/>
          <w:szCs w:val="21"/>
        </w:rPr>
        <w:t xml:space="preserve">9 </w:t>
      </w:r>
      <w:r>
        <w:rPr>
          <w:rFonts w:ascii="Times New Roman" w:eastAsia="黑体" w:hAnsi="Times New Roman" w:cs="Times New Roman" w:hint="eastAsia"/>
          <w:kern w:val="0"/>
          <w:szCs w:val="21"/>
        </w:rPr>
        <w:t>档案管理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rPr>
          <w:rFonts w:ascii="黑体" w:eastAsia="黑体" w:hAnsi="黑体" w:cs="黑体"/>
          <w:bCs/>
          <w:kern w:val="0"/>
          <w:szCs w:val="21"/>
        </w:rPr>
      </w:pPr>
      <w:r>
        <w:rPr>
          <w:rFonts w:ascii="黑体" w:eastAsia="黑体" w:hAnsi="黑体" w:cs="黑体" w:hint="eastAsia"/>
          <w:bCs/>
          <w:kern w:val="0"/>
          <w:szCs w:val="21"/>
        </w:rPr>
        <w:t>9.1 生产操作记载档案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ind w:firstLineChars="200" w:firstLine="420"/>
        <w:rPr>
          <w:rFonts w:ascii="Calibri" w:eastAsia="宋体" w:hAnsi="Calibri" w:cs="Times New Roman"/>
          <w:bCs/>
          <w:kern w:val="0"/>
          <w:szCs w:val="21"/>
        </w:rPr>
      </w:pPr>
      <w:r>
        <w:rPr>
          <w:rFonts w:ascii="Calibri" w:eastAsia="宋体" w:hAnsi="Calibri" w:cs="Times New Roman" w:hint="eastAsia"/>
          <w:bCs/>
          <w:kern w:val="0"/>
          <w:szCs w:val="21"/>
        </w:rPr>
        <w:t>生产过程的各项农事操作均应逐项如实记载，及时检查实际效果、记载方法、内容按附录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 B.1 </w:t>
      </w:r>
      <w:r>
        <w:rPr>
          <w:rFonts w:ascii="Calibri" w:eastAsia="宋体" w:hAnsi="Calibri" w:cs="Times New Roman" w:hint="eastAsia"/>
          <w:bCs/>
          <w:kern w:val="0"/>
          <w:szCs w:val="21"/>
        </w:rPr>
        <w:t>执行。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rPr>
          <w:rFonts w:ascii="黑体" w:eastAsia="黑体" w:hAnsi="黑体" w:cs="黑体"/>
          <w:bCs/>
          <w:kern w:val="0"/>
          <w:szCs w:val="21"/>
        </w:rPr>
      </w:pPr>
      <w:r>
        <w:rPr>
          <w:rFonts w:ascii="黑体" w:eastAsia="黑体" w:hAnsi="黑体" w:cs="黑体" w:hint="eastAsia"/>
          <w:bCs/>
          <w:kern w:val="0"/>
          <w:szCs w:val="21"/>
        </w:rPr>
        <w:t>9.2 投入品使用档案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ind w:firstLineChars="200" w:firstLine="420"/>
        <w:rPr>
          <w:rFonts w:ascii="Calibri" w:eastAsia="宋体" w:hAnsi="Calibri" w:cs="Times New Roman"/>
          <w:bCs/>
          <w:kern w:val="0"/>
          <w:szCs w:val="21"/>
        </w:rPr>
      </w:pPr>
      <w:r>
        <w:rPr>
          <w:rFonts w:ascii="Calibri" w:eastAsia="宋体" w:hAnsi="Calibri" w:cs="Times New Roman" w:hint="eastAsia"/>
          <w:bCs/>
          <w:kern w:val="0"/>
          <w:szCs w:val="21"/>
        </w:rPr>
        <w:t>肥料、农药等投入品的使用，应做好如实记载。记载内容按附录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 B.2 </w:t>
      </w:r>
      <w:r>
        <w:rPr>
          <w:rFonts w:ascii="Calibri" w:eastAsia="宋体" w:hAnsi="Calibri" w:cs="Times New Roman" w:hint="eastAsia"/>
          <w:bCs/>
          <w:kern w:val="0"/>
          <w:szCs w:val="21"/>
        </w:rPr>
        <w:t>执行。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rPr>
          <w:rFonts w:ascii="黑体" w:eastAsia="黑体" w:hAnsi="黑体" w:cs="黑体"/>
          <w:bCs/>
          <w:kern w:val="0"/>
          <w:szCs w:val="21"/>
        </w:rPr>
      </w:pPr>
      <w:r>
        <w:rPr>
          <w:rFonts w:ascii="黑体" w:eastAsia="黑体" w:hAnsi="黑体" w:cs="黑体" w:hint="eastAsia"/>
          <w:bCs/>
          <w:kern w:val="0"/>
          <w:szCs w:val="21"/>
        </w:rPr>
        <w:t>9.3 物候期记载档案</w:t>
      </w:r>
    </w:p>
    <w:p w:rsidR="006163A0" w:rsidRDefault="00FF10C2">
      <w:pPr>
        <w:shd w:val="clear" w:color="auto" w:fill="FFFFFF"/>
        <w:snapToGrid w:val="0"/>
        <w:spacing w:before="50" w:after="50" w:line="540" w:lineRule="exact"/>
        <w:ind w:firstLineChars="200" w:firstLine="420"/>
        <w:rPr>
          <w:rFonts w:ascii="Calibri" w:eastAsia="宋体" w:hAnsi="Calibri" w:cs="Times New Roman"/>
          <w:bCs/>
          <w:kern w:val="0"/>
          <w:szCs w:val="21"/>
        </w:rPr>
      </w:pPr>
      <w:r>
        <w:rPr>
          <w:rFonts w:ascii="Calibri" w:eastAsia="宋体" w:hAnsi="Calibri" w:cs="Times New Roman" w:hint="eastAsia"/>
          <w:bCs/>
          <w:kern w:val="0"/>
          <w:szCs w:val="21"/>
        </w:rPr>
        <w:t>全年各个物候期应详细记载。记载按附录</w:t>
      </w:r>
      <w:r>
        <w:rPr>
          <w:rFonts w:ascii="Calibri" w:eastAsia="宋体" w:hAnsi="Calibri" w:cs="Times New Roman" w:hint="eastAsia"/>
          <w:bCs/>
          <w:kern w:val="0"/>
          <w:szCs w:val="21"/>
        </w:rPr>
        <w:t xml:space="preserve"> B.3 </w:t>
      </w:r>
      <w:r>
        <w:rPr>
          <w:rFonts w:ascii="Calibri" w:eastAsia="宋体" w:hAnsi="Calibri" w:cs="Times New Roman" w:hint="eastAsia"/>
          <w:bCs/>
          <w:kern w:val="0"/>
          <w:szCs w:val="21"/>
        </w:rPr>
        <w:t>执行</w:t>
      </w:r>
    </w:p>
    <w:p w:rsidR="006163A0" w:rsidRDefault="00FF10C2">
      <w:pPr>
        <w:rPr>
          <w:rFonts w:ascii="黑体" w:eastAsia="黑体" w:hAnsi="黑体" w:cs="宋体"/>
          <w:kern w:val="1"/>
          <w:sz w:val="24"/>
        </w:rPr>
      </w:pPr>
      <w:r>
        <w:rPr>
          <w:rFonts w:ascii="黑体" w:eastAsia="黑体" w:hAnsi="黑体" w:cs="宋体" w:hint="eastAsia"/>
          <w:kern w:val="1"/>
          <w:sz w:val="24"/>
        </w:rPr>
        <w:br w:type="page"/>
      </w:r>
    </w:p>
    <w:p w:rsidR="006163A0" w:rsidRDefault="00FF10C2">
      <w:pPr>
        <w:shd w:val="clear" w:color="000000" w:fill="FFFFFF"/>
        <w:spacing w:line="400" w:lineRule="exact"/>
        <w:jc w:val="center"/>
        <w:rPr>
          <w:rFonts w:ascii="黑体" w:eastAsia="黑体" w:hAnsi="黑体" w:cs="宋体"/>
          <w:kern w:val="1"/>
          <w:sz w:val="24"/>
        </w:rPr>
      </w:pPr>
      <w:r>
        <w:rPr>
          <w:rFonts w:ascii="黑体" w:eastAsia="黑体" w:hAnsi="黑体" w:cs="宋体" w:hint="eastAsia"/>
          <w:kern w:val="1"/>
          <w:sz w:val="24"/>
        </w:rPr>
        <w:lastRenderedPageBreak/>
        <w:t>附录A</w:t>
      </w:r>
    </w:p>
    <w:p w:rsidR="006163A0" w:rsidRDefault="00FF10C2">
      <w:pPr>
        <w:shd w:val="clear" w:color="000000" w:fill="FFFFFF"/>
        <w:spacing w:line="400" w:lineRule="exact"/>
        <w:jc w:val="center"/>
        <w:rPr>
          <w:rFonts w:ascii="黑体" w:eastAsia="黑体" w:hAnsi="黑体" w:cs="宋体"/>
          <w:kern w:val="1"/>
          <w:sz w:val="24"/>
        </w:rPr>
      </w:pPr>
      <w:r>
        <w:rPr>
          <w:rFonts w:ascii="黑体" w:eastAsia="黑体" w:hAnsi="黑体" w:cs="宋体"/>
          <w:kern w:val="1"/>
          <w:sz w:val="24"/>
        </w:rPr>
        <w:t>（</w:t>
      </w:r>
      <w:r>
        <w:rPr>
          <w:rFonts w:ascii="黑体" w:eastAsia="黑体" w:hAnsi="黑体" w:cs="宋体" w:hint="eastAsia"/>
          <w:kern w:val="1"/>
          <w:sz w:val="24"/>
        </w:rPr>
        <w:t>资料</w:t>
      </w:r>
      <w:r>
        <w:rPr>
          <w:rFonts w:ascii="黑体" w:eastAsia="黑体" w:hAnsi="黑体" w:cs="宋体"/>
          <w:kern w:val="1"/>
          <w:sz w:val="24"/>
        </w:rPr>
        <w:t>性附录）</w:t>
      </w:r>
    </w:p>
    <w:p w:rsidR="006163A0" w:rsidRDefault="00FF10C2">
      <w:pPr>
        <w:shd w:val="clear" w:color="000000" w:fill="FFFFFF"/>
        <w:spacing w:line="400" w:lineRule="exact"/>
        <w:jc w:val="center"/>
        <w:rPr>
          <w:rFonts w:ascii="黑体" w:eastAsia="黑体" w:hAnsi="黑体" w:cs="宋体"/>
          <w:kern w:val="1"/>
          <w:sz w:val="24"/>
        </w:rPr>
      </w:pPr>
      <w:r>
        <w:rPr>
          <w:rFonts w:eastAsia="黑体" w:hint="eastAsia"/>
          <w:kern w:val="1"/>
          <w:sz w:val="24"/>
        </w:rPr>
        <w:t>朝鲜蓟根茎腐烂病</w:t>
      </w:r>
      <w:r>
        <w:rPr>
          <w:rFonts w:ascii="黑体" w:eastAsia="黑体" w:hAnsi="黑体" w:cs="宋体"/>
          <w:kern w:val="1"/>
          <w:sz w:val="24"/>
        </w:rPr>
        <w:t>防治方法</w:t>
      </w:r>
    </w:p>
    <w:p w:rsidR="006163A0" w:rsidRDefault="006163A0">
      <w:pPr>
        <w:shd w:val="clear" w:color="000000" w:fill="FFFFFF"/>
        <w:spacing w:line="440" w:lineRule="exact"/>
        <w:ind w:firstLine="420"/>
        <w:jc w:val="center"/>
        <w:rPr>
          <w:rFonts w:eastAsia="黑体"/>
          <w:kern w:val="1"/>
          <w:szCs w:val="21"/>
        </w:rPr>
      </w:pPr>
    </w:p>
    <w:p w:rsidR="006163A0" w:rsidRDefault="00FF10C2">
      <w:pPr>
        <w:jc w:val="center"/>
        <w:rPr>
          <w:kern w:val="1"/>
        </w:rPr>
      </w:pPr>
      <w:r>
        <w:rPr>
          <w:kern w:val="1"/>
        </w:rPr>
        <w:t>表</w:t>
      </w:r>
      <w:r>
        <w:rPr>
          <w:kern w:val="1"/>
        </w:rPr>
        <w:t>A</w:t>
      </w:r>
      <w:r>
        <w:rPr>
          <w:rFonts w:hint="eastAsia"/>
          <w:kern w:val="1"/>
        </w:rPr>
        <w:t xml:space="preserve"> </w:t>
      </w:r>
      <w:r>
        <w:rPr>
          <w:rFonts w:hint="eastAsia"/>
          <w:kern w:val="1"/>
        </w:rPr>
        <w:t>朝鲜蓟根茎腐烂病</w:t>
      </w:r>
      <w:r>
        <w:rPr>
          <w:kern w:val="1"/>
        </w:rPr>
        <w:t>防治方法表</w:t>
      </w:r>
    </w:p>
    <w:p w:rsidR="006163A0" w:rsidRDefault="006163A0">
      <w:pPr>
        <w:jc w:val="center"/>
        <w:rPr>
          <w:kern w:val="1"/>
        </w:rPr>
      </w:pPr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6"/>
        <w:gridCol w:w="1799"/>
        <w:gridCol w:w="3260"/>
        <w:gridCol w:w="1560"/>
        <w:gridCol w:w="1134"/>
        <w:gridCol w:w="1275"/>
      </w:tblGrid>
      <w:tr w:rsidR="006163A0">
        <w:trPr>
          <w:jc w:val="center"/>
        </w:trPr>
        <w:tc>
          <w:tcPr>
            <w:tcW w:w="656" w:type="dxa"/>
            <w:vAlign w:val="center"/>
          </w:tcPr>
          <w:p w:rsidR="006163A0" w:rsidRDefault="00FF10C2">
            <w:pPr>
              <w:spacing w:before="50" w:after="50" w:line="380" w:lineRule="exact"/>
              <w:jc w:val="center"/>
              <w:rPr>
                <w:rFonts w:ascii="宋体" w:hAnsi="宋体" w:cs="宋体"/>
                <w:kern w:val="1"/>
                <w:szCs w:val="21"/>
              </w:rPr>
            </w:pPr>
            <w:r>
              <w:rPr>
                <w:rFonts w:ascii="宋体" w:hAnsi="宋体" w:cs="宋体"/>
                <w:kern w:val="1"/>
                <w:szCs w:val="21"/>
              </w:rPr>
              <w:t>项目</w:t>
            </w:r>
          </w:p>
        </w:tc>
        <w:tc>
          <w:tcPr>
            <w:tcW w:w="1799" w:type="dxa"/>
            <w:vAlign w:val="center"/>
          </w:tcPr>
          <w:p w:rsidR="006163A0" w:rsidRDefault="00FF10C2">
            <w:pPr>
              <w:spacing w:before="50" w:after="50" w:line="380" w:lineRule="exact"/>
              <w:jc w:val="center"/>
              <w:rPr>
                <w:rFonts w:ascii="宋体" w:hAnsi="宋体" w:cs="宋体"/>
                <w:kern w:val="1"/>
                <w:szCs w:val="21"/>
              </w:rPr>
            </w:pPr>
            <w:r>
              <w:rPr>
                <w:rFonts w:ascii="宋体" w:hAnsi="宋体" w:cs="宋体"/>
                <w:kern w:val="1"/>
                <w:szCs w:val="21"/>
              </w:rPr>
              <w:t>病害</w:t>
            </w:r>
          </w:p>
        </w:tc>
        <w:tc>
          <w:tcPr>
            <w:tcW w:w="3260" w:type="dxa"/>
            <w:vAlign w:val="center"/>
          </w:tcPr>
          <w:p w:rsidR="006163A0" w:rsidRDefault="00FF10C2">
            <w:pPr>
              <w:spacing w:before="50" w:after="50" w:line="380" w:lineRule="exact"/>
              <w:jc w:val="center"/>
              <w:rPr>
                <w:rFonts w:ascii="宋体" w:hAnsi="宋体" w:cs="宋体"/>
                <w:kern w:val="1"/>
                <w:szCs w:val="21"/>
              </w:rPr>
            </w:pPr>
            <w:r>
              <w:rPr>
                <w:rFonts w:ascii="宋体" w:hAnsi="宋体" w:cs="宋体"/>
                <w:kern w:val="1"/>
                <w:szCs w:val="21"/>
              </w:rPr>
              <w:t>药剂、规格</w:t>
            </w:r>
          </w:p>
        </w:tc>
        <w:tc>
          <w:tcPr>
            <w:tcW w:w="1560" w:type="dxa"/>
            <w:vAlign w:val="center"/>
          </w:tcPr>
          <w:p w:rsidR="006163A0" w:rsidRDefault="00FF10C2">
            <w:pPr>
              <w:spacing w:before="50" w:after="50" w:line="380" w:lineRule="exact"/>
              <w:jc w:val="center"/>
              <w:rPr>
                <w:rFonts w:ascii="宋体" w:hAnsi="宋体" w:cs="宋体"/>
                <w:kern w:val="1"/>
                <w:szCs w:val="21"/>
              </w:rPr>
            </w:pPr>
            <w:r>
              <w:rPr>
                <w:rFonts w:ascii="宋体" w:hAnsi="宋体" w:cs="宋体"/>
                <w:kern w:val="1"/>
                <w:szCs w:val="21"/>
              </w:rPr>
              <w:t>用量</w:t>
            </w:r>
          </w:p>
        </w:tc>
        <w:tc>
          <w:tcPr>
            <w:tcW w:w="1134" w:type="dxa"/>
            <w:vAlign w:val="center"/>
          </w:tcPr>
          <w:p w:rsidR="006163A0" w:rsidRDefault="00FF10C2">
            <w:pPr>
              <w:spacing w:before="50" w:after="50" w:line="380" w:lineRule="exact"/>
              <w:jc w:val="center"/>
              <w:rPr>
                <w:rFonts w:ascii="宋体" w:hAnsi="宋体" w:cs="宋体"/>
                <w:kern w:val="1"/>
                <w:szCs w:val="21"/>
              </w:rPr>
            </w:pPr>
            <w:r>
              <w:rPr>
                <w:rFonts w:ascii="宋体" w:hAnsi="宋体" w:cs="宋体"/>
                <w:kern w:val="1"/>
                <w:szCs w:val="21"/>
              </w:rPr>
              <w:t>防治次数</w:t>
            </w:r>
          </w:p>
        </w:tc>
        <w:tc>
          <w:tcPr>
            <w:tcW w:w="1275" w:type="dxa"/>
            <w:vAlign w:val="center"/>
          </w:tcPr>
          <w:p w:rsidR="006163A0" w:rsidRDefault="00FF10C2">
            <w:pPr>
              <w:spacing w:before="50" w:after="50" w:line="380" w:lineRule="exact"/>
              <w:jc w:val="center"/>
              <w:rPr>
                <w:rFonts w:ascii="宋体" w:hAnsi="宋体" w:cs="宋体"/>
                <w:kern w:val="1"/>
                <w:szCs w:val="21"/>
              </w:rPr>
            </w:pPr>
            <w:r>
              <w:rPr>
                <w:rFonts w:ascii="宋体" w:hAnsi="宋体" w:cs="宋体"/>
                <w:kern w:val="1"/>
                <w:szCs w:val="21"/>
              </w:rPr>
              <w:t>安全间隔期</w:t>
            </w:r>
          </w:p>
        </w:tc>
      </w:tr>
      <w:tr w:rsidR="006163A0">
        <w:trPr>
          <w:jc w:val="center"/>
        </w:trPr>
        <w:tc>
          <w:tcPr>
            <w:tcW w:w="656" w:type="dxa"/>
            <w:vAlign w:val="center"/>
          </w:tcPr>
          <w:p w:rsidR="006163A0" w:rsidRDefault="00FF10C2"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病害</w:t>
            </w:r>
          </w:p>
        </w:tc>
        <w:tc>
          <w:tcPr>
            <w:tcW w:w="1799" w:type="dxa"/>
            <w:vAlign w:val="center"/>
          </w:tcPr>
          <w:p w:rsidR="006163A0" w:rsidRDefault="00FF10C2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根茎腐烂病</w:t>
            </w:r>
          </w:p>
        </w:tc>
        <w:tc>
          <w:tcPr>
            <w:tcW w:w="3260" w:type="dxa"/>
            <w:vAlign w:val="center"/>
          </w:tcPr>
          <w:p w:rsidR="006163A0" w:rsidRDefault="00FF10C2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72%农用链霉素</w:t>
            </w:r>
          </w:p>
          <w:p w:rsidR="006163A0" w:rsidRDefault="00FF10C2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20％龙克菌</w:t>
            </w:r>
          </w:p>
        </w:tc>
        <w:tc>
          <w:tcPr>
            <w:tcW w:w="1560" w:type="dxa"/>
            <w:vAlign w:val="center"/>
          </w:tcPr>
          <w:p w:rsidR="006163A0" w:rsidRDefault="00FF10C2">
            <w:pPr>
              <w:spacing w:line="380" w:lineRule="exact"/>
              <w:ind w:rightChars="-45" w:right="-9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  <w:r>
              <w:rPr>
                <w:rFonts w:ascii="宋体" w:hAnsi="宋体"/>
                <w:szCs w:val="21"/>
              </w:rPr>
              <w:t>00倍液喷雾</w:t>
            </w:r>
          </w:p>
          <w:p w:rsidR="006163A0" w:rsidRDefault="00FF10C2">
            <w:pPr>
              <w:spacing w:line="380" w:lineRule="exact"/>
              <w:ind w:rightChars="-45" w:right="-9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600倍液喷雾</w:t>
            </w:r>
          </w:p>
        </w:tc>
        <w:tc>
          <w:tcPr>
            <w:tcW w:w="1134" w:type="dxa"/>
            <w:vAlign w:val="center"/>
          </w:tcPr>
          <w:p w:rsidR="006163A0" w:rsidRDefault="00FF10C2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6163A0" w:rsidRDefault="00FF10C2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6163A0" w:rsidRDefault="00FF10C2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  <w:p w:rsidR="006163A0" w:rsidRDefault="00FF10C2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</w:tr>
    </w:tbl>
    <w:p w:rsidR="006163A0" w:rsidRDefault="006163A0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</w:p>
    <w:p w:rsidR="006163A0" w:rsidRDefault="006163A0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</w:p>
    <w:p w:rsidR="006163A0" w:rsidRDefault="006163A0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</w:p>
    <w:p w:rsidR="006163A0" w:rsidRDefault="006163A0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</w:p>
    <w:p w:rsidR="006163A0" w:rsidRDefault="006163A0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</w:p>
    <w:p w:rsidR="006163A0" w:rsidRDefault="006163A0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</w:p>
    <w:p w:rsidR="006163A0" w:rsidRDefault="006163A0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</w:p>
    <w:p w:rsidR="006163A0" w:rsidRDefault="006163A0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</w:p>
    <w:p w:rsidR="006163A0" w:rsidRDefault="006163A0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</w:p>
    <w:p w:rsidR="006163A0" w:rsidRDefault="00FF10C2">
      <w:pPr>
        <w:rPr>
          <w:rFonts w:ascii="黑体" w:eastAsia="黑体" w:hAnsi="黑体" w:cs="宋体-方正超大字符集"/>
          <w:sz w:val="24"/>
        </w:rPr>
      </w:pPr>
      <w:r>
        <w:rPr>
          <w:rFonts w:ascii="黑体" w:eastAsia="黑体" w:hAnsi="黑体" w:cs="宋体-方正超大字符集" w:hint="eastAsia"/>
          <w:sz w:val="24"/>
        </w:rPr>
        <w:br w:type="page"/>
      </w:r>
    </w:p>
    <w:p w:rsidR="006163A0" w:rsidRDefault="00FF10C2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  <w:r>
        <w:rPr>
          <w:rFonts w:ascii="黑体" w:eastAsia="黑体" w:hAnsi="黑体" w:cs="宋体-方正超大字符集" w:hint="eastAsia"/>
          <w:sz w:val="24"/>
        </w:rPr>
        <w:lastRenderedPageBreak/>
        <w:t>附录B</w:t>
      </w:r>
    </w:p>
    <w:p w:rsidR="006163A0" w:rsidRDefault="00FF10C2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  <w:r>
        <w:rPr>
          <w:rFonts w:ascii="黑体" w:eastAsia="黑体" w:hAnsi="黑体" w:cs="宋体-方正超大字符集" w:hint="eastAsia"/>
          <w:sz w:val="24"/>
        </w:rPr>
        <w:t>（</w:t>
      </w:r>
      <w:r>
        <w:rPr>
          <w:rFonts w:ascii="黑体" w:eastAsia="黑体" w:cs="宋体-方正超大字符集" w:hint="eastAsia"/>
          <w:sz w:val="24"/>
        </w:rPr>
        <w:t>规范性附录</w:t>
      </w:r>
      <w:r>
        <w:rPr>
          <w:rFonts w:ascii="黑体" w:eastAsia="黑体" w:hAnsi="黑体" w:cs="宋体-方正超大字符集" w:hint="eastAsia"/>
          <w:sz w:val="24"/>
        </w:rPr>
        <w:t>）</w:t>
      </w:r>
    </w:p>
    <w:p w:rsidR="006163A0" w:rsidRDefault="00FF10C2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  <w:r>
        <w:rPr>
          <w:rFonts w:ascii="黑体" w:eastAsia="黑体" w:hAnsi="黑体" w:cs="宋体-方正超大字符集" w:hint="eastAsia"/>
          <w:sz w:val="24"/>
        </w:rPr>
        <w:t>生产管理档案</w:t>
      </w:r>
    </w:p>
    <w:p w:rsidR="006163A0" w:rsidRDefault="006163A0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</w:p>
    <w:p w:rsidR="006163A0" w:rsidRDefault="00FF10C2">
      <w:pPr>
        <w:shd w:val="clear" w:color="auto" w:fill="FFFFFF"/>
        <w:snapToGrid w:val="0"/>
        <w:spacing w:after="240" w:line="400" w:lineRule="exact"/>
        <w:jc w:val="center"/>
        <w:rPr>
          <w:rFonts w:ascii="黑体" w:eastAsia="黑体" w:cs="宋体-方正超大字符集"/>
          <w:sz w:val="24"/>
        </w:rPr>
      </w:pPr>
      <w:r>
        <w:rPr>
          <w:rFonts w:ascii="黑体" w:eastAsia="黑体" w:cs="宋体-方正超大字符集" w:hint="eastAsia"/>
          <w:sz w:val="24"/>
        </w:rPr>
        <w:t>表B.1  农事活动记载表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720"/>
        <w:gridCol w:w="1980"/>
        <w:gridCol w:w="1260"/>
        <w:gridCol w:w="1453"/>
        <w:gridCol w:w="1454"/>
        <w:gridCol w:w="1344"/>
      </w:tblGrid>
      <w:tr w:rsidR="006163A0">
        <w:trPr>
          <w:trHeight w:val="466"/>
        </w:trPr>
        <w:tc>
          <w:tcPr>
            <w:tcW w:w="1440" w:type="dxa"/>
            <w:gridSpan w:val="2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丘块名称</w:t>
            </w:r>
          </w:p>
        </w:tc>
        <w:tc>
          <w:tcPr>
            <w:tcW w:w="1980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面积(</w:t>
            </w:r>
            <w:r>
              <w:rPr>
                <w:rFonts w:ascii="宋体" w:hAnsi="宋体" w:hint="eastAsia"/>
                <w:szCs w:val="21"/>
              </w:rPr>
              <w:t>㎡</w:t>
            </w:r>
            <w:r>
              <w:rPr>
                <w:rFonts w:ascii="宋体" w:hAnsi="宋体" w:cs="宋体-方正超大字符集" w:hint="eastAsia"/>
                <w:szCs w:val="21"/>
              </w:rPr>
              <w:t>)</w:t>
            </w:r>
          </w:p>
        </w:tc>
        <w:tc>
          <w:tcPr>
            <w:tcW w:w="1453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品 种</w:t>
            </w:r>
          </w:p>
        </w:tc>
        <w:tc>
          <w:tcPr>
            <w:tcW w:w="1344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</w:tr>
      <w:tr w:rsidR="006163A0">
        <w:tc>
          <w:tcPr>
            <w:tcW w:w="720" w:type="dxa"/>
            <w:vAlign w:val="center"/>
          </w:tcPr>
          <w:p w:rsidR="006163A0" w:rsidRDefault="00FF10C2">
            <w:pPr>
              <w:spacing w:line="28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序号</w:t>
            </w:r>
          </w:p>
        </w:tc>
        <w:tc>
          <w:tcPr>
            <w:tcW w:w="2700" w:type="dxa"/>
            <w:gridSpan w:val="2"/>
            <w:vAlign w:val="center"/>
          </w:tcPr>
          <w:p w:rsidR="006163A0" w:rsidRDefault="00FF10C2">
            <w:pPr>
              <w:spacing w:line="28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土壤种类、肥力、前茬作物</w:t>
            </w:r>
          </w:p>
        </w:tc>
        <w:tc>
          <w:tcPr>
            <w:tcW w:w="1260" w:type="dxa"/>
            <w:vAlign w:val="center"/>
          </w:tcPr>
          <w:p w:rsidR="006163A0" w:rsidRDefault="00FF10C2">
            <w:pPr>
              <w:spacing w:line="28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操作日期</w:t>
            </w:r>
          </w:p>
          <w:p w:rsidR="006163A0" w:rsidRDefault="00FF10C2">
            <w:pPr>
              <w:spacing w:line="28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(月、日)</w:t>
            </w:r>
          </w:p>
        </w:tc>
        <w:tc>
          <w:tcPr>
            <w:tcW w:w="1453" w:type="dxa"/>
            <w:vAlign w:val="center"/>
          </w:tcPr>
          <w:p w:rsidR="006163A0" w:rsidRDefault="00FF10C2">
            <w:pPr>
              <w:spacing w:line="28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操作内容与方法</w:t>
            </w:r>
          </w:p>
        </w:tc>
        <w:tc>
          <w:tcPr>
            <w:tcW w:w="1454" w:type="dxa"/>
            <w:vAlign w:val="center"/>
          </w:tcPr>
          <w:p w:rsidR="006163A0" w:rsidRDefault="00FF10C2">
            <w:pPr>
              <w:spacing w:line="28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完成情况及效果</w:t>
            </w:r>
          </w:p>
        </w:tc>
        <w:tc>
          <w:tcPr>
            <w:tcW w:w="1344" w:type="dxa"/>
            <w:vAlign w:val="center"/>
          </w:tcPr>
          <w:p w:rsidR="006163A0" w:rsidRDefault="00FF10C2">
            <w:pPr>
              <w:spacing w:line="28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记载人</w:t>
            </w:r>
          </w:p>
        </w:tc>
      </w:tr>
      <w:tr w:rsidR="006163A0">
        <w:tc>
          <w:tcPr>
            <w:tcW w:w="720" w:type="dxa"/>
          </w:tcPr>
          <w:p w:rsidR="006163A0" w:rsidRDefault="00FF10C2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1</w:t>
            </w:r>
          </w:p>
        </w:tc>
        <w:tc>
          <w:tcPr>
            <w:tcW w:w="2700" w:type="dxa"/>
            <w:gridSpan w:val="2"/>
          </w:tcPr>
          <w:p w:rsidR="006163A0" w:rsidRDefault="006163A0">
            <w:pPr>
              <w:tabs>
                <w:tab w:val="left" w:pos="603"/>
              </w:tabs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260" w:type="dxa"/>
          </w:tcPr>
          <w:p w:rsidR="006163A0" w:rsidRDefault="006163A0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453" w:type="dxa"/>
          </w:tcPr>
          <w:p w:rsidR="006163A0" w:rsidRDefault="006163A0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454" w:type="dxa"/>
          </w:tcPr>
          <w:p w:rsidR="006163A0" w:rsidRDefault="006163A0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344" w:type="dxa"/>
          </w:tcPr>
          <w:p w:rsidR="006163A0" w:rsidRDefault="006163A0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</w:tr>
      <w:tr w:rsidR="006163A0">
        <w:tc>
          <w:tcPr>
            <w:tcW w:w="720" w:type="dxa"/>
          </w:tcPr>
          <w:p w:rsidR="006163A0" w:rsidRDefault="00FF10C2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2</w:t>
            </w:r>
          </w:p>
        </w:tc>
        <w:tc>
          <w:tcPr>
            <w:tcW w:w="2700" w:type="dxa"/>
            <w:gridSpan w:val="2"/>
          </w:tcPr>
          <w:p w:rsidR="006163A0" w:rsidRDefault="006163A0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260" w:type="dxa"/>
          </w:tcPr>
          <w:p w:rsidR="006163A0" w:rsidRDefault="006163A0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453" w:type="dxa"/>
          </w:tcPr>
          <w:p w:rsidR="006163A0" w:rsidRDefault="006163A0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454" w:type="dxa"/>
          </w:tcPr>
          <w:p w:rsidR="006163A0" w:rsidRDefault="006163A0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344" w:type="dxa"/>
          </w:tcPr>
          <w:p w:rsidR="006163A0" w:rsidRDefault="006163A0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</w:tr>
      <w:tr w:rsidR="006163A0">
        <w:tc>
          <w:tcPr>
            <w:tcW w:w="720" w:type="dxa"/>
          </w:tcPr>
          <w:p w:rsidR="006163A0" w:rsidRDefault="00FF10C2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…</w:t>
            </w:r>
          </w:p>
        </w:tc>
        <w:tc>
          <w:tcPr>
            <w:tcW w:w="2700" w:type="dxa"/>
            <w:gridSpan w:val="2"/>
          </w:tcPr>
          <w:p w:rsidR="006163A0" w:rsidRDefault="006163A0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260" w:type="dxa"/>
          </w:tcPr>
          <w:p w:rsidR="006163A0" w:rsidRDefault="006163A0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453" w:type="dxa"/>
          </w:tcPr>
          <w:p w:rsidR="006163A0" w:rsidRDefault="006163A0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454" w:type="dxa"/>
          </w:tcPr>
          <w:p w:rsidR="006163A0" w:rsidRDefault="006163A0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344" w:type="dxa"/>
          </w:tcPr>
          <w:p w:rsidR="006163A0" w:rsidRDefault="006163A0">
            <w:pPr>
              <w:spacing w:line="44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</w:tr>
    </w:tbl>
    <w:p w:rsidR="006163A0" w:rsidRDefault="006163A0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</w:p>
    <w:p w:rsidR="006163A0" w:rsidRDefault="006163A0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</w:p>
    <w:p w:rsidR="006163A0" w:rsidRDefault="00FF10C2">
      <w:pPr>
        <w:shd w:val="clear" w:color="auto" w:fill="FFFFFF"/>
        <w:snapToGrid w:val="0"/>
        <w:spacing w:after="240" w:line="400" w:lineRule="exact"/>
        <w:jc w:val="center"/>
        <w:rPr>
          <w:rFonts w:ascii="黑体" w:eastAsia="黑体" w:cs="宋体-方正超大字符集"/>
          <w:sz w:val="24"/>
        </w:rPr>
      </w:pPr>
      <w:r>
        <w:rPr>
          <w:rFonts w:ascii="黑体" w:eastAsia="黑体" w:cs="宋体-方正超大字符集" w:hint="eastAsia"/>
          <w:sz w:val="24"/>
        </w:rPr>
        <w:t>表B.2 投入品使用记载表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1"/>
        <w:gridCol w:w="850"/>
        <w:gridCol w:w="851"/>
        <w:gridCol w:w="1417"/>
        <w:gridCol w:w="992"/>
        <w:gridCol w:w="993"/>
        <w:gridCol w:w="992"/>
        <w:gridCol w:w="1276"/>
      </w:tblGrid>
      <w:tr w:rsidR="006163A0">
        <w:tc>
          <w:tcPr>
            <w:tcW w:w="1560" w:type="dxa"/>
            <w:gridSpan w:val="2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丘块名称</w:t>
            </w:r>
          </w:p>
        </w:tc>
        <w:tc>
          <w:tcPr>
            <w:tcW w:w="850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面积(</w:t>
            </w:r>
            <w:r>
              <w:rPr>
                <w:rFonts w:ascii="宋体" w:hAnsi="宋体" w:hint="eastAsia"/>
                <w:szCs w:val="21"/>
              </w:rPr>
              <w:t>㎡</w:t>
            </w:r>
            <w:r>
              <w:rPr>
                <w:rFonts w:ascii="宋体" w:hAnsi="宋体" w:cs="宋体-方正超大字符集" w:hint="eastAsia"/>
                <w:szCs w:val="21"/>
              </w:rPr>
              <w:t>)</w:t>
            </w:r>
          </w:p>
        </w:tc>
        <w:tc>
          <w:tcPr>
            <w:tcW w:w="992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品种</w:t>
            </w:r>
          </w:p>
        </w:tc>
        <w:tc>
          <w:tcPr>
            <w:tcW w:w="2268" w:type="dxa"/>
            <w:gridSpan w:val="2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</w:tr>
      <w:tr w:rsidR="006163A0">
        <w:tc>
          <w:tcPr>
            <w:tcW w:w="709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序号</w:t>
            </w:r>
          </w:p>
        </w:tc>
        <w:tc>
          <w:tcPr>
            <w:tcW w:w="851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品名</w:t>
            </w:r>
          </w:p>
        </w:tc>
        <w:tc>
          <w:tcPr>
            <w:tcW w:w="850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种类</w:t>
            </w:r>
          </w:p>
        </w:tc>
        <w:tc>
          <w:tcPr>
            <w:tcW w:w="851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来源</w:t>
            </w:r>
          </w:p>
        </w:tc>
        <w:tc>
          <w:tcPr>
            <w:tcW w:w="1417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使用日期</w:t>
            </w:r>
          </w:p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（月、日）</w:t>
            </w:r>
          </w:p>
        </w:tc>
        <w:tc>
          <w:tcPr>
            <w:tcW w:w="992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用量</w:t>
            </w:r>
          </w:p>
        </w:tc>
        <w:tc>
          <w:tcPr>
            <w:tcW w:w="993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方法</w:t>
            </w:r>
          </w:p>
        </w:tc>
        <w:tc>
          <w:tcPr>
            <w:tcW w:w="992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效果</w:t>
            </w:r>
          </w:p>
        </w:tc>
        <w:tc>
          <w:tcPr>
            <w:tcW w:w="1276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记载人</w:t>
            </w:r>
          </w:p>
        </w:tc>
      </w:tr>
      <w:tr w:rsidR="006163A0">
        <w:tc>
          <w:tcPr>
            <w:tcW w:w="709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</w:tr>
      <w:tr w:rsidR="006163A0">
        <w:tc>
          <w:tcPr>
            <w:tcW w:w="709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</w:tr>
      <w:tr w:rsidR="006163A0">
        <w:tc>
          <w:tcPr>
            <w:tcW w:w="709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…</w:t>
            </w:r>
          </w:p>
        </w:tc>
        <w:tc>
          <w:tcPr>
            <w:tcW w:w="851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</w:tr>
    </w:tbl>
    <w:p w:rsidR="006163A0" w:rsidRDefault="006163A0">
      <w:pPr>
        <w:jc w:val="center"/>
        <w:rPr>
          <w:rFonts w:ascii="宋体-方正超大字符集" w:eastAsia="宋体-方正超大字符集" w:hAnsi="宋体-方正超大字符集" w:cs="宋体-方正超大字符集"/>
          <w:sz w:val="24"/>
        </w:rPr>
      </w:pPr>
    </w:p>
    <w:p w:rsidR="006163A0" w:rsidRDefault="006163A0">
      <w:pPr>
        <w:spacing w:line="400" w:lineRule="exact"/>
        <w:jc w:val="center"/>
        <w:rPr>
          <w:rFonts w:ascii="黑体" w:eastAsia="黑体" w:hAnsi="黑体" w:cs="宋体-方正超大字符集"/>
          <w:sz w:val="24"/>
        </w:rPr>
      </w:pPr>
    </w:p>
    <w:p w:rsidR="006163A0" w:rsidRDefault="00FF10C2">
      <w:pPr>
        <w:spacing w:after="240" w:line="400" w:lineRule="exact"/>
        <w:ind w:firstLineChars="1450" w:firstLine="3480"/>
        <w:rPr>
          <w:rFonts w:ascii="黑体" w:eastAsia="黑体" w:hAnsi="黑体" w:cs="宋体-方正超大字符集"/>
          <w:sz w:val="24"/>
        </w:rPr>
      </w:pPr>
      <w:r>
        <w:rPr>
          <w:rFonts w:ascii="黑体" w:eastAsia="黑体" w:hAnsi="黑体" w:cs="宋体-方正超大字符集" w:hint="eastAsia"/>
          <w:sz w:val="24"/>
        </w:rPr>
        <w:t>表B.3 物候期记载表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36"/>
        <w:gridCol w:w="1744"/>
        <w:gridCol w:w="1744"/>
        <w:gridCol w:w="1964"/>
        <w:gridCol w:w="1843"/>
      </w:tblGrid>
      <w:tr w:rsidR="006163A0">
        <w:trPr>
          <w:trHeight w:val="437"/>
        </w:trPr>
        <w:tc>
          <w:tcPr>
            <w:tcW w:w="3380" w:type="dxa"/>
            <w:gridSpan w:val="2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面积(</w:t>
            </w:r>
            <w:r>
              <w:rPr>
                <w:rFonts w:hint="eastAsia"/>
                <w:szCs w:val="21"/>
              </w:rPr>
              <w:t>66</w:t>
            </w:r>
            <w:r>
              <w:rPr>
                <w:rFonts w:ascii="宋体" w:hAnsi="宋体" w:hint="eastAsia"/>
                <w:szCs w:val="21"/>
              </w:rPr>
              <w:t>7㎡</w:t>
            </w:r>
            <w:r>
              <w:rPr>
                <w:rFonts w:ascii="宋体" w:hAnsi="宋体" w:cs="宋体-方正超大字符集" w:hint="eastAsia"/>
                <w:szCs w:val="21"/>
              </w:rPr>
              <w:t>)</w:t>
            </w:r>
          </w:p>
        </w:tc>
        <w:tc>
          <w:tcPr>
            <w:tcW w:w="1744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964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品种</w:t>
            </w:r>
          </w:p>
        </w:tc>
        <w:tc>
          <w:tcPr>
            <w:tcW w:w="1843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</w:tr>
      <w:tr w:rsidR="006163A0">
        <w:tc>
          <w:tcPr>
            <w:tcW w:w="1636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播种期</w:t>
            </w:r>
          </w:p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(月、日)</w:t>
            </w:r>
          </w:p>
        </w:tc>
        <w:tc>
          <w:tcPr>
            <w:tcW w:w="1744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移栽期</w:t>
            </w:r>
          </w:p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(月、日)</w:t>
            </w:r>
          </w:p>
        </w:tc>
        <w:tc>
          <w:tcPr>
            <w:tcW w:w="1744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始收期</w:t>
            </w:r>
          </w:p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(月、日)</w:t>
            </w:r>
          </w:p>
        </w:tc>
        <w:tc>
          <w:tcPr>
            <w:tcW w:w="1964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终收期</w:t>
            </w:r>
          </w:p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(月、日)</w:t>
            </w:r>
          </w:p>
        </w:tc>
        <w:tc>
          <w:tcPr>
            <w:tcW w:w="1843" w:type="dxa"/>
            <w:vAlign w:val="center"/>
          </w:tcPr>
          <w:p w:rsidR="006163A0" w:rsidRDefault="00FF10C2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  <w:r>
              <w:rPr>
                <w:rFonts w:ascii="宋体" w:hAnsi="宋体" w:cs="宋体-方正超大字符集" w:hint="eastAsia"/>
                <w:szCs w:val="21"/>
              </w:rPr>
              <w:t>记载人</w:t>
            </w:r>
          </w:p>
        </w:tc>
      </w:tr>
      <w:tr w:rsidR="006163A0">
        <w:trPr>
          <w:trHeight w:val="592"/>
        </w:trPr>
        <w:tc>
          <w:tcPr>
            <w:tcW w:w="1636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744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744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964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6163A0" w:rsidRDefault="006163A0">
            <w:pPr>
              <w:spacing w:line="400" w:lineRule="exact"/>
              <w:jc w:val="center"/>
              <w:rPr>
                <w:rFonts w:ascii="宋体" w:hAnsi="宋体" w:cs="宋体-方正超大字符集"/>
                <w:szCs w:val="21"/>
              </w:rPr>
            </w:pPr>
          </w:p>
        </w:tc>
      </w:tr>
    </w:tbl>
    <w:p w:rsidR="006163A0" w:rsidRDefault="006163A0">
      <w:pPr>
        <w:spacing w:line="360" w:lineRule="exact"/>
        <w:ind w:firstLineChars="200" w:firstLine="420"/>
        <w:rPr>
          <w:rFonts w:ascii="宋体" w:hAnsi="宋体"/>
          <w:szCs w:val="21"/>
        </w:rPr>
      </w:pPr>
    </w:p>
    <w:p w:rsidR="006163A0" w:rsidRDefault="006163A0"/>
    <w:p w:rsidR="006163A0" w:rsidRDefault="006163A0"/>
    <w:p w:rsidR="006163A0" w:rsidRDefault="006163A0">
      <w:pPr>
        <w:jc w:val="right"/>
      </w:pPr>
    </w:p>
    <w:p w:rsidR="006163A0" w:rsidRDefault="006163A0">
      <w:pPr>
        <w:shd w:val="clear" w:color="auto" w:fill="FFFFFF"/>
        <w:tabs>
          <w:tab w:val="left" w:pos="3240"/>
        </w:tabs>
        <w:snapToGrid w:val="0"/>
        <w:spacing w:line="400" w:lineRule="exact"/>
        <w:ind w:firstLineChars="1450" w:firstLine="3045"/>
        <w:rPr>
          <w:szCs w:val="21"/>
          <w:u w:val="single"/>
        </w:rPr>
      </w:pPr>
    </w:p>
    <w:sectPr w:rsidR="006163A0" w:rsidSect="006163A0">
      <w:footerReference w:type="default" r:id="rId16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790" w:rsidRDefault="00F46790" w:rsidP="006163A0">
      <w:r>
        <w:separator/>
      </w:r>
    </w:p>
  </w:endnote>
  <w:endnote w:type="continuationSeparator" w:id="1">
    <w:p w:rsidR="00F46790" w:rsidRDefault="00F46790" w:rsidP="00616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3A0" w:rsidRDefault="00226513">
    <w:pPr>
      <w:pStyle w:val="af8"/>
      <w:rPr>
        <w:rStyle w:val="a7"/>
      </w:rPr>
    </w:pPr>
    <w:r>
      <w:fldChar w:fldCharType="begin"/>
    </w:r>
    <w:r w:rsidR="00FF10C2">
      <w:rPr>
        <w:rStyle w:val="a7"/>
      </w:rPr>
      <w:instrText xml:space="preserve">PAGE  </w:instrTex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3A0" w:rsidRDefault="00226513">
    <w:pPr>
      <w:pStyle w:val="af7"/>
      <w:rPr>
        <w:rStyle w:val="a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left:0;text-align:left;margin-left:416pt;margin-top:0;width:2in;height:2in;z-index:251659264;mso-wrap-style:none;mso-position-horizontal:outside;mso-position-horizontal-relative:margin" filled="f" stroked="f">
          <v:textbox style="mso-fit-shape-to-text:t" inset="0,0,0,0">
            <w:txbxContent>
              <w:p w:rsidR="006163A0" w:rsidRDefault="00226513">
                <w:pPr>
                  <w:pStyle w:val="af7"/>
                </w:pPr>
                <w:r>
                  <w:fldChar w:fldCharType="begin"/>
                </w:r>
                <w:r w:rsidR="00FF10C2">
                  <w:rPr>
                    <w:rStyle w:val="a7"/>
                  </w:rPr>
                  <w:instrText xml:space="preserve">PAGE  </w:instrText>
                </w:r>
                <w:r>
                  <w:fldChar w:fldCharType="separate"/>
                </w:r>
                <w:r w:rsidR="00FF10C2">
                  <w:rPr>
                    <w:rStyle w:val="a7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3A0" w:rsidRDefault="00226513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position:absolute;margin-left:416pt;margin-top:0;width:2in;height:2in;z-index:251660288;mso-wrap-style:none;mso-position-horizontal:outside;mso-position-horizontal-relative:margin" filled="f" stroked="f">
          <v:textbox style="mso-fit-shape-to-text:t" inset="0,0,0,0">
            <w:txbxContent>
              <w:p w:rsidR="006163A0" w:rsidRDefault="00226513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FF10C2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F1826">
                  <w:rPr>
                    <w:noProof/>
                  </w:rPr>
                  <w:t>I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3A0" w:rsidRDefault="00226513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80" type="#_x0000_t202" style="position:absolute;margin-left:416pt;margin-top:0;width:2in;height:2in;z-index:251666432;mso-wrap-style:none;mso-position-horizontal:outside;mso-position-horizontal-relative:margin" filled="f" stroked="f">
          <v:textbox style="mso-fit-shape-to-text:t" inset="0,0,0,0">
            <w:txbxContent>
              <w:p w:rsidR="006163A0" w:rsidRDefault="00226513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FF10C2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F1826">
                  <w:rPr>
                    <w:noProof/>
                  </w:rPr>
                  <w:t>II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3A0" w:rsidRDefault="00226513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9" type="#_x0000_t202" style="position:absolute;margin-left:416pt;margin-top:0;width:2in;height:2in;z-index:251662336;mso-wrap-style:none;mso-position-horizontal:outside;mso-position-horizontal-relative:margin" filled="f" stroked="f">
          <v:textbox style="mso-fit-shape-to-text:t" inset="0,0,0,0">
            <w:txbxContent>
              <w:p w:rsidR="006163A0" w:rsidRDefault="00226513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FF10C2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F1826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790" w:rsidRDefault="00F46790" w:rsidP="006163A0">
      <w:r>
        <w:separator/>
      </w:r>
    </w:p>
  </w:footnote>
  <w:footnote w:type="continuationSeparator" w:id="1">
    <w:p w:rsidR="00F46790" w:rsidRDefault="00F46790" w:rsidP="006163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3A0" w:rsidRDefault="00FF10C2">
    <w:pPr>
      <w:pStyle w:val="af6"/>
    </w:pPr>
    <w:r>
      <w:t>Q/KAHX 020—2001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3A0" w:rsidRDefault="00FF10C2">
    <w:pPr>
      <w:pStyle w:val="af5"/>
    </w:pPr>
    <w:r>
      <w:t>DB43/T0000-20</w:t>
    </w:r>
    <w:r>
      <w:rPr>
        <w:rFonts w:hint="eastAsia"/>
      </w:rPr>
      <w:t>20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3A0" w:rsidRDefault="00FF10C2">
    <w:pPr>
      <w:rPr>
        <w:rFonts w:ascii="黑体" w:eastAsia="黑体"/>
      </w:rPr>
    </w:pPr>
    <w:r>
      <w:rPr>
        <w:rFonts w:ascii="黑体" w:eastAsia="黑体" w:hint="eastAsia"/>
      </w:rPr>
      <w:t>ICS 65.020.20</w:t>
    </w:r>
  </w:p>
  <w:p w:rsidR="006163A0" w:rsidRDefault="00FF10C2">
    <w:r>
      <w:rPr>
        <w:rFonts w:ascii="黑体" w:eastAsia="黑体" w:hint="eastAsia"/>
        <w:color w:val="FF0000"/>
      </w:rPr>
      <w:t>B 31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A2025"/>
    <w:multiLevelType w:val="multilevel"/>
    <w:tmpl w:val="6CEA2025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568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 fillcolor="white">
      <v:fill color="white"/>
    </o: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021EB"/>
    <w:rsid w:val="00006626"/>
    <w:rsid w:val="00056472"/>
    <w:rsid w:val="0006107C"/>
    <w:rsid w:val="00082572"/>
    <w:rsid w:val="0008613E"/>
    <w:rsid w:val="00087C01"/>
    <w:rsid w:val="00097AE1"/>
    <w:rsid w:val="000A0EA1"/>
    <w:rsid w:val="000B40C8"/>
    <w:rsid w:val="000C7E8C"/>
    <w:rsid w:val="000E264F"/>
    <w:rsid w:val="001112C0"/>
    <w:rsid w:val="00121941"/>
    <w:rsid w:val="001408A5"/>
    <w:rsid w:val="00172381"/>
    <w:rsid w:val="00181886"/>
    <w:rsid w:val="001863B6"/>
    <w:rsid w:val="001A1A81"/>
    <w:rsid w:val="001D0D6F"/>
    <w:rsid w:val="001F1A66"/>
    <w:rsid w:val="001F41F5"/>
    <w:rsid w:val="00223419"/>
    <w:rsid w:val="00224785"/>
    <w:rsid w:val="00226513"/>
    <w:rsid w:val="002554B1"/>
    <w:rsid w:val="00272C3F"/>
    <w:rsid w:val="002855E3"/>
    <w:rsid w:val="00286898"/>
    <w:rsid w:val="002869FF"/>
    <w:rsid w:val="002924C3"/>
    <w:rsid w:val="00294D70"/>
    <w:rsid w:val="002A35CC"/>
    <w:rsid w:val="002D5FEE"/>
    <w:rsid w:val="002E2285"/>
    <w:rsid w:val="002E5951"/>
    <w:rsid w:val="002F3819"/>
    <w:rsid w:val="00342B03"/>
    <w:rsid w:val="00351FDD"/>
    <w:rsid w:val="003720F0"/>
    <w:rsid w:val="0037767A"/>
    <w:rsid w:val="0038632C"/>
    <w:rsid w:val="0039732F"/>
    <w:rsid w:val="003B117D"/>
    <w:rsid w:val="003D0A92"/>
    <w:rsid w:val="003E151F"/>
    <w:rsid w:val="004105C6"/>
    <w:rsid w:val="00410660"/>
    <w:rsid w:val="00425FBD"/>
    <w:rsid w:val="00446514"/>
    <w:rsid w:val="004500E8"/>
    <w:rsid w:val="00477090"/>
    <w:rsid w:val="00496646"/>
    <w:rsid w:val="004A462A"/>
    <w:rsid w:val="004D7682"/>
    <w:rsid w:val="004E780C"/>
    <w:rsid w:val="004F4446"/>
    <w:rsid w:val="00513A31"/>
    <w:rsid w:val="00520A23"/>
    <w:rsid w:val="0053060C"/>
    <w:rsid w:val="0053253C"/>
    <w:rsid w:val="00541792"/>
    <w:rsid w:val="00556480"/>
    <w:rsid w:val="00590BDF"/>
    <w:rsid w:val="005922EE"/>
    <w:rsid w:val="00594411"/>
    <w:rsid w:val="005E6A4D"/>
    <w:rsid w:val="00606FC0"/>
    <w:rsid w:val="006163A0"/>
    <w:rsid w:val="00652549"/>
    <w:rsid w:val="0068776B"/>
    <w:rsid w:val="006924DE"/>
    <w:rsid w:val="006945FA"/>
    <w:rsid w:val="006A2AF3"/>
    <w:rsid w:val="006A3D52"/>
    <w:rsid w:val="006B75E0"/>
    <w:rsid w:val="006C36A5"/>
    <w:rsid w:val="006E53BF"/>
    <w:rsid w:val="006E72F7"/>
    <w:rsid w:val="006E741A"/>
    <w:rsid w:val="006F1A72"/>
    <w:rsid w:val="006F4ADE"/>
    <w:rsid w:val="00720E7A"/>
    <w:rsid w:val="00730496"/>
    <w:rsid w:val="007502D0"/>
    <w:rsid w:val="00781449"/>
    <w:rsid w:val="00792E47"/>
    <w:rsid w:val="007B1DAC"/>
    <w:rsid w:val="007B7D84"/>
    <w:rsid w:val="007C4519"/>
    <w:rsid w:val="008016FB"/>
    <w:rsid w:val="008079D2"/>
    <w:rsid w:val="00834D32"/>
    <w:rsid w:val="00880774"/>
    <w:rsid w:val="008824B7"/>
    <w:rsid w:val="008A2F93"/>
    <w:rsid w:val="008B19C3"/>
    <w:rsid w:val="008D24AD"/>
    <w:rsid w:val="008E1C7A"/>
    <w:rsid w:val="008E5789"/>
    <w:rsid w:val="008F43DA"/>
    <w:rsid w:val="009141DC"/>
    <w:rsid w:val="0091718B"/>
    <w:rsid w:val="009210C5"/>
    <w:rsid w:val="00971587"/>
    <w:rsid w:val="009762B5"/>
    <w:rsid w:val="009B7A37"/>
    <w:rsid w:val="009C152B"/>
    <w:rsid w:val="009D0223"/>
    <w:rsid w:val="00A00778"/>
    <w:rsid w:val="00A075F7"/>
    <w:rsid w:val="00A34901"/>
    <w:rsid w:val="00A37530"/>
    <w:rsid w:val="00A43EA8"/>
    <w:rsid w:val="00A81AFC"/>
    <w:rsid w:val="00A85D2B"/>
    <w:rsid w:val="00A85EBE"/>
    <w:rsid w:val="00AD5328"/>
    <w:rsid w:val="00AD6313"/>
    <w:rsid w:val="00B16104"/>
    <w:rsid w:val="00B161ED"/>
    <w:rsid w:val="00B2650F"/>
    <w:rsid w:val="00B64003"/>
    <w:rsid w:val="00B65FE3"/>
    <w:rsid w:val="00B81FF5"/>
    <w:rsid w:val="00BB0311"/>
    <w:rsid w:val="00BB5120"/>
    <w:rsid w:val="00BC00E8"/>
    <w:rsid w:val="00BF155B"/>
    <w:rsid w:val="00BF1826"/>
    <w:rsid w:val="00BF2DDA"/>
    <w:rsid w:val="00C04591"/>
    <w:rsid w:val="00C16295"/>
    <w:rsid w:val="00C20F2B"/>
    <w:rsid w:val="00C241CC"/>
    <w:rsid w:val="00C31545"/>
    <w:rsid w:val="00C35942"/>
    <w:rsid w:val="00C42C63"/>
    <w:rsid w:val="00C62EDC"/>
    <w:rsid w:val="00C741FA"/>
    <w:rsid w:val="00C8286F"/>
    <w:rsid w:val="00CB0D2B"/>
    <w:rsid w:val="00CD159A"/>
    <w:rsid w:val="00CD66C1"/>
    <w:rsid w:val="00CF1ACA"/>
    <w:rsid w:val="00CF3B7A"/>
    <w:rsid w:val="00D021EB"/>
    <w:rsid w:val="00D1049A"/>
    <w:rsid w:val="00D163CF"/>
    <w:rsid w:val="00D30E4D"/>
    <w:rsid w:val="00D3256D"/>
    <w:rsid w:val="00D34824"/>
    <w:rsid w:val="00D51E48"/>
    <w:rsid w:val="00D622F5"/>
    <w:rsid w:val="00D75FB1"/>
    <w:rsid w:val="00D76752"/>
    <w:rsid w:val="00D86A49"/>
    <w:rsid w:val="00DA472A"/>
    <w:rsid w:val="00DA6FE4"/>
    <w:rsid w:val="00DB1691"/>
    <w:rsid w:val="00DB7A2B"/>
    <w:rsid w:val="00DD0195"/>
    <w:rsid w:val="00DE3316"/>
    <w:rsid w:val="00E47680"/>
    <w:rsid w:val="00E567EB"/>
    <w:rsid w:val="00E75525"/>
    <w:rsid w:val="00E820FC"/>
    <w:rsid w:val="00E87861"/>
    <w:rsid w:val="00EA7C74"/>
    <w:rsid w:val="00EE7E09"/>
    <w:rsid w:val="00EF5FAF"/>
    <w:rsid w:val="00F17123"/>
    <w:rsid w:val="00F2237C"/>
    <w:rsid w:val="00F251F2"/>
    <w:rsid w:val="00F46790"/>
    <w:rsid w:val="00F536B2"/>
    <w:rsid w:val="00F6680E"/>
    <w:rsid w:val="00F739DD"/>
    <w:rsid w:val="00F915FB"/>
    <w:rsid w:val="00F91962"/>
    <w:rsid w:val="00F91C0B"/>
    <w:rsid w:val="00FA413D"/>
    <w:rsid w:val="00FC092B"/>
    <w:rsid w:val="00FD4377"/>
    <w:rsid w:val="00FF10C2"/>
    <w:rsid w:val="00FF6259"/>
    <w:rsid w:val="0E8D6781"/>
    <w:rsid w:val="14785415"/>
    <w:rsid w:val="1DA24585"/>
    <w:rsid w:val="1E8C28ED"/>
    <w:rsid w:val="34392084"/>
    <w:rsid w:val="35D27EC5"/>
    <w:rsid w:val="38EA21B7"/>
    <w:rsid w:val="3C5D6F80"/>
    <w:rsid w:val="42F83BAB"/>
    <w:rsid w:val="486731E2"/>
    <w:rsid w:val="5BE04959"/>
    <w:rsid w:val="5D8A517D"/>
    <w:rsid w:val="61AF1B44"/>
    <w:rsid w:val="6CA02B6A"/>
    <w:rsid w:val="6D98216E"/>
    <w:rsid w:val="7010042D"/>
    <w:rsid w:val="7B8B3A3B"/>
    <w:rsid w:val="7CED1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63A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toc 3"/>
    <w:basedOn w:val="2"/>
    <w:next w:val="a0"/>
    <w:rsid w:val="006163A0"/>
  </w:style>
  <w:style w:type="paragraph" w:styleId="2">
    <w:name w:val="toc 2"/>
    <w:basedOn w:val="1"/>
    <w:next w:val="a0"/>
    <w:rsid w:val="006163A0"/>
  </w:style>
  <w:style w:type="paragraph" w:styleId="1">
    <w:name w:val="toc 1"/>
    <w:next w:val="a0"/>
    <w:rsid w:val="006163A0"/>
    <w:pPr>
      <w:jc w:val="both"/>
    </w:pPr>
    <w:rPr>
      <w:rFonts w:ascii="宋体" w:hAnsi="宋体"/>
      <w:color w:val="000000"/>
      <w:sz w:val="21"/>
    </w:rPr>
  </w:style>
  <w:style w:type="paragraph" w:styleId="a4">
    <w:name w:val="footer"/>
    <w:basedOn w:val="a0"/>
    <w:link w:val="Char"/>
    <w:uiPriority w:val="99"/>
    <w:unhideWhenUsed/>
    <w:rsid w:val="006163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0"/>
    <w:link w:val="Char0"/>
    <w:uiPriority w:val="99"/>
    <w:unhideWhenUsed/>
    <w:qFormat/>
    <w:rsid w:val="006163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4"/>
    <w:basedOn w:val="3"/>
    <w:next w:val="a0"/>
    <w:rsid w:val="006163A0"/>
    <w:pPr>
      <w:tabs>
        <w:tab w:val="right" w:leader="dot" w:pos="9345"/>
      </w:tabs>
      <w:spacing w:line="560" w:lineRule="exact"/>
    </w:pPr>
    <w:rPr>
      <w:szCs w:val="21"/>
    </w:rPr>
  </w:style>
  <w:style w:type="paragraph" w:styleId="a6">
    <w:name w:val="Normal (Web)"/>
    <w:basedOn w:val="a0"/>
    <w:qFormat/>
    <w:rsid w:val="006163A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7">
    <w:name w:val="page number"/>
    <w:qFormat/>
    <w:rsid w:val="006163A0"/>
    <w:rPr>
      <w:rFonts w:ascii="Times New Roman" w:eastAsia="宋体" w:hAnsi="Times New Roman"/>
      <w:sz w:val="18"/>
    </w:rPr>
  </w:style>
  <w:style w:type="paragraph" w:styleId="a8">
    <w:name w:val="List Paragraph"/>
    <w:basedOn w:val="a0"/>
    <w:uiPriority w:val="34"/>
    <w:qFormat/>
    <w:rsid w:val="006163A0"/>
    <w:pPr>
      <w:ind w:firstLineChars="200" w:firstLine="420"/>
    </w:pPr>
  </w:style>
  <w:style w:type="character" w:customStyle="1" w:styleId="Char0">
    <w:name w:val="页眉 Char"/>
    <w:basedOn w:val="a1"/>
    <w:link w:val="a5"/>
    <w:uiPriority w:val="99"/>
    <w:rsid w:val="006163A0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rsid w:val="006163A0"/>
    <w:rPr>
      <w:sz w:val="18"/>
      <w:szCs w:val="18"/>
    </w:rPr>
  </w:style>
  <w:style w:type="paragraph" w:styleId="a9">
    <w:name w:val="No Spacing"/>
    <w:link w:val="Char1"/>
    <w:uiPriority w:val="1"/>
    <w:qFormat/>
    <w:rsid w:val="006163A0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1">
    <w:name w:val="无间隔 Char"/>
    <w:basedOn w:val="a1"/>
    <w:link w:val="a9"/>
    <w:uiPriority w:val="1"/>
    <w:rsid w:val="006163A0"/>
    <w:rPr>
      <w:rFonts w:asciiTheme="minorHAnsi" w:eastAsiaTheme="minorEastAsia" w:hAnsiTheme="minorHAnsi" w:cstheme="minorBidi"/>
      <w:sz w:val="22"/>
      <w:szCs w:val="22"/>
    </w:rPr>
  </w:style>
  <w:style w:type="paragraph" w:customStyle="1" w:styleId="aa">
    <w:name w:val="封面正文"/>
    <w:rsid w:val="006163A0"/>
    <w:pPr>
      <w:jc w:val="both"/>
    </w:pPr>
  </w:style>
  <w:style w:type="paragraph" w:customStyle="1" w:styleId="ab">
    <w:name w:val="目次、标准名称标题"/>
    <w:basedOn w:val="a"/>
    <w:next w:val="ac"/>
    <w:rsid w:val="006163A0"/>
    <w:pPr>
      <w:numPr>
        <w:numId w:val="0"/>
      </w:numPr>
      <w:spacing w:line="460" w:lineRule="exact"/>
    </w:pPr>
  </w:style>
  <w:style w:type="paragraph" w:customStyle="1" w:styleId="a">
    <w:name w:val="前言、引言标题"/>
    <w:next w:val="a0"/>
    <w:rsid w:val="006163A0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c">
    <w:name w:val="段"/>
    <w:rsid w:val="006163A0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d">
    <w:name w:val="其他发布部门"/>
    <w:basedOn w:val="ae"/>
    <w:qFormat/>
    <w:rsid w:val="006163A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e">
    <w:name w:val="发布部门"/>
    <w:next w:val="ac"/>
    <w:qFormat/>
    <w:rsid w:val="006163A0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character" w:customStyle="1" w:styleId="af">
    <w:name w:val="发布"/>
    <w:qFormat/>
    <w:rsid w:val="006163A0"/>
    <w:rPr>
      <w:rFonts w:ascii="黑体" w:eastAsia="黑体"/>
      <w:spacing w:val="22"/>
      <w:w w:val="100"/>
      <w:position w:val="3"/>
      <w:sz w:val="28"/>
    </w:rPr>
  </w:style>
  <w:style w:type="paragraph" w:customStyle="1" w:styleId="af0">
    <w:name w:val="实施日期"/>
    <w:basedOn w:val="af1"/>
    <w:qFormat/>
    <w:rsid w:val="006163A0"/>
    <w:pPr>
      <w:framePr w:hSpace="0" w:wrap="around" w:xAlign="right"/>
      <w:jc w:val="right"/>
    </w:pPr>
  </w:style>
  <w:style w:type="paragraph" w:customStyle="1" w:styleId="af1">
    <w:name w:val="发布日期"/>
    <w:qFormat/>
    <w:rsid w:val="006163A0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af2">
    <w:name w:val="封面标准文稿编辑信息"/>
    <w:rsid w:val="006163A0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3">
    <w:name w:val="标准标志"/>
    <w:next w:val="a0"/>
    <w:qFormat/>
    <w:rsid w:val="006163A0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4">
    <w:name w:val="其他标准称谓"/>
    <w:qFormat/>
    <w:rsid w:val="006163A0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5">
    <w:name w:val="标准书眉_奇数页"/>
    <w:next w:val="a0"/>
    <w:qFormat/>
    <w:rsid w:val="006163A0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f6">
    <w:name w:val="标准书眉_偶数页"/>
    <w:basedOn w:val="af5"/>
    <w:next w:val="a0"/>
    <w:qFormat/>
    <w:rsid w:val="006163A0"/>
    <w:pPr>
      <w:jc w:val="left"/>
    </w:pPr>
  </w:style>
  <w:style w:type="paragraph" w:customStyle="1" w:styleId="af7">
    <w:name w:val="标准书脚_奇数页"/>
    <w:qFormat/>
    <w:rsid w:val="006163A0"/>
    <w:pPr>
      <w:spacing w:before="120"/>
      <w:jc w:val="right"/>
    </w:pPr>
    <w:rPr>
      <w:sz w:val="18"/>
    </w:rPr>
  </w:style>
  <w:style w:type="paragraph" w:customStyle="1" w:styleId="af8">
    <w:name w:val="标准书脚_偶数页"/>
    <w:qFormat/>
    <w:rsid w:val="006163A0"/>
    <w:pPr>
      <w:spacing w:before="12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3074"/>
    <customShpInfo spid="_x0000_s3075"/>
    <customShpInfo spid="_x0000_s3080"/>
    <customShpInfo spid="_x0000_s307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</customShpExts>
</s:customData>
</file>

<file path=customXml/itemProps1.xml><?xml version="1.0" encoding="utf-8"?>
<ds:datastoreItem xmlns:ds="http://schemas.openxmlformats.org/officeDocument/2006/customXml" ds:itemID="{4CA8AC5C-0D64-4019-8CAA-AF4A897AEA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136</cp:revision>
  <cp:lastPrinted>2020-09-10T03:14:00Z</cp:lastPrinted>
  <dcterms:created xsi:type="dcterms:W3CDTF">2019-12-10T03:01:00Z</dcterms:created>
  <dcterms:modified xsi:type="dcterms:W3CDTF">2020-09-16T09:03:00Z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