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sz w:val="44"/>
          <w:szCs w:val="44"/>
        </w:rPr>
      </w:pPr>
      <w:r>
        <w:rPr>
          <w:rFonts w:hint="eastAsia" w:ascii="方正小标宋_GBK" w:hAnsi="黑体" w:eastAsia="方正小标宋_GBK" w:cs="Times New Roman"/>
          <w:color w:val="000000"/>
          <w:sz w:val="44"/>
          <w:szCs w:val="44"/>
        </w:rPr>
        <w:t>部分不合格项目的小知识</w:t>
      </w:r>
    </w:p>
    <w:p>
      <w:pPr>
        <w:adjustRightInd w:val="0"/>
        <w:snapToGrid w:val="0"/>
        <w:spacing w:line="580" w:lineRule="exact"/>
        <w:textAlignment w:val="baseline"/>
        <w:rPr>
          <w:rFonts w:ascii="仿宋_GB2312" w:hAnsi="宋体" w:eastAsia="仿宋_GB2312" w:cs="黑体"/>
          <w:kern w:val="0"/>
          <w:sz w:val="32"/>
          <w:szCs w:val="32"/>
        </w:rPr>
      </w:pPr>
    </w:p>
    <w:p>
      <w:pPr>
        <w:pStyle w:val="22"/>
        <w:numPr>
          <w:ilvl w:val="0"/>
          <w:numId w:val="0"/>
        </w:numPr>
        <w:spacing w:line="580" w:lineRule="exact"/>
        <w:ind w:left="640" w:leftChars="0"/>
        <w:rPr>
          <w:rFonts w:hint="eastAsia" w:ascii="黑体" w:hAnsi="黑体" w:eastAsia="黑体"/>
          <w:kern w:val="0"/>
          <w:sz w:val="32"/>
          <w:szCs w:val="32"/>
        </w:rPr>
      </w:pPr>
      <w:r>
        <w:rPr>
          <w:rFonts w:hint="eastAsia" w:ascii="黑体" w:hAnsi="黑体" w:eastAsia="黑体"/>
          <w:spacing w:val="-12"/>
          <w:sz w:val="32"/>
          <w:szCs w:val="32"/>
          <w:lang w:eastAsia="zh-CN"/>
        </w:rPr>
        <w:t>一、脱</w:t>
      </w:r>
      <w:r>
        <w:rPr>
          <w:rFonts w:hint="eastAsia" w:ascii="黑体" w:hAnsi="黑体" w:eastAsia="黑体"/>
          <w:kern w:val="0"/>
          <w:sz w:val="32"/>
          <w:szCs w:val="32"/>
          <w:lang w:eastAsia="zh-CN"/>
        </w:rPr>
        <w:t>氢乙酸及其钠盐(以脱氢乙酸计)</w:t>
      </w:r>
    </w:p>
    <w:p>
      <w:pPr>
        <w:ind w:firstLine="640" w:firstLineChars="200"/>
        <w:rPr>
          <w:rFonts w:ascii="仿宋_GB2312" w:eastAsia="仿宋_GB2312"/>
          <w:sz w:val="32"/>
          <w:szCs w:val="32"/>
        </w:rPr>
      </w:pPr>
      <w:r>
        <w:rPr>
          <w:rFonts w:hint="eastAsia" w:ascii="仿宋_GB2312" w:eastAsia="仿宋_GB2312"/>
          <w:sz w:val="32"/>
          <w:szCs w:val="32"/>
        </w:rPr>
        <w:t>脱氢乙酸及其钠盐作为食品添加剂，广泛用作防腐剂，对霉菌具有较强</w:t>
      </w:r>
      <w:r>
        <w:rPr>
          <w:rFonts w:ascii="Times New Roman" w:hAnsi="Times New Roman" w:eastAsia="仿宋_GB2312"/>
          <w:sz w:val="32"/>
          <w:szCs w:val="32"/>
        </w:rPr>
        <w:t>的抑制作用。《食品安全国家标准 食品添加剂使用标准》（GB 2760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2014）中规定</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米面制品</w:t>
      </w:r>
      <w:r>
        <w:rPr>
          <w:rFonts w:ascii="Times New Roman" w:hAnsi="Times New Roman" w:eastAsia="仿宋_GB2312"/>
          <w:sz w:val="32"/>
          <w:szCs w:val="32"/>
        </w:rPr>
        <w:t>中不得使用脱氢乙酸及其钠盐。长期</w:t>
      </w:r>
      <w:r>
        <w:rPr>
          <w:rFonts w:hint="eastAsia" w:ascii="仿宋_GB2312" w:eastAsia="仿宋_GB2312"/>
          <w:sz w:val="32"/>
          <w:szCs w:val="32"/>
        </w:rPr>
        <w:t>大量食用脱氢乙酸及其钠盐超标产品，可能对人体健康产生一定影响。</w:t>
      </w:r>
    </w:p>
    <w:p>
      <w:pPr>
        <w:pStyle w:val="22"/>
        <w:numPr>
          <w:numId w:val="0"/>
        </w:numPr>
        <w:ind w:left="640" w:leftChars="0"/>
        <w:rPr>
          <w:rFonts w:ascii="黑体" w:hAnsi="黑体" w:eastAsia="黑体" w:cs="Arial"/>
          <w:sz w:val="32"/>
          <w:szCs w:val="32"/>
        </w:rPr>
      </w:pPr>
      <w:r>
        <w:rPr>
          <w:rFonts w:hint="eastAsia" w:ascii="黑体" w:hAnsi="黑体" w:eastAsia="黑体" w:cs="Arial"/>
          <w:sz w:val="32"/>
          <w:szCs w:val="32"/>
          <w:lang w:eastAsia="zh-CN"/>
        </w:rPr>
        <w:t>二、</w:t>
      </w:r>
      <w:r>
        <w:rPr>
          <w:rFonts w:hint="eastAsia" w:ascii="黑体" w:hAnsi="黑体" w:eastAsia="黑体" w:cs="Arial"/>
          <w:sz w:val="32"/>
          <w:szCs w:val="32"/>
        </w:rPr>
        <w:t>亚硝酸盐</w:t>
      </w:r>
    </w:p>
    <w:p>
      <w:pPr>
        <w:ind w:firstLine="640" w:firstLineChars="200"/>
        <w:rPr>
          <w:rFonts w:ascii="仿宋_GB2312" w:hAnsi="仿宋" w:eastAsia="仿宋_GB2312" w:cs="Arial"/>
          <w:sz w:val="32"/>
          <w:szCs w:val="32"/>
        </w:rPr>
      </w:pPr>
      <w:r>
        <w:rPr>
          <w:rFonts w:hint="eastAsia" w:ascii="仿宋_GB2312" w:hAnsi="仿宋" w:eastAsia="仿宋_GB2312" w:cs="Arial"/>
          <w:sz w:val="32"/>
          <w:szCs w:val="32"/>
        </w:rPr>
        <w:t>亚硝酸盐主要包括亚硝酸钠和亚硝酸钾，作为护色剂和防腐剂，可使肉制品呈现鲜艳的红色，也能够抑制肉毒梭菌的生长和繁殖。</w:t>
      </w:r>
      <w:r>
        <w:rPr>
          <w:rFonts w:ascii="Times New Roman" w:hAnsi="Times New Roman" w:eastAsia="仿宋_GB2312"/>
          <w:sz w:val="32"/>
          <w:szCs w:val="32"/>
        </w:rPr>
        <w:t>《食品安全国家标准 食品添加剂使用标准》（GB 2760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2014）中规定</w:t>
      </w:r>
      <w:r>
        <w:rPr>
          <w:rFonts w:hint="eastAsia" w:ascii="Times New Roman" w:hAnsi="Times New Roman" w:eastAsia="仿宋_GB2312"/>
          <w:sz w:val="32"/>
          <w:szCs w:val="32"/>
        </w:rPr>
        <w:t>，</w:t>
      </w:r>
      <w:r>
        <w:rPr>
          <w:rFonts w:hint="eastAsia" w:ascii="仿宋_GB2312" w:hAnsi="仿宋" w:eastAsia="仿宋_GB2312" w:cs="Arial"/>
          <w:sz w:val="32"/>
          <w:szCs w:val="32"/>
        </w:rPr>
        <w:t>亚硝酸钠和亚硝酸钾在腌腊肉制品、酱卤肉制品中，最大使用量为0.15g/kg，残留量（以亚硝酸钠计）不超过30mg/kg。亚硝酸盐进入血液后可将血液中的亚铁血红蛋白氧化成高铁血红蛋白，且在酸性条件下（如胃液中）易与胺类物质发生反应，生成亚硝基化合物。摄入过量亚硝酸盐（一般为误食）可能引起急性中毒，临床上表现为口唇、指甲发钳、皮肤出现紫斑等缺氧症状，同时伴有头晕、恶心等症状。</w:t>
      </w:r>
    </w:p>
    <w:p>
      <w:pPr>
        <w:pStyle w:val="22"/>
        <w:numPr>
          <w:ilvl w:val="0"/>
          <w:numId w:val="0"/>
        </w:numPr>
        <w:spacing w:line="600" w:lineRule="exact"/>
        <w:ind w:firstLine="640" w:firstLineChars="200"/>
        <w:jc w:val="left"/>
        <w:textAlignment w:val="baseline"/>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三、乙基麦芽酚</w:t>
      </w:r>
    </w:p>
    <w:p>
      <w:pPr>
        <w:numPr>
          <w:ilvl w:val="0"/>
          <w:numId w:val="0"/>
        </w:num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乙基麦芽酚是食品添加剂，作为一种香味改良剂、增香剂，对食品的香味改善和增强具有显著效果，对甜食起着增甜作用，且能延长食品储存期。《食品安全国家标准 食品添加剂使用标准》（G</w:t>
      </w:r>
      <w:r>
        <w:rPr>
          <w:rFonts w:ascii="Times New Roman" w:hAnsi="Times New Roman" w:eastAsia="仿宋_GB2312"/>
          <w:sz w:val="32"/>
          <w:szCs w:val="32"/>
        </w:rPr>
        <w:t>B 2760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2014）中规定</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在食用油、油脂及其制品中不得使用。</w:t>
      </w:r>
    </w:p>
    <w:p>
      <w:pPr>
        <w:pStyle w:val="23"/>
        <w:numPr>
          <w:numId w:val="0"/>
        </w:numPr>
        <w:spacing w:line="600" w:lineRule="exact"/>
        <w:ind w:firstLine="592" w:firstLineChars="200"/>
        <w:rPr>
          <w:rFonts w:hint="eastAsia" w:ascii="黑体" w:hAnsi="黑体" w:eastAsia="黑体" w:cs="黑体"/>
          <w:color w:val="auto"/>
          <w:spacing w:val="-12"/>
          <w:kern w:val="2"/>
          <w:sz w:val="32"/>
          <w:szCs w:val="32"/>
          <w:lang w:val="en-US" w:eastAsia="zh-CN" w:bidi="ar-SA"/>
        </w:rPr>
      </w:pPr>
      <w:r>
        <w:rPr>
          <w:rFonts w:hint="eastAsia" w:ascii="黑体" w:hAnsi="黑体" w:eastAsia="黑体" w:cs="黑体"/>
          <w:color w:val="auto"/>
          <w:spacing w:val="-12"/>
          <w:kern w:val="2"/>
          <w:sz w:val="32"/>
          <w:szCs w:val="32"/>
          <w:lang w:val="en-US" w:eastAsia="zh-CN" w:bidi="ar-SA"/>
        </w:rPr>
        <w:t>四、甜蜜素(以环己基氨基磺酸计)</w:t>
      </w:r>
    </w:p>
    <w:p>
      <w:pPr>
        <w:ind w:firstLine="640" w:firstLineChars="200"/>
        <w:rPr>
          <w:rFonts w:ascii="仿宋_GB2312" w:eastAsia="仿宋_GB2312"/>
          <w:color w:val="000000" w:themeColor="text1"/>
          <w:sz w:val="32"/>
          <w:szCs w:val="32"/>
        </w:rPr>
      </w:pPr>
      <w:r>
        <w:rPr>
          <w:rFonts w:ascii="Times New Roman" w:hAnsi="Times New Roman" w:eastAsia="仿宋_GB2312"/>
          <w:sz w:val="32"/>
          <w:szCs w:val="32"/>
        </w:rPr>
        <w:t>环己基</w:t>
      </w:r>
      <w:r>
        <w:fldChar w:fldCharType="begin"/>
      </w:r>
      <w:r>
        <w:instrText xml:space="preserve"> HYPERLINK "http://baike.sogou.com/lemma/ShowInnerLink.htm?lemmaId=5618812" </w:instrText>
      </w:r>
      <w:r>
        <w:fldChar w:fldCharType="separate"/>
      </w:r>
      <w:r>
        <w:rPr>
          <w:rFonts w:ascii="Times New Roman" w:hAnsi="Times New Roman" w:eastAsia="仿宋_GB2312"/>
          <w:sz w:val="32"/>
          <w:szCs w:val="32"/>
        </w:rPr>
        <w:t>氨基磺酸</w:t>
      </w:r>
      <w:r>
        <w:rPr>
          <w:rFonts w:ascii="Times New Roman" w:hAnsi="Times New Roman" w:eastAsia="仿宋_GB2312"/>
          <w:sz w:val="32"/>
          <w:szCs w:val="32"/>
        </w:rPr>
        <w:fldChar w:fldCharType="end"/>
      </w:r>
      <w:r>
        <w:rPr>
          <w:rFonts w:ascii="Times New Roman" w:hAnsi="Times New Roman" w:eastAsia="仿宋_GB2312"/>
          <w:sz w:val="32"/>
          <w:szCs w:val="32"/>
        </w:rPr>
        <w:t>钠（甜蜜素）是一种常用</w:t>
      </w:r>
      <w:r>
        <w:fldChar w:fldCharType="begin"/>
      </w:r>
      <w:r>
        <w:instrText xml:space="preserve"> HYPERLINK "http://baike.sogou.com/lemma/ShowInnerLink.htm?lemmaId=130009" </w:instrText>
      </w:r>
      <w:r>
        <w:fldChar w:fldCharType="separate"/>
      </w:r>
      <w:r>
        <w:rPr>
          <w:rFonts w:ascii="Times New Roman" w:hAnsi="Times New Roman" w:eastAsia="仿宋_GB2312"/>
          <w:sz w:val="32"/>
          <w:szCs w:val="32"/>
        </w:rPr>
        <w:t>甜味剂</w:t>
      </w:r>
      <w:r>
        <w:rPr>
          <w:rFonts w:ascii="Times New Roman" w:hAnsi="Times New Roman" w:eastAsia="仿宋_GB2312"/>
          <w:sz w:val="32"/>
          <w:szCs w:val="32"/>
        </w:rPr>
        <w:fldChar w:fldCharType="end"/>
      </w:r>
      <w:r>
        <w:rPr>
          <w:rFonts w:ascii="Times New Roman" w:hAnsi="Times New Roman" w:eastAsia="仿宋_GB2312"/>
          <w:sz w:val="32"/>
          <w:szCs w:val="32"/>
        </w:rPr>
        <w:t>，其甜度是蔗糖的30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40倍。可广泛用于面包、糕点、饮料、配制酒</w:t>
      </w:r>
      <w:r>
        <w:rPr>
          <w:rFonts w:hint="eastAsia" w:ascii="Times New Roman" w:hAnsi="Times New Roman" w:eastAsia="仿宋_GB2312"/>
          <w:sz w:val="32"/>
          <w:szCs w:val="32"/>
        </w:rPr>
        <w:t>、腌渍的蔬菜</w:t>
      </w:r>
      <w:r>
        <w:rPr>
          <w:rFonts w:ascii="Times New Roman" w:hAnsi="Times New Roman" w:eastAsia="仿宋_GB2312"/>
          <w:sz w:val="32"/>
          <w:szCs w:val="32"/>
        </w:rPr>
        <w:t>及蜜饯等食品中。《食品安全国家标准 食品添加剂使用标准》（GB 2760</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2014）中规定</w:t>
      </w:r>
      <w:r>
        <w:rPr>
          <w:rFonts w:hint="eastAsia" w:ascii="Times New Roman" w:hAnsi="Times New Roman" w:eastAsia="仿宋_GB2312"/>
          <w:sz w:val="32"/>
          <w:szCs w:val="32"/>
        </w:rPr>
        <w:t>，</w:t>
      </w:r>
      <w:r>
        <w:rPr>
          <w:rFonts w:ascii="Times New Roman" w:hAnsi="Times New Roman" w:eastAsia="仿宋_GB2312"/>
          <w:sz w:val="32"/>
          <w:szCs w:val="32"/>
        </w:rPr>
        <w:t>甜蜜素</w:t>
      </w:r>
      <w:r>
        <w:rPr>
          <w:rFonts w:hint="eastAsia" w:ascii="Times New Roman" w:hAnsi="Times New Roman" w:eastAsia="仿宋_GB2312"/>
          <w:sz w:val="32"/>
          <w:szCs w:val="32"/>
        </w:rPr>
        <w:t>在</w:t>
      </w:r>
      <w:r>
        <w:rPr>
          <w:rFonts w:hint="eastAsia" w:ascii="Times New Roman" w:hAnsi="Times New Roman" w:eastAsia="仿宋_GB2312"/>
          <w:sz w:val="32"/>
          <w:szCs w:val="32"/>
          <w:lang w:eastAsia="zh-CN"/>
        </w:rPr>
        <w:t>复合调味料</w:t>
      </w:r>
      <w:r>
        <w:rPr>
          <w:rFonts w:hint="eastAsia" w:ascii="Times New Roman" w:hAnsi="Times New Roman" w:eastAsia="仿宋_GB2312"/>
          <w:sz w:val="32"/>
          <w:szCs w:val="32"/>
        </w:rPr>
        <w:t>中</w:t>
      </w:r>
      <w:r>
        <w:rPr>
          <w:rFonts w:ascii="Times New Roman" w:hAnsi="Times New Roman" w:eastAsia="仿宋_GB2312"/>
          <w:sz w:val="32"/>
          <w:szCs w:val="32"/>
        </w:rPr>
        <w:t>最大使用量为</w:t>
      </w:r>
      <w:r>
        <w:rPr>
          <w:rFonts w:hint="eastAsia" w:ascii="Times New Roman" w:hAnsi="Times New Roman" w:eastAsia="仿宋_GB2312"/>
          <w:sz w:val="32"/>
          <w:szCs w:val="32"/>
          <w:lang w:val="en-US" w:eastAsia="zh-CN"/>
        </w:rPr>
        <w:t>0.65</w:t>
      </w:r>
      <w:r>
        <w:rPr>
          <w:rFonts w:ascii="Times New Roman" w:hAnsi="Times New Roman" w:eastAsia="仿宋_GB2312"/>
          <w:sz w:val="32"/>
          <w:szCs w:val="32"/>
        </w:rPr>
        <w:t xml:space="preserve"> g/kg。长期过量食用甜蜜素</w:t>
      </w:r>
      <w:bookmarkStart w:id="0" w:name="_GoBack"/>
      <w:bookmarkEnd w:id="0"/>
      <w:r>
        <w:rPr>
          <w:rFonts w:ascii="Times New Roman" w:hAnsi="Times New Roman" w:eastAsia="仿宋_GB2312"/>
          <w:sz w:val="32"/>
          <w:szCs w:val="32"/>
        </w:rPr>
        <w:t>超标的食品，可能会对人体健康造成一定影响。</w:t>
      </w:r>
    </w:p>
    <w:p>
      <w:pPr>
        <w:pStyle w:val="32"/>
        <w:numPr>
          <w:ilvl w:val="0"/>
          <w:numId w:val="0"/>
        </w:numPr>
        <w:spacing w:line="580" w:lineRule="exact"/>
        <w:jc w:val="both"/>
        <w:rPr>
          <w:rFonts w:hint="eastAsia" w:ascii="黑体" w:hAnsi="黑体" w:eastAsia="黑体" w:cs="黑体"/>
          <w:color w:val="auto"/>
          <w:spacing w:val="-12"/>
          <w:kern w:val="2"/>
          <w:sz w:val="32"/>
          <w:szCs w:val="32"/>
          <w:lang w:val="en-US" w:eastAsia="zh-CN" w:bidi="ar-SA"/>
        </w:rPr>
      </w:pPr>
    </w:p>
    <w:p>
      <w:pPr>
        <w:ind w:firstLine="640" w:firstLineChars="200"/>
        <w:rPr>
          <w:rFonts w:ascii="Times New Roman" w:hAnsi="Times New Roman" w:eastAsia="仿宋_GB2312"/>
          <w:sz w:val="32"/>
          <w:szCs w:val="32"/>
        </w:rPr>
      </w:pPr>
    </w:p>
    <w:p>
      <w:pPr>
        <w:numPr>
          <w:ilvl w:val="0"/>
          <w:numId w:val="0"/>
        </w:numPr>
        <w:ind w:firstLine="640" w:firstLineChars="200"/>
        <w:rPr>
          <w:rFonts w:hint="eastAsia" w:ascii="Times New Roman" w:hAnsi="Times New Roman" w:eastAsia="仿宋_GB2312"/>
          <w:color w:val="000000"/>
          <w:sz w:val="32"/>
          <w:szCs w:val="32"/>
          <w:lang w:val="en-US" w:eastAsia="zh-CN"/>
        </w:rPr>
      </w:pPr>
    </w:p>
    <w:p>
      <w:pPr>
        <w:pStyle w:val="22"/>
        <w:numPr>
          <w:ilvl w:val="0"/>
          <w:numId w:val="0"/>
        </w:numPr>
        <w:rPr>
          <w:rFonts w:hint="eastAsia" w:ascii="黑体" w:eastAsia="黑体"/>
          <w:sz w:val="32"/>
          <w:szCs w:val="32"/>
          <w:lang w:eastAsia="zh-CN"/>
        </w:rPr>
      </w:pPr>
    </w:p>
    <w:p>
      <w:pPr>
        <w:pStyle w:val="22"/>
        <w:numPr>
          <w:ilvl w:val="0"/>
          <w:numId w:val="0"/>
        </w:numPr>
        <w:ind w:firstLine="640" w:firstLineChars="200"/>
        <w:rPr>
          <w:rFonts w:hint="eastAsia" w:ascii="黑体" w:eastAsia="黑体"/>
          <w:sz w:val="32"/>
          <w:szCs w:val="32"/>
          <w:lang w:eastAsia="zh-CN"/>
        </w:rPr>
      </w:pPr>
    </w:p>
    <w:p>
      <w:pPr>
        <w:pStyle w:val="22"/>
        <w:numPr>
          <w:ilvl w:val="0"/>
          <w:numId w:val="0"/>
        </w:numPr>
        <w:rPr>
          <w:rFonts w:hint="eastAsia" w:ascii="黑体" w:eastAsia="黑体"/>
          <w:sz w:val="32"/>
          <w:szCs w:val="32"/>
          <w:lang w:eastAsia="zh-CN"/>
        </w:rPr>
      </w:pPr>
    </w:p>
    <w:p>
      <w:pPr>
        <w:ind w:firstLine="640" w:firstLineChars="200"/>
        <w:rPr>
          <w:rFonts w:hint="eastAsia" w:ascii="Times New Roman" w:hAnsi="Times New Roman" w:eastAsia="仿宋_GB2312"/>
          <w:sz w:val="32"/>
          <w:szCs w:val="32"/>
        </w:rPr>
      </w:pPr>
    </w:p>
    <w:p>
      <w:pPr>
        <w:spacing w:line="594" w:lineRule="exact"/>
        <w:ind w:firstLine="640" w:firstLineChars="200"/>
        <w:rPr>
          <w:rFonts w:hint="eastAsia" w:ascii="Times New Roman" w:hAnsi="Times New Roman" w:eastAsia="仿宋_GB2312" w:cs="Times New Roman"/>
          <w:spacing w:val="0"/>
          <w:sz w:val="32"/>
          <w:szCs w:val="32"/>
          <w:lang w:eastAsia="zh-CN"/>
        </w:rPr>
      </w:pPr>
    </w:p>
    <w:sectPr>
      <w:footerReference r:id="rId3" w:type="default"/>
      <w:pgSz w:w="11906" w:h="16838"/>
      <w:pgMar w:top="1758" w:right="1531" w:bottom="158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A62240D"/>
    <w:rsid w:val="4C0D0D9B"/>
    <w:rsid w:val="4F10736A"/>
    <w:rsid w:val="5C265047"/>
    <w:rsid w:val="64EC6E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6"/>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FollowedHyperlink"/>
    <w:basedOn w:val="9"/>
    <w:unhideWhenUsed/>
    <w:qFormat/>
    <w:uiPriority w:val="99"/>
    <w:rPr>
      <w:color w:val="338DE6"/>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338DE6"/>
      <w:u w:val="none"/>
    </w:rPr>
  </w:style>
  <w:style w:type="character" w:styleId="16">
    <w:name w:val="HTML Code"/>
    <w:basedOn w:val="9"/>
    <w:unhideWhenUsed/>
    <w:qFormat/>
    <w:uiPriority w:val="99"/>
    <w:rPr>
      <w:rFonts w:hint="default" w:ascii="monospace" w:hAnsi="monospace" w:eastAsia="monospace" w:cs="monospace"/>
      <w:sz w:val="21"/>
      <w:szCs w:val="21"/>
      <w:shd w:val="clear" w:color="auto" w:fill="FFFFFF"/>
    </w:rPr>
  </w:style>
  <w:style w:type="character" w:styleId="17">
    <w:name w:val="HTML Cite"/>
    <w:basedOn w:val="9"/>
    <w:unhideWhenUsed/>
    <w:qFormat/>
    <w:uiPriority w:val="99"/>
  </w:style>
  <w:style w:type="character" w:styleId="18">
    <w:name w:val="HTML Keyboard"/>
    <w:basedOn w:val="9"/>
    <w:unhideWhenUsed/>
    <w:qFormat/>
    <w:uiPriority w:val="99"/>
    <w:rPr>
      <w:rFonts w:ascii="monospace" w:hAnsi="monospace" w:eastAsia="monospace" w:cs="monospace"/>
      <w:sz w:val="21"/>
      <w:szCs w:val="21"/>
    </w:rPr>
  </w:style>
  <w:style w:type="character" w:styleId="19">
    <w:name w:val="HTML Sample"/>
    <w:basedOn w:val="9"/>
    <w:unhideWhenUsed/>
    <w:qFormat/>
    <w:uiPriority w:val="99"/>
    <w:rPr>
      <w:rFonts w:hint="default" w:ascii="monospace" w:hAnsi="monospace" w:eastAsia="monospace" w:cs="monospace"/>
      <w:sz w:val="21"/>
      <w:szCs w:val="21"/>
    </w:rPr>
  </w:style>
  <w:style w:type="paragraph" w:customStyle="1" w:styleId="20">
    <w:name w:val="列出段落1"/>
    <w:basedOn w:val="1"/>
    <w:qFormat/>
    <w:uiPriority w:val="34"/>
    <w:pPr>
      <w:ind w:firstLine="420" w:firstLineChars="200"/>
    </w:pPr>
  </w:style>
  <w:style w:type="paragraph" w:customStyle="1" w:styleId="21">
    <w:name w:val="列出段落2"/>
    <w:basedOn w:val="1"/>
    <w:unhideWhenUsed/>
    <w:qFormat/>
    <w:uiPriority w:val="99"/>
    <w:pPr>
      <w:ind w:firstLine="420" w:firstLineChars="200"/>
    </w:pPr>
  </w:style>
  <w:style w:type="paragraph" w:customStyle="1" w:styleId="22">
    <w:name w:val="List Paragraph"/>
    <w:basedOn w:val="1"/>
    <w:qFormat/>
    <w:uiPriority w:val="0"/>
    <w:pPr>
      <w:ind w:firstLine="420" w:firstLineChars="200"/>
    </w:pPr>
  </w:style>
  <w:style w:type="paragraph" w:customStyle="1" w:styleId="23">
    <w:name w:val="列出段落11"/>
    <w:basedOn w:val="1"/>
    <w:qFormat/>
    <w:uiPriority w:val="34"/>
    <w:pPr>
      <w:ind w:firstLine="420" w:firstLineChars="200"/>
    </w:pPr>
  </w:style>
  <w:style w:type="character" w:customStyle="1" w:styleId="24">
    <w:name w:val="页眉 Char"/>
    <w:basedOn w:val="9"/>
    <w:link w:val="6"/>
    <w:qFormat/>
    <w:uiPriority w:val="99"/>
    <w:rPr>
      <w:sz w:val="18"/>
      <w:szCs w:val="18"/>
    </w:rPr>
  </w:style>
  <w:style w:type="character" w:customStyle="1" w:styleId="25">
    <w:name w:val="页脚 Char"/>
    <w:basedOn w:val="9"/>
    <w:link w:val="5"/>
    <w:qFormat/>
    <w:uiPriority w:val="99"/>
    <w:rPr>
      <w:sz w:val="18"/>
      <w:szCs w:val="18"/>
    </w:rPr>
  </w:style>
  <w:style w:type="character" w:customStyle="1" w:styleId="26">
    <w:name w:val="批注框文本 Char"/>
    <w:basedOn w:val="9"/>
    <w:link w:val="4"/>
    <w:semiHidden/>
    <w:qFormat/>
    <w:uiPriority w:val="99"/>
    <w:rPr>
      <w:sz w:val="18"/>
      <w:szCs w:val="18"/>
    </w:rPr>
  </w:style>
  <w:style w:type="character" w:customStyle="1" w:styleId="27">
    <w:name w:val="标题 3 Char"/>
    <w:basedOn w:val="9"/>
    <w:link w:val="3"/>
    <w:qFormat/>
    <w:uiPriority w:val="9"/>
    <w:rPr>
      <w:rFonts w:ascii="宋体" w:hAnsi="宋体" w:eastAsia="宋体" w:cs="宋体"/>
      <w:b/>
      <w:bCs/>
      <w:color w:val="333333"/>
      <w:sz w:val="28"/>
      <w:szCs w:val="28"/>
    </w:rPr>
  </w:style>
  <w:style w:type="character" w:customStyle="1" w:styleId="28">
    <w:name w:val="title-prefix"/>
    <w:basedOn w:val="9"/>
    <w:qFormat/>
    <w:uiPriority w:val="0"/>
  </w:style>
  <w:style w:type="character" w:customStyle="1" w:styleId="29">
    <w:name w:val="description5"/>
    <w:basedOn w:val="9"/>
    <w:qFormat/>
    <w:uiPriority w:val="0"/>
  </w:style>
  <w:style w:type="character" w:customStyle="1" w:styleId="30">
    <w:name w:val="fontstrikethrough"/>
    <w:basedOn w:val="9"/>
    <w:qFormat/>
    <w:uiPriority w:val="0"/>
    <w:rPr>
      <w:strike/>
    </w:rPr>
  </w:style>
  <w:style w:type="character" w:customStyle="1" w:styleId="31">
    <w:name w:val="fontborder"/>
    <w:basedOn w:val="9"/>
    <w:qFormat/>
    <w:uiPriority w:val="0"/>
    <w:rPr>
      <w:bdr w:val="single" w:color="000000" w:sz="6" w:space="0"/>
    </w:rPr>
  </w:style>
  <w:style w:type="paragraph" w:customStyle="1" w:styleId="3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22</Words>
  <Characters>128</Characters>
  <Lines>1</Lines>
  <Paragraphs>1</Paragraphs>
  <TotalTime>45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2019-10-29T01:58:00Z</dcterms:created>
  <dc:creator>SDWM</dc:creator>
  <cp:lastModifiedBy>lenovo</cp:lastModifiedBy>
  <cp:lastPrinted>2019-08-23T08:19:00Z</cp:lastPrinted>
  <dcterms:modified xsi:type="dcterms:W3CDTF">2020-11-11T01:39:11Z</dcterms:modified>
  <dc:title>部分不合格项目的小知识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