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0"/>
        <w:spacing w:before="0" w:beforeAutospacing="0" w:after="0" w:afterAutospacing="0" w:line="360" w:lineRule="auto"/>
        <w:ind w:firstLine="1030" w:firstLineChars="226"/>
        <w:jc w:val="center"/>
        <w:textAlignment w:val="baseline"/>
        <w:rPr>
          <w:rFonts w:hint="eastAsia" w:ascii="方正黑体简体" w:eastAsia="方正黑体简体"/>
          <w:spacing w:val="8"/>
          <w:sz w:val="44"/>
          <w:szCs w:val="44"/>
        </w:rPr>
      </w:pPr>
      <w:r>
        <w:rPr>
          <w:rFonts w:hint="eastAsia" w:ascii="方正黑体简体" w:eastAsia="方正黑体简体"/>
          <w:spacing w:val="8"/>
          <w:sz w:val="44"/>
          <w:szCs w:val="44"/>
        </w:rPr>
        <w:t>《山地肉牛标准化饲养技术规程》</w:t>
      </w:r>
    </w:p>
    <w:p>
      <w:pPr>
        <w:pStyle w:val="10"/>
        <w:spacing w:before="0" w:beforeAutospacing="0" w:after="0" w:afterAutospacing="0" w:line="360" w:lineRule="auto"/>
        <w:ind w:firstLine="1030" w:firstLineChars="226"/>
        <w:jc w:val="center"/>
        <w:textAlignment w:val="baseline"/>
        <w:rPr>
          <w:rFonts w:hint="eastAsia" w:ascii="方正黑体简体" w:eastAsia="方正黑体简体"/>
          <w:spacing w:val="8"/>
          <w:sz w:val="44"/>
          <w:szCs w:val="44"/>
        </w:rPr>
      </w:pPr>
      <w:r>
        <w:rPr>
          <w:rFonts w:hint="eastAsia" w:ascii="方正黑体简体" w:eastAsia="方正黑体简体"/>
          <w:spacing w:val="8"/>
          <w:sz w:val="44"/>
          <w:szCs w:val="44"/>
        </w:rPr>
        <w:t>编制说明</w:t>
      </w:r>
    </w:p>
    <w:p>
      <w:pPr>
        <w:pStyle w:val="10"/>
        <w:spacing w:before="0" w:beforeAutospacing="0" w:after="0" w:afterAutospacing="0" w:line="500" w:lineRule="exact"/>
        <w:ind w:firstLine="671" w:firstLineChars="226"/>
        <w:textAlignment w:val="baseline"/>
        <w:rPr>
          <w:rFonts w:hint="eastAsia" w:ascii="黑体" w:hAnsi="黑体" w:eastAsia="黑体" w:cs="仿宋_GB2312"/>
          <w:b/>
          <w:spacing w:val="8"/>
          <w:sz w:val="28"/>
          <w:szCs w:val="28"/>
        </w:rPr>
      </w:pPr>
      <w:r>
        <w:rPr>
          <w:rFonts w:hint="eastAsia" w:ascii="黑体" w:hAnsi="黑体" w:eastAsia="黑体" w:cs="仿宋_GB2312"/>
          <w:b/>
          <w:spacing w:val="8"/>
          <w:sz w:val="28"/>
          <w:szCs w:val="28"/>
        </w:rPr>
        <w:t>一、标准制定背景</w:t>
      </w:r>
    </w:p>
    <w:p>
      <w:pPr>
        <w:pStyle w:val="10"/>
        <w:spacing w:before="0" w:beforeAutospacing="0" w:after="0" w:afterAutospacing="0" w:line="500" w:lineRule="exact"/>
        <w:ind w:firstLine="668" w:firstLineChars="226"/>
        <w:textAlignment w:val="baseline"/>
        <w:rPr>
          <w:rFonts w:hint="eastAsia" w:cs="仿宋_GB2312"/>
          <w:spacing w:val="8"/>
          <w:sz w:val="28"/>
          <w:szCs w:val="28"/>
        </w:rPr>
      </w:pPr>
      <w:r>
        <w:rPr>
          <w:rFonts w:hint="eastAsia" w:cs="仿宋_GB2312"/>
          <w:spacing w:val="8"/>
          <w:sz w:val="28"/>
          <w:szCs w:val="28"/>
        </w:rPr>
        <w:t>山地养牛历史悠久。自古以来，对于“地无三分平”的山地，牛既是农民的重要劳役工具，又是其主要的经济收入来源之一。山地有着丰富的饲草资源，对发展牛产业具有得天独厚的优势，加之区域内无大型工矿业，环境污染少，发展养牛业素有“喝的是矿泉水，吃的是中草药”的美誉，养牛业成为山地经济发展的主导产业之一。</w:t>
      </w:r>
    </w:p>
    <w:p>
      <w:pPr>
        <w:pStyle w:val="10"/>
        <w:spacing w:before="0" w:beforeAutospacing="0" w:after="0" w:afterAutospacing="0" w:line="500" w:lineRule="exact"/>
        <w:ind w:firstLine="668" w:firstLineChars="226"/>
        <w:textAlignment w:val="baseline"/>
        <w:rPr>
          <w:rFonts w:hint="eastAsia" w:cs="仿宋_GB2312"/>
          <w:spacing w:val="8"/>
          <w:sz w:val="28"/>
          <w:szCs w:val="28"/>
        </w:rPr>
      </w:pPr>
      <w:r>
        <w:rPr>
          <w:rFonts w:hint="eastAsia" w:cs="仿宋_GB2312"/>
          <w:spacing w:val="8"/>
          <w:sz w:val="28"/>
          <w:szCs w:val="28"/>
        </w:rPr>
        <w:t>随着党中央、国务院对西南地区的大力开发，促进贵州山地肉牛产业得到空前发展。2003年，贵州省委、省政府下发《关于加快畜牧业发展的意见》，明确了建设畜牧业大省的指导思想、建设目标和具体措施，为全省草地生态畜牧业的快速发展提供了强有力的政策保障，2014年省委省政府出台《省人民政府关于加快推进山地生态畜牧业发展的意见》（黔府发〔2014〕26号）提出的“发挥山地高效农业优势,突出贵州山地生态畜牧业特色”精神,特别是2015年中央出台的能繁母牛扩繁增量补助政策，极大地调动了农户养殖肉牛的积极性。</w:t>
      </w:r>
    </w:p>
    <w:p>
      <w:pPr>
        <w:pStyle w:val="10"/>
        <w:spacing w:before="0" w:beforeAutospacing="0" w:after="0" w:afterAutospacing="0" w:line="500" w:lineRule="exact"/>
        <w:ind w:firstLine="668" w:firstLineChars="226"/>
        <w:textAlignment w:val="baseline"/>
        <w:rPr>
          <w:rFonts w:hint="eastAsia" w:cs="仿宋_GB2312"/>
          <w:spacing w:val="8"/>
          <w:sz w:val="28"/>
          <w:szCs w:val="28"/>
        </w:rPr>
      </w:pPr>
      <w:r>
        <w:rPr>
          <w:rFonts w:hint="eastAsia" w:cs="仿宋_GB2312"/>
          <w:spacing w:val="8"/>
          <w:sz w:val="28"/>
          <w:szCs w:val="28"/>
        </w:rPr>
        <w:t>近年来，通过标准化示范创建等项目的实施，有力地推动了肉牛标准化规模养殖和产业化发展进程，牛肉市场供给能力和质量安全水平也得到稳步提升。</w:t>
      </w:r>
    </w:p>
    <w:p>
      <w:pPr>
        <w:pStyle w:val="10"/>
        <w:spacing w:before="0" w:beforeAutospacing="0" w:after="0" w:afterAutospacing="0" w:line="500" w:lineRule="exact"/>
        <w:ind w:firstLine="668" w:firstLineChars="226"/>
        <w:textAlignment w:val="baseline"/>
        <w:rPr>
          <w:rFonts w:hint="eastAsia" w:cs="仿宋_GB2312"/>
          <w:spacing w:val="8"/>
          <w:sz w:val="28"/>
          <w:szCs w:val="28"/>
        </w:rPr>
      </w:pPr>
      <w:r>
        <w:rPr>
          <w:rFonts w:hint="eastAsia" w:cs="仿宋_GB2312"/>
          <w:spacing w:val="8"/>
          <w:sz w:val="28"/>
          <w:szCs w:val="28"/>
        </w:rPr>
        <w:t>为适应现代畜牧业发展的新形势，进一步规范贵州山地肉牛生产技术，满足肉牛规模养殖企业生产需要，提高规模化养殖效益,在总结全省多年来肉牛养殖经验的基础上，参阅了大量资料,编制成《山地肉牛标准化饲养技术规程》地方标准。本标准就山地肉牛规模养殖场建设、肉牛杂交组合模式、饲料配制及管理、免疫程序、肉牛出栏时间和体重作了规定，旨在为山地肉牛产业发展实现规模化、标准化、科学化生产提供技术支撑，推动山地肉牛产业持续、健康发展。</w:t>
      </w:r>
    </w:p>
    <w:p>
      <w:pPr>
        <w:pStyle w:val="10"/>
        <w:spacing w:before="0" w:beforeAutospacing="0" w:after="0" w:afterAutospacing="0" w:line="500" w:lineRule="exact"/>
        <w:ind w:firstLine="671" w:firstLineChars="226"/>
        <w:textAlignment w:val="baseline"/>
        <w:rPr>
          <w:rFonts w:hint="eastAsia" w:ascii="黑体" w:hAnsi="黑体" w:eastAsia="黑体" w:cs="仿宋_GB2312"/>
          <w:b/>
          <w:spacing w:val="8"/>
          <w:sz w:val="28"/>
          <w:szCs w:val="28"/>
        </w:rPr>
      </w:pPr>
      <w:r>
        <w:rPr>
          <w:rFonts w:hint="eastAsia" w:ascii="黑体" w:hAnsi="黑体" w:eastAsia="黑体" w:cs="仿宋_GB2312"/>
          <w:b/>
          <w:spacing w:val="8"/>
          <w:sz w:val="28"/>
          <w:szCs w:val="28"/>
        </w:rPr>
        <w:t>二、工作简况</w:t>
      </w:r>
    </w:p>
    <w:p>
      <w:pPr>
        <w:pStyle w:val="10"/>
        <w:spacing w:before="0" w:beforeAutospacing="0" w:after="0" w:afterAutospacing="0" w:line="520" w:lineRule="exact"/>
        <w:ind w:firstLine="671" w:firstLineChars="226"/>
        <w:textAlignment w:val="baseline"/>
        <w:rPr>
          <w:rFonts w:hint="eastAsia" w:cs="仿宋_GB2312"/>
          <w:b/>
          <w:spacing w:val="8"/>
          <w:sz w:val="28"/>
          <w:szCs w:val="28"/>
        </w:rPr>
      </w:pPr>
      <w:r>
        <w:rPr>
          <w:rFonts w:hint="eastAsia" w:cs="仿宋_GB2312"/>
          <w:b/>
          <w:spacing w:val="8"/>
          <w:sz w:val="28"/>
          <w:szCs w:val="28"/>
        </w:rPr>
        <w:t>1、任务来源</w:t>
      </w:r>
    </w:p>
    <w:p>
      <w:pPr>
        <w:pStyle w:val="10"/>
        <w:spacing w:before="0" w:beforeAutospacing="0" w:after="0" w:afterAutospacing="0" w:line="520" w:lineRule="exact"/>
        <w:ind w:firstLine="668" w:firstLineChars="226"/>
        <w:textAlignment w:val="baseline"/>
        <w:rPr>
          <w:rFonts w:hint="eastAsia" w:cs="仿宋_GB2312"/>
          <w:spacing w:val="8"/>
          <w:sz w:val="28"/>
          <w:szCs w:val="28"/>
        </w:rPr>
      </w:pPr>
      <w:r>
        <w:rPr>
          <w:rFonts w:hint="eastAsia" w:cs="仿宋_GB2312"/>
          <w:spacing w:val="8"/>
          <w:sz w:val="28"/>
          <w:szCs w:val="28"/>
        </w:rPr>
        <w:t>2018年3月，铜仁市畜牧技术推广站向贵州省质量技术监督局申请地方标准立项。2018年7月，贵州省质量技术监督局发布《关于下达2018年贵州省第一批标准化项目的通知》（黔质技监标函[2018]128号），明确由铜仁市畜牧技术推广站等单位负责制定《山地肉牛饲养技术规程》贵州省地方标准。</w:t>
      </w:r>
    </w:p>
    <w:p>
      <w:pPr>
        <w:spacing w:line="460" w:lineRule="atLeast"/>
        <w:ind w:firstLine="743" w:firstLineChars="250"/>
        <w:rPr>
          <w:rFonts w:hint="eastAsia" w:ascii="宋体" w:hAnsi="宋体" w:cs="仿宋_GB2312"/>
          <w:b/>
          <w:spacing w:val="8"/>
          <w:kern w:val="0"/>
          <w:sz w:val="28"/>
          <w:szCs w:val="28"/>
        </w:rPr>
      </w:pPr>
      <w:r>
        <w:rPr>
          <w:rFonts w:hint="eastAsia" w:ascii="宋体" w:hAnsi="宋体" w:cs="仿宋_GB2312"/>
          <w:b/>
          <w:spacing w:val="8"/>
          <w:kern w:val="0"/>
          <w:sz w:val="28"/>
          <w:szCs w:val="28"/>
        </w:rPr>
        <w:t>2、编写单位</w:t>
      </w:r>
    </w:p>
    <w:p>
      <w:pPr>
        <w:pStyle w:val="10"/>
        <w:spacing w:before="0" w:beforeAutospacing="0" w:after="0" w:afterAutospacing="0" w:line="460" w:lineRule="atLeast"/>
        <w:ind w:firstLine="592" w:firstLineChars="200"/>
        <w:textAlignment w:val="baseline"/>
        <w:rPr>
          <w:rFonts w:hint="eastAsia" w:cs="仿宋_GB2312"/>
          <w:spacing w:val="8"/>
          <w:sz w:val="28"/>
          <w:szCs w:val="28"/>
        </w:rPr>
      </w:pPr>
      <w:r>
        <w:rPr>
          <w:rFonts w:hint="eastAsia" w:cs="仿宋_GB2312"/>
          <w:spacing w:val="8"/>
          <w:sz w:val="28"/>
          <w:szCs w:val="28"/>
        </w:rPr>
        <w:t>承担单位：铜仁市畜牧技术推广站是隶属于铜仁市农业农村局的财政全额拨款事业单位，是市级农业推广机构，长期从事畜禽资源保护和畜牧技术推广及各项标准的制修定工作。</w:t>
      </w:r>
    </w:p>
    <w:p>
      <w:pPr>
        <w:spacing w:line="460" w:lineRule="atLeast"/>
        <w:jc w:val="left"/>
        <w:rPr>
          <w:rFonts w:hint="eastAsia" w:ascii="宋体" w:hAnsi="宋体" w:cs="仿宋_GB2312"/>
          <w:spacing w:val="8"/>
          <w:kern w:val="0"/>
          <w:sz w:val="28"/>
          <w:szCs w:val="28"/>
        </w:rPr>
      </w:pPr>
      <w:r>
        <w:rPr>
          <w:rFonts w:hint="eastAsia" w:ascii="宋体" w:hAnsi="宋体" w:cs="仿宋_GB2312"/>
          <w:spacing w:val="8"/>
          <w:kern w:val="0"/>
          <w:sz w:val="28"/>
          <w:szCs w:val="28"/>
        </w:rPr>
        <w:t xml:space="preserve">    协作单位：贵州省遗传资源管理站、铜仁市饲草饲料工作站、思南县畜牧技术推广站、德江县畜牧技术推广站、印江县畜牧技术推广站、松桃县畜牧技术推广站。</w:t>
      </w:r>
    </w:p>
    <w:p>
      <w:pPr>
        <w:pStyle w:val="10"/>
        <w:spacing w:before="0" w:beforeAutospacing="0" w:after="0" w:afterAutospacing="0" w:line="460" w:lineRule="atLeast"/>
        <w:rPr>
          <w:rFonts w:hint="eastAsia" w:cs="仿宋_GB2312"/>
          <w:b/>
          <w:spacing w:val="8"/>
          <w:sz w:val="28"/>
          <w:szCs w:val="28"/>
        </w:rPr>
      </w:pPr>
      <w:r>
        <w:rPr>
          <w:rFonts w:hint="eastAsia" w:cs="仿宋_GB2312"/>
          <w:spacing w:val="8"/>
          <w:sz w:val="28"/>
          <w:szCs w:val="28"/>
        </w:rPr>
        <w:t xml:space="preserve">    </w:t>
      </w:r>
      <w:r>
        <w:rPr>
          <w:rFonts w:hint="eastAsia" w:cs="仿宋_GB2312"/>
          <w:b/>
          <w:spacing w:val="8"/>
          <w:sz w:val="28"/>
          <w:szCs w:val="28"/>
        </w:rPr>
        <w:t xml:space="preserve"> 3、主要工作过程</w:t>
      </w:r>
    </w:p>
    <w:p>
      <w:pPr>
        <w:pStyle w:val="10"/>
        <w:spacing w:before="0" w:beforeAutospacing="0" w:after="0" w:afterAutospacing="0" w:line="460" w:lineRule="atLeast"/>
        <w:rPr>
          <w:rFonts w:hint="eastAsia" w:cs="仿宋_GB2312"/>
          <w:b/>
          <w:spacing w:val="8"/>
          <w:sz w:val="28"/>
          <w:szCs w:val="28"/>
        </w:rPr>
      </w:pPr>
      <w:r>
        <w:rPr>
          <w:rFonts w:hint="eastAsia" w:cs="仿宋_GB2312"/>
          <w:spacing w:val="8"/>
          <w:sz w:val="28"/>
          <w:szCs w:val="28"/>
        </w:rPr>
        <w:t xml:space="preserve">     </w:t>
      </w:r>
      <w:r>
        <w:rPr>
          <w:rFonts w:hint="eastAsia" w:cs="仿宋_GB2312"/>
          <w:b/>
          <w:spacing w:val="8"/>
          <w:sz w:val="28"/>
          <w:szCs w:val="28"/>
        </w:rPr>
        <w:t>⑴前期准备阶段</w:t>
      </w:r>
    </w:p>
    <w:p>
      <w:pPr>
        <w:pStyle w:val="10"/>
        <w:spacing w:before="0" w:beforeAutospacing="0" w:after="0" w:afterAutospacing="0" w:line="460" w:lineRule="atLeast"/>
        <w:ind w:firstLine="592" w:firstLineChars="200"/>
        <w:rPr>
          <w:rFonts w:hint="eastAsia" w:cs="仿宋_GB2312"/>
          <w:spacing w:val="8"/>
          <w:sz w:val="28"/>
          <w:szCs w:val="28"/>
        </w:rPr>
      </w:pPr>
      <w:r>
        <w:rPr>
          <w:rFonts w:hint="eastAsia" w:cs="仿宋_GB2312"/>
          <w:spacing w:val="8"/>
          <w:sz w:val="28"/>
          <w:szCs w:val="28"/>
        </w:rPr>
        <w:t>铜仁市畜牧技术推广站，在1986年参加贵州省畜禽品种调查和畜禽品种数据测量与收整，参加编辑完成了《贵州省畜禽品种志》和《品种图谱》，2007年以来，我站先后主持了《</w:t>
      </w:r>
      <w:r>
        <w:rPr>
          <w:rFonts w:cs="仿宋_GB2312"/>
          <w:spacing w:val="8"/>
          <w:sz w:val="28"/>
          <w:szCs w:val="28"/>
        </w:rPr>
        <w:t>10</w:t>
      </w:r>
      <w:r>
        <w:rPr>
          <w:rFonts w:hint="eastAsia" w:cs="仿宋_GB2312"/>
          <w:spacing w:val="8"/>
          <w:sz w:val="28"/>
          <w:szCs w:val="28"/>
        </w:rPr>
        <w:t>万头杂交肉牛生产及配套技术推广应用》、《良种牛冻精人工输配改良本地牛科技成果转化推广应用》、</w:t>
      </w:r>
      <w:r>
        <w:rPr>
          <w:rFonts w:cs="仿宋_GB2312"/>
          <w:spacing w:val="8"/>
          <w:sz w:val="28"/>
          <w:szCs w:val="28"/>
        </w:rPr>
        <w:t>《山区肉牛关键养殖技术研究与应用》</w:t>
      </w:r>
      <w:r>
        <w:rPr>
          <w:rFonts w:hint="eastAsia" w:cs="仿宋_GB2312"/>
          <w:spacing w:val="8"/>
          <w:sz w:val="28"/>
          <w:szCs w:val="28"/>
        </w:rPr>
        <w:t xml:space="preserve">等课题，认真地总结了肉牛在我市体尺体重、生长发育规律，生活习性和营养需要特点等，获得了大量技术资料与养殖管理经验，分别获得2009年省丰收计划二等奖、2011年获得铜仁地区科技进步二等奖、2015年获得铜仁市科技进步三等奖，为《山地肉牛标准化饲养技术规程》制订的制定奠定扎实的基础。 </w:t>
      </w:r>
    </w:p>
    <w:p>
      <w:pPr>
        <w:pStyle w:val="10"/>
        <w:spacing w:before="0" w:beforeAutospacing="0" w:after="0" w:afterAutospacing="0" w:line="460" w:lineRule="atLeast"/>
        <w:ind w:firstLine="891" w:firstLineChars="300"/>
        <w:rPr>
          <w:rFonts w:hint="eastAsia" w:cs="仿宋_GB2312"/>
          <w:b/>
          <w:spacing w:val="8"/>
          <w:sz w:val="28"/>
          <w:szCs w:val="28"/>
        </w:rPr>
      </w:pPr>
      <w:r>
        <w:rPr>
          <w:rFonts w:hint="eastAsia" w:cs="仿宋_GB2312"/>
          <w:b/>
          <w:spacing w:val="8"/>
          <w:sz w:val="28"/>
          <w:szCs w:val="28"/>
        </w:rPr>
        <w:t>⑵起草阶段</w:t>
      </w:r>
    </w:p>
    <w:p>
      <w:pPr>
        <w:spacing w:line="460" w:lineRule="atLeast"/>
        <w:ind w:firstLine="740" w:firstLineChars="250"/>
        <w:jc w:val="left"/>
        <w:rPr>
          <w:rFonts w:hint="eastAsia" w:ascii="宋体" w:hAnsi="宋体" w:cs="仿宋_GB2312"/>
          <w:spacing w:val="8"/>
          <w:kern w:val="0"/>
          <w:sz w:val="28"/>
          <w:szCs w:val="28"/>
        </w:rPr>
      </w:pPr>
      <w:r>
        <w:rPr>
          <w:rFonts w:hint="eastAsia" w:ascii="宋体" w:hAnsi="宋体" w:cs="仿宋_GB2312"/>
          <w:spacing w:val="8"/>
          <w:kern w:val="0"/>
          <w:sz w:val="28"/>
          <w:szCs w:val="28"/>
        </w:rPr>
        <w:t>2019年5月，由铜仁市畜牧技术推广站牵头，协同铜仁市草地站、思南县畜牧技术推广站、德江县畜牧技术推广站、印江县畜牧技术推广站、松桃县畜牧技术推广站共同合作编制，在广泛征求行业、企业和高校专家意见的基础上，制订了企业标准《肉牛标准化饲养技术规程》，并于2019年7月以德江康泰农牧科技有限公司企业标准发布施行。《山地肉牛标准化饲养技术规程》是以德江康泰农牧科技有限公司企业标准《肉牛标准化饲养技术规程》为基础，经过在德江、思南、石阡、印江、松桃等地饲养试验的制定的地方标准。</w:t>
      </w:r>
    </w:p>
    <w:p>
      <w:pPr>
        <w:pStyle w:val="10"/>
        <w:spacing w:before="0" w:beforeAutospacing="0" w:after="0" w:afterAutospacing="0" w:line="460" w:lineRule="atLeast"/>
        <w:ind w:firstLine="594" w:firstLineChars="200"/>
        <w:rPr>
          <w:rFonts w:hint="eastAsia" w:cs="仿宋_GB2312"/>
          <w:b/>
          <w:spacing w:val="8"/>
          <w:sz w:val="28"/>
          <w:szCs w:val="28"/>
        </w:rPr>
      </w:pPr>
      <w:r>
        <w:rPr>
          <w:rFonts w:hint="eastAsia" w:cs="仿宋_GB2312"/>
          <w:b/>
          <w:spacing w:val="8"/>
          <w:sz w:val="28"/>
          <w:szCs w:val="28"/>
        </w:rPr>
        <w:t>⑶ 试行应用阶段</w:t>
      </w:r>
    </w:p>
    <w:p>
      <w:pPr>
        <w:spacing w:line="460" w:lineRule="atLeast"/>
        <w:ind w:firstLine="592" w:firstLineChars="200"/>
        <w:jc w:val="left"/>
        <w:rPr>
          <w:rFonts w:hint="eastAsia" w:ascii="宋体" w:hAnsi="宋体" w:cs="仿宋_GB2312"/>
          <w:spacing w:val="8"/>
          <w:kern w:val="0"/>
          <w:sz w:val="28"/>
          <w:szCs w:val="28"/>
        </w:rPr>
      </w:pPr>
      <w:r>
        <w:rPr>
          <w:rFonts w:hint="eastAsia" w:ascii="宋体" w:hAnsi="宋体" w:cs="仿宋_GB2312"/>
          <w:spacing w:val="8"/>
          <w:kern w:val="0"/>
          <w:sz w:val="28"/>
          <w:szCs w:val="28"/>
        </w:rPr>
        <w:t>2018～2020年，铜仁市畜牧技术推广站在全省肉牛主产区、肉牛养殖企业、合作社等按照《山地肉牛标准化饲养技术规程》实行标准化饲养管理，不断总结经验。同时，标准起草人员不断向同行征求意见，对标准进行不断完善和修正，形成《山地肉牛标准化饲养技术规程》地方标准报批稿。</w:t>
      </w:r>
    </w:p>
    <w:p>
      <w:pPr>
        <w:spacing w:line="460" w:lineRule="atLeast"/>
        <w:ind w:firstLine="594" w:firstLineChars="200"/>
        <w:jc w:val="left"/>
        <w:rPr>
          <w:rFonts w:hint="eastAsia" w:ascii="宋体" w:hAnsi="宋体" w:cs="仿宋_GB2312"/>
          <w:b/>
          <w:spacing w:val="8"/>
          <w:kern w:val="0"/>
          <w:sz w:val="28"/>
          <w:szCs w:val="28"/>
        </w:rPr>
      </w:pPr>
      <w:r>
        <w:rPr>
          <w:rFonts w:hint="eastAsia" w:ascii="宋体" w:hAnsi="宋体" w:cs="仿宋_GB2312"/>
          <w:b/>
          <w:spacing w:val="8"/>
          <w:kern w:val="0"/>
          <w:sz w:val="28"/>
          <w:szCs w:val="28"/>
        </w:rPr>
        <w:t>4、主要起草人及其所做的工作</w:t>
      </w:r>
    </w:p>
    <w:p>
      <w:pPr>
        <w:spacing w:line="360" w:lineRule="auto"/>
        <w:ind w:left="17" w:leftChars="8" w:firstLine="592" w:firstLineChars="200"/>
        <w:rPr>
          <w:rFonts w:hint="eastAsia" w:ascii="宋体" w:hAnsi="宋体" w:cs="仿宋_GB2312"/>
          <w:spacing w:val="8"/>
          <w:kern w:val="0"/>
          <w:sz w:val="28"/>
          <w:szCs w:val="28"/>
        </w:rPr>
      </w:pPr>
      <w:r>
        <w:rPr>
          <w:rFonts w:hint="eastAsia" w:ascii="宋体" w:hAnsi="宋体" w:cs="仿宋_GB2312"/>
          <w:spacing w:val="8"/>
          <w:kern w:val="0"/>
          <w:sz w:val="28"/>
          <w:szCs w:val="28"/>
        </w:rPr>
        <w:t>任明晋：男，1978年生，土家族，本科，高级畜牧师，长期从事畜牧技术研究和推广工作， 发表论文10篇，编制企业标准1个，参与制订技术规程4个，获市科技奖2项、省丰收奖1项。标准起草工作负责人，全面主持统筹协调标准的编写工作。主要编制标准的范围、规范性引用文件、养殖场建设、饲料配方、日粮组成、饲养管理、疫病防控及杂交组合模式等编写工作。</w:t>
      </w:r>
    </w:p>
    <w:p>
      <w:pPr>
        <w:spacing w:line="360" w:lineRule="auto"/>
        <w:ind w:left="5645" w:leftChars="243" w:hanging="5135" w:hangingChars="1735"/>
        <w:jc w:val="left"/>
        <w:rPr>
          <w:rFonts w:hint="eastAsia" w:ascii="宋体" w:hAnsi="宋体" w:cs="仿宋_GB2312"/>
          <w:spacing w:val="8"/>
          <w:sz w:val="28"/>
          <w:szCs w:val="28"/>
        </w:rPr>
      </w:pPr>
      <w:r>
        <w:rPr>
          <w:rFonts w:hint="eastAsia" w:ascii="宋体" w:hAnsi="宋体" w:cs="仿宋_GB2312"/>
          <w:spacing w:val="8"/>
          <w:kern w:val="0"/>
          <w:sz w:val="28"/>
          <w:szCs w:val="28"/>
        </w:rPr>
        <w:t>雷荷仙：女，1979年生，汉族，硕士研究生，高级畜</w:t>
      </w:r>
      <w:r>
        <w:rPr>
          <w:rFonts w:hint="eastAsia" w:ascii="宋体" w:hAnsi="宋体" w:cs="仿宋_GB2312"/>
          <w:spacing w:val="8"/>
          <w:sz w:val="28"/>
          <w:szCs w:val="28"/>
        </w:rPr>
        <w:t>牧师，</w:t>
      </w:r>
    </w:p>
    <w:p>
      <w:pPr>
        <w:spacing w:line="360" w:lineRule="auto"/>
        <w:jc w:val="left"/>
        <w:rPr>
          <w:rFonts w:hint="eastAsia" w:ascii="宋体" w:hAnsi="宋体" w:cs="仿宋_GB2312"/>
          <w:spacing w:val="8"/>
          <w:sz w:val="28"/>
          <w:szCs w:val="28"/>
        </w:rPr>
      </w:pPr>
      <w:r>
        <w:rPr>
          <w:rFonts w:hint="eastAsia" w:ascii="宋体" w:hAnsi="宋体" w:cs="仿宋_GB2312"/>
          <w:spacing w:val="8"/>
          <w:sz w:val="28"/>
          <w:szCs w:val="28"/>
        </w:rPr>
        <w:t>长期从事种草养畜技术研究和推广工作， 发表论文18篇，获市科技奖4项、省丰收奖3项。主要协助编制标准的范围、规范性引用文件、养殖场建设、饲料配方、日粮组成、饲养管理、疫病防控及杂交组合模式等编写工作。</w:t>
      </w:r>
    </w:p>
    <w:p>
      <w:pPr>
        <w:spacing w:line="360" w:lineRule="auto"/>
        <w:ind w:firstLine="592" w:firstLineChars="200"/>
        <w:jc w:val="left"/>
        <w:rPr>
          <w:rFonts w:hint="eastAsia" w:ascii="宋体" w:hAnsi="宋体" w:cs="仿宋_GB2312"/>
          <w:spacing w:val="8"/>
          <w:sz w:val="28"/>
          <w:szCs w:val="28"/>
        </w:rPr>
      </w:pPr>
      <w:r>
        <w:rPr>
          <w:rFonts w:hint="eastAsia" w:ascii="宋体" w:hAnsi="宋体" w:cs="宋体"/>
          <w:spacing w:val="8"/>
          <w:kern w:val="0"/>
          <w:sz w:val="28"/>
          <w:szCs w:val="28"/>
        </w:rPr>
        <w:t>毛同辉：男，高级畜牧师，硕士，铜仁市畜牧技术推广站站长，长期从事畜牧技术研究和推广工作。</w:t>
      </w:r>
      <w:r>
        <w:rPr>
          <w:rFonts w:hint="eastAsia" w:ascii="宋体" w:hAnsi="宋体" w:cs="仿宋_GB2312"/>
          <w:spacing w:val="8"/>
          <w:sz w:val="28"/>
          <w:szCs w:val="28"/>
        </w:rPr>
        <w:t>主要协助编制标准的范围、规范性引用文件、养殖场建设、饲养管理、疫病防控及杂交组合模式等编写工作。</w:t>
      </w:r>
    </w:p>
    <w:p>
      <w:pPr>
        <w:spacing w:line="360" w:lineRule="auto"/>
        <w:ind w:firstLine="592" w:firstLineChars="200"/>
        <w:jc w:val="left"/>
        <w:rPr>
          <w:rFonts w:hint="eastAsia" w:ascii="宋体" w:hAnsi="宋体" w:cs="仿宋_GB2312"/>
          <w:spacing w:val="8"/>
          <w:kern w:val="0"/>
          <w:sz w:val="28"/>
          <w:szCs w:val="28"/>
        </w:rPr>
      </w:pPr>
      <w:r>
        <w:rPr>
          <w:rFonts w:hint="eastAsia"/>
          <w:spacing w:val="8"/>
          <w:sz w:val="28"/>
          <w:szCs w:val="28"/>
        </w:rPr>
        <w:t>张华琦：男，1974年生，汉族，江西吉安人，教授，博士，“西部之光”访问学者，贵州省高层次创新人才千层次人才。2010年毕业于华南农业大学动物营养与饲料科学专业，获博士学位，现为铜仁职业技术学院畜牧兽医专业教师，兼贵州梵净山农业高科技股份有限公司技术总监，主要研究方向为反刍动物营养、高档牛肉生产。主持国家级科研项目2项，贵州省科研项目3项。</w:t>
      </w:r>
      <w:r>
        <w:rPr>
          <w:rFonts w:hint="eastAsia" w:ascii="宋体" w:hAnsi="宋体" w:cs="仿宋_GB2312"/>
          <w:spacing w:val="8"/>
          <w:sz w:val="28"/>
          <w:szCs w:val="28"/>
        </w:rPr>
        <w:t>主要协助编制标准饲料配方、日粮组成等编写工作。</w:t>
      </w:r>
      <w:r>
        <w:rPr>
          <w:rFonts w:hint="eastAsia" w:ascii="宋体" w:hAnsi="宋体" w:cs="仿宋_GB2312"/>
          <w:spacing w:val="8"/>
          <w:kern w:val="0"/>
          <w:sz w:val="28"/>
          <w:szCs w:val="28"/>
        </w:rPr>
        <w:t xml:space="preserve">     </w:t>
      </w:r>
    </w:p>
    <w:p>
      <w:pPr>
        <w:spacing w:line="360" w:lineRule="auto"/>
        <w:ind w:firstLine="592" w:firstLineChars="200"/>
        <w:jc w:val="left"/>
        <w:rPr>
          <w:rFonts w:hint="eastAsia" w:ascii="宋体" w:hAnsi="宋体" w:cs="仿宋_GB2312"/>
          <w:spacing w:val="8"/>
          <w:sz w:val="28"/>
          <w:szCs w:val="28"/>
        </w:rPr>
      </w:pPr>
      <w:r>
        <w:rPr>
          <w:rFonts w:hint="eastAsia" w:ascii="宋体" w:hAnsi="宋体" w:cs="仿宋_GB2312"/>
          <w:spacing w:val="8"/>
          <w:sz w:val="28"/>
          <w:szCs w:val="28"/>
        </w:rPr>
        <w:t>龚俞：男，1984年生，汉族，高级畜牧师，硕士，长期从事畜牧技术研究和推广工作。已完成标准15项，贵州省高层次创新人才千层次人才。主要协助编制标准的范围、规范性引用文件、养殖场建设、饲料配方、日粮组成、饲养管理、疫病防控及杂交组合模式等编写工作。</w:t>
      </w:r>
    </w:p>
    <w:p>
      <w:pPr>
        <w:pStyle w:val="10"/>
        <w:spacing w:before="0" w:beforeAutospacing="0" w:after="0" w:afterAutospacing="0" w:line="460" w:lineRule="atLeast"/>
        <w:ind w:firstLine="592" w:firstLineChars="200"/>
        <w:rPr>
          <w:rFonts w:hint="eastAsia" w:cs="仿宋_GB2312"/>
          <w:spacing w:val="8"/>
          <w:sz w:val="28"/>
          <w:szCs w:val="28"/>
        </w:rPr>
      </w:pPr>
      <w:r>
        <w:rPr>
          <w:rFonts w:cs="仿宋_GB2312"/>
          <w:spacing w:val="8"/>
          <w:sz w:val="28"/>
          <w:szCs w:val="28"/>
        </w:rPr>
        <w:t>李华磊：女，1988年生，硕士研究生，高级畜牧师，发表论文19篇，参与制标5个，获市科技奖2项，省丰收奖1项。长期从事畜牧技术推广工作，主要负责标准的饲料配方、日粮组成、饲养管理等编写工作。</w:t>
      </w:r>
    </w:p>
    <w:p>
      <w:pPr>
        <w:spacing w:line="360" w:lineRule="auto"/>
        <w:ind w:left="5610" w:leftChars="275" w:hanging="5032" w:hangingChars="1700"/>
        <w:rPr>
          <w:rFonts w:hint="eastAsia" w:ascii="宋体" w:hAnsi="宋体" w:cs="仿宋_GB2312"/>
          <w:spacing w:val="8"/>
          <w:kern w:val="0"/>
          <w:sz w:val="28"/>
          <w:szCs w:val="28"/>
        </w:rPr>
      </w:pPr>
      <w:r>
        <w:rPr>
          <w:rFonts w:hint="eastAsia" w:ascii="宋体" w:hAnsi="宋体" w:cs="仿宋_GB2312"/>
          <w:spacing w:val="8"/>
          <w:kern w:val="0"/>
          <w:sz w:val="28"/>
          <w:szCs w:val="28"/>
        </w:rPr>
        <w:t>樊蓉：女，1985年生，侗族，畜牧师，本科，长期从</w:t>
      </w:r>
    </w:p>
    <w:p>
      <w:pPr>
        <w:spacing w:line="360" w:lineRule="auto"/>
        <w:rPr>
          <w:rFonts w:hint="eastAsia" w:ascii="宋体" w:hAnsi="宋体" w:cs="仿宋_GB2312"/>
          <w:spacing w:val="8"/>
          <w:kern w:val="0"/>
          <w:sz w:val="28"/>
          <w:szCs w:val="28"/>
        </w:rPr>
      </w:pPr>
      <w:r>
        <w:rPr>
          <w:rFonts w:hint="eastAsia" w:ascii="宋体" w:hAnsi="宋体" w:cs="仿宋_GB2312"/>
          <w:spacing w:val="8"/>
          <w:kern w:val="0"/>
          <w:sz w:val="28"/>
          <w:szCs w:val="28"/>
        </w:rPr>
        <w:t>事畜牧技术研究和推广工作。发表论文6篇，参与制标4项、获市科技奖3项，省丰收2项。主要协助编制养殖场建设、饲料配方、日粮组成、饲养管理、疫病防控及杂交组合模式等编写工作。</w:t>
      </w:r>
    </w:p>
    <w:p>
      <w:pPr>
        <w:spacing w:line="360" w:lineRule="auto"/>
        <w:ind w:firstLine="592" w:firstLineChars="200"/>
        <w:jc w:val="left"/>
        <w:rPr>
          <w:rFonts w:hint="eastAsia" w:ascii="宋体" w:hAnsi="宋体" w:cs="仿宋_GB2312"/>
          <w:spacing w:val="8"/>
          <w:kern w:val="0"/>
          <w:sz w:val="28"/>
          <w:szCs w:val="28"/>
        </w:rPr>
      </w:pPr>
      <w:r>
        <w:rPr>
          <w:rFonts w:hint="eastAsia" w:ascii="宋体" w:hAnsi="宋体" w:cs="仿宋_GB2312"/>
          <w:spacing w:val="8"/>
          <w:kern w:val="0"/>
          <w:sz w:val="28"/>
          <w:szCs w:val="28"/>
        </w:rPr>
        <w:t>张前卫：男，1969年生，大专，高级畜牧师，发表论文7篇，获市科技奖8项、省丰收奖12项。长期从事基层畜牧技术研究和推广工作。主要负责标准的养殖场建设、饲料配方、日粮组成、饲养管理、疫病防控及杂交组合模式等编写工作。</w:t>
      </w:r>
    </w:p>
    <w:p>
      <w:pPr>
        <w:spacing w:line="360" w:lineRule="auto"/>
        <w:ind w:firstLine="592" w:firstLineChars="200"/>
        <w:jc w:val="left"/>
        <w:rPr>
          <w:rFonts w:hint="eastAsia" w:ascii="宋体" w:hAnsi="宋体" w:cs="仿宋_GB2312"/>
          <w:spacing w:val="8"/>
          <w:kern w:val="0"/>
          <w:sz w:val="28"/>
          <w:szCs w:val="28"/>
        </w:rPr>
      </w:pPr>
      <w:r>
        <w:rPr>
          <w:rFonts w:hint="eastAsia" w:ascii="宋体" w:hAnsi="宋体" w:cs="仿宋_GB2312"/>
          <w:spacing w:val="8"/>
          <w:kern w:val="0"/>
          <w:sz w:val="28"/>
          <w:szCs w:val="28"/>
        </w:rPr>
        <w:t>吴娟：女，1971年生，高级畜牧师，大专，参与制订发布标准4个，获市科技奖2项、省丰收奖2项，发表论文5篇。长期从事基层畜牧技术研究和推广工作。主要负责标准的生产性能、肉用性能、繁殖性能、役用性能测定及资料收集等工作。</w:t>
      </w:r>
    </w:p>
    <w:p>
      <w:pPr>
        <w:spacing w:line="360" w:lineRule="auto"/>
        <w:ind w:firstLine="594" w:firstLineChars="200"/>
        <w:jc w:val="left"/>
        <w:rPr>
          <w:rFonts w:hint="eastAsia" w:ascii="仿宋_GB2312" w:hAnsi="仿宋_GB2312" w:eastAsia="仿宋_GB2312" w:cs="仿宋_GB2312"/>
          <w:b/>
          <w:spacing w:val="8"/>
          <w:kern w:val="0"/>
          <w:sz w:val="28"/>
          <w:szCs w:val="28"/>
        </w:rPr>
      </w:pPr>
      <w:r>
        <w:rPr>
          <w:rFonts w:hint="eastAsia" w:ascii="仿宋_GB2312" w:hAnsi="仿宋_GB2312" w:eastAsia="仿宋_GB2312" w:cs="仿宋_GB2312"/>
          <w:b/>
          <w:spacing w:val="8"/>
          <w:kern w:val="0"/>
          <w:sz w:val="28"/>
          <w:szCs w:val="28"/>
        </w:rPr>
        <w:t>三、标准编制原则和主要参考依据</w:t>
      </w:r>
    </w:p>
    <w:p>
      <w:pPr>
        <w:spacing w:line="360" w:lineRule="auto"/>
        <w:ind w:firstLine="592" w:firstLineChars="200"/>
        <w:jc w:val="left"/>
        <w:rPr>
          <w:rFonts w:hint="eastAsia" w:ascii="宋体" w:hAnsi="宋体" w:cs="仿宋_GB2312"/>
          <w:spacing w:val="8"/>
          <w:kern w:val="0"/>
          <w:sz w:val="28"/>
          <w:szCs w:val="28"/>
        </w:rPr>
      </w:pPr>
      <w:r>
        <w:rPr>
          <w:rFonts w:hint="eastAsia" w:ascii="宋体" w:hAnsi="宋体" w:cs="仿宋_GB2312"/>
          <w:spacing w:val="8"/>
          <w:kern w:val="0"/>
          <w:sz w:val="28"/>
          <w:szCs w:val="28"/>
        </w:rPr>
        <w:t>1、标准编制原则</w:t>
      </w:r>
    </w:p>
    <w:p>
      <w:pPr>
        <w:spacing w:line="360" w:lineRule="auto"/>
        <w:ind w:firstLine="592" w:firstLineChars="200"/>
        <w:jc w:val="left"/>
        <w:rPr>
          <w:rFonts w:hint="eastAsia" w:ascii="宋体" w:hAnsi="宋体" w:cs="仿宋_GB2312"/>
          <w:spacing w:val="8"/>
          <w:kern w:val="0"/>
          <w:sz w:val="28"/>
          <w:szCs w:val="28"/>
        </w:rPr>
      </w:pPr>
      <w:r>
        <w:rPr>
          <w:rFonts w:hint="eastAsia" w:ascii="宋体" w:hAnsi="宋体" w:cs="仿宋_GB2312"/>
          <w:spacing w:val="8"/>
          <w:kern w:val="0"/>
          <w:sz w:val="28"/>
          <w:szCs w:val="28"/>
        </w:rPr>
        <w:t>（1）适用性：本标准结合山地肉牛生产实际，对山地肉牛的养殖场建设、引种、繁殖技术、饲料配方、饲养管理、疫病防控、资料管理、肉牛出栏标准进行了规定，适用于贵州山地的肉牛养殖场、合作社及养殖大户进行标准化肉牛养殖。</w:t>
      </w:r>
    </w:p>
    <w:p>
      <w:pPr>
        <w:spacing w:line="360" w:lineRule="auto"/>
        <w:ind w:firstLine="592" w:firstLineChars="200"/>
        <w:jc w:val="left"/>
        <w:rPr>
          <w:rFonts w:hint="eastAsia" w:ascii="宋体" w:hAnsi="宋体" w:cs="仿宋_GB2312"/>
          <w:spacing w:val="8"/>
          <w:sz w:val="28"/>
          <w:szCs w:val="28"/>
        </w:rPr>
      </w:pPr>
      <w:r>
        <w:rPr>
          <w:rFonts w:hint="eastAsia" w:ascii="宋体" w:hAnsi="宋体" w:cs="仿宋_GB2312"/>
          <w:spacing w:val="8"/>
          <w:sz w:val="28"/>
          <w:szCs w:val="28"/>
        </w:rPr>
        <w:t>（2）先进性：编写组成员在对贵州山地肉牛产业调查研究的基础上，借鉴国内外同类技术标准，积极地把先进技术纳入标准。</w:t>
      </w:r>
    </w:p>
    <w:p>
      <w:pPr>
        <w:spacing w:line="360" w:lineRule="auto"/>
        <w:ind w:firstLine="592" w:firstLineChars="200"/>
        <w:jc w:val="left"/>
        <w:rPr>
          <w:rFonts w:hint="eastAsia" w:ascii="宋体" w:hAnsi="宋体" w:cs="仿宋_GB2312"/>
          <w:spacing w:val="8"/>
          <w:sz w:val="28"/>
          <w:szCs w:val="28"/>
        </w:rPr>
      </w:pPr>
      <w:r>
        <w:rPr>
          <w:rFonts w:hint="eastAsia" w:ascii="宋体" w:hAnsi="宋体" w:cs="仿宋_GB2312"/>
          <w:spacing w:val="8"/>
          <w:sz w:val="28"/>
          <w:szCs w:val="28"/>
        </w:rPr>
        <w:t>（3）统一性和协调性：本标准编制过程中查阅了国内相关法律法规和相关技术标准，必要时引用相关标准中的某些条款，避免与法律法规、相关标准之间出现矛盾，给本标准的实施造成困难。</w:t>
      </w:r>
    </w:p>
    <w:p>
      <w:pPr>
        <w:spacing w:line="360" w:lineRule="auto"/>
        <w:ind w:firstLine="592" w:firstLineChars="200"/>
        <w:jc w:val="left"/>
        <w:rPr>
          <w:rFonts w:hint="eastAsia" w:ascii="仿宋_GB2312" w:hAnsi="仿宋_GB2312" w:eastAsia="仿宋_GB2312" w:cs="仿宋_GB2312"/>
          <w:b/>
          <w:spacing w:val="8"/>
          <w:kern w:val="0"/>
          <w:sz w:val="28"/>
          <w:szCs w:val="28"/>
        </w:rPr>
      </w:pPr>
      <w:r>
        <w:rPr>
          <w:rFonts w:hint="eastAsia" w:ascii="宋体" w:hAnsi="宋体" w:cs="仿宋_GB2312"/>
          <w:spacing w:val="8"/>
          <w:kern w:val="0"/>
          <w:sz w:val="28"/>
          <w:szCs w:val="28"/>
        </w:rPr>
        <w:t>（4）规范性：本标准按照《GB/T 1.1-2009 标准化工作导则 第1部分：标准的结构和编写》给出的规则起草而成。</w:t>
      </w:r>
    </w:p>
    <w:p>
      <w:pPr>
        <w:spacing w:line="360" w:lineRule="auto"/>
        <w:ind w:firstLine="594" w:firstLineChars="200"/>
        <w:jc w:val="left"/>
        <w:rPr>
          <w:rFonts w:hint="eastAsia" w:ascii="宋体" w:hAnsi="宋体" w:cs="仿宋_GB2312"/>
          <w:b/>
          <w:spacing w:val="8"/>
          <w:kern w:val="0"/>
          <w:sz w:val="28"/>
          <w:szCs w:val="28"/>
        </w:rPr>
      </w:pPr>
      <w:r>
        <w:rPr>
          <w:rFonts w:hint="eastAsia" w:ascii="宋体" w:hAnsi="宋体" w:cs="仿宋_GB2312"/>
          <w:b/>
          <w:spacing w:val="8"/>
          <w:kern w:val="0"/>
          <w:sz w:val="28"/>
          <w:szCs w:val="28"/>
        </w:rPr>
        <w:t>2、标准编制主要参考依据</w:t>
      </w:r>
    </w:p>
    <w:p>
      <w:pPr>
        <w:spacing w:line="560" w:lineRule="exact"/>
        <w:ind w:firstLine="592" w:firstLineChars="200"/>
        <w:rPr>
          <w:rFonts w:hint="eastAsia" w:ascii="宋体" w:hAnsi="宋体" w:cs="仿宋_GB2312"/>
          <w:spacing w:val="8"/>
          <w:kern w:val="0"/>
          <w:sz w:val="28"/>
          <w:szCs w:val="28"/>
        </w:rPr>
      </w:pPr>
      <w:r>
        <w:rPr>
          <w:rFonts w:hint="eastAsia" w:ascii="宋体" w:hAnsi="宋体" w:cs="仿宋_GB2312"/>
          <w:spacing w:val="8"/>
          <w:kern w:val="0"/>
          <w:sz w:val="28"/>
          <w:szCs w:val="28"/>
        </w:rPr>
        <w:t>（1）本标准编制参考了国内相关标准，下列文件中的条款通过本标准的引用而成为本标准的条款。</w:t>
      </w:r>
    </w:p>
    <w:p>
      <w:pPr>
        <w:pStyle w:val="20"/>
        <w:spacing w:line="500" w:lineRule="exact"/>
        <w:ind w:firstLine="560"/>
        <w:rPr>
          <w:rFonts w:hAnsi="宋体" w:cs="宋体"/>
          <w:sz w:val="28"/>
          <w:szCs w:val="28"/>
        </w:rPr>
      </w:pPr>
      <w:r>
        <w:rPr>
          <w:rFonts w:hAnsi="宋体" w:cs="宋体"/>
          <w:sz w:val="28"/>
          <w:szCs w:val="28"/>
        </w:rPr>
        <w:t xml:space="preserve">GB 3095  </w:t>
      </w:r>
      <w:r>
        <w:rPr>
          <w:rFonts w:hint="eastAsia" w:hAnsi="宋体" w:cs="宋体"/>
          <w:sz w:val="28"/>
          <w:szCs w:val="28"/>
        </w:rPr>
        <w:t>环境空气质量标准</w:t>
      </w:r>
    </w:p>
    <w:p>
      <w:pPr>
        <w:pStyle w:val="20"/>
        <w:spacing w:line="500" w:lineRule="exact"/>
        <w:ind w:firstLine="560"/>
        <w:rPr>
          <w:rFonts w:hAnsi="宋体" w:cs="宋体"/>
          <w:sz w:val="28"/>
          <w:szCs w:val="28"/>
        </w:rPr>
      </w:pPr>
      <w:r>
        <w:rPr>
          <w:rFonts w:hAnsi="宋体" w:cs="宋体"/>
          <w:sz w:val="28"/>
          <w:szCs w:val="28"/>
        </w:rPr>
        <w:t xml:space="preserve">GB 13078  </w:t>
      </w:r>
      <w:r>
        <w:rPr>
          <w:rFonts w:hint="eastAsia" w:hAnsi="宋体" w:cs="宋体"/>
          <w:sz w:val="28"/>
          <w:szCs w:val="28"/>
        </w:rPr>
        <w:t>饲料卫生标准</w:t>
      </w:r>
    </w:p>
    <w:p>
      <w:pPr>
        <w:pStyle w:val="20"/>
        <w:spacing w:line="500" w:lineRule="exact"/>
        <w:ind w:firstLine="560"/>
        <w:rPr>
          <w:rFonts w:hAnsi="宋体" w:cs="宋体"/>
          <w:sz w:val="28"/>
          <w:szCs w:val="28"/>
        </w:rPr>
      </w:pPr>
      <w:r>
        <w:rPr>
          <w:rFonts w:hAnsi="宋体" w:cs="宋体"/>
          <w:sz w:val="28"/>
          <w:szCs w:val="28"/>
        </w:rPr>
        <w:t>GB 15618 </w:t>
      </w:r>
      <w:r>
        <w:rPr>
          <w:rFonts w:hint="eastAsia" w:hAnsi="宋体" w:cs="宋体"/>
          <w:sz w:val="28"/>
          <w:szCs w:val="28"/>
        </w:rPr>
        <w:t>土壤环境质量标准</w:t>
      </w:r>
    </w:p>
    <w:p>
      <w:pPr>
        <w:pStyle w:val="20"/>
        <w:spacing w:line="500" w:lineRule="exact"/>
        <w:ind w:firstLine="560"/>
        <w:rPr>
          <w:rFonts w:hAnsi="宋体" w:cs="宋体"/>
          <w:sz w:val="28"/>
          <w:szCs w:val="28"/>
        </w:rPr>
      </w:pPr>
      <w:r>
        <w:rPr>
          <w:rFonts w:hAnsi="宋体" w:cs="宋体"/>
          <w:sz w:val="28"/>
          <w:szCs w:val="28"/>
        </w:rPr>
        <w:t xml:space="preserve">GB 18596  </w:t>
      </w:r>
      <w:r>
        <w:rPr>
          <w:rFonts w:hint="eastAsia" w:hAnsi="宋体" w:cs="宋体"/>
          <w:sz w:val="28"/>
          <w:szCs w:val="28"/>
        </w:rPr>
        <w:t>畜禽养殖污染物排放标准</w:t>
      </w:r>
    </w:p>
    <w:p>
      <w:pPr>
        <w:pStyle w:val="20"/>
        <w:spacing w:line="500" w:lineRule="exact"/>
        <w:ind w:firstLine="560"/>
        <w:rPr>
          <w:rFonts w:hAnsi="宋体" w:cs="宋体"/>
          <w:sz w:val="28"/>
          <w:szCs w:val="28"/>
        </w:rPr>
      </w:pPr>
      <w:r>
        <w:rPr>
          <w:rFonts w:hAnsi="宋体" w:cs="宋体"/>
          <w:sz w:val="28"/>
          <w:szCs w:val="28"/>
        </w:rPr>
        <w:t xml:space="preserve">GB/T 19166  </w:t>
      </w:r>
      <w:r>
        <w:rPr>
          <w:rFonts w:hint="eastAsia" w:hAnsi="宋体" w:cs="宋体"/>
          <w:sz w:val="28"/>
          <w:szCs w:val="28"/>
        </w:rPr>
        <w:t>中国西门塔尔牛</w:t>
      </w:r>
    </w:p>
    <w:p>
      <w:pPr>
        <w:pStyle w:val="20"/>
        <w:spacing w:line="500" w:lineRule="exact"/>
        <w:ind w:firstLine="560"/>
        <w:rPr>
          <w:rFonts w:hAnsi="宋体" w:cs="宋体"/>
          <w:sz w:val="28"/>
          <w:szCs w:val="28"/>
        </w:rPr>
      </w:pPr>
      <w:r>
        <w:rPr>
          <w:rFonts w:hAnsi="宋体" w:cs="宋体"/>
          <w:sz w:val="28"/>
          <w:szCs w:val="28"/>
        </w:rPr>
        <w:t xml:space="preserve">GB/T 19374  </w:t>
      </w:r>
      <w:r>
        <w:rPr>
          <w:rFonts w:hint="eastAsia" w:hAnsi="宋体" w:cs="宋体"/>
          <w:sz w:val="28"/>
          <w:szCs w:val="28"/>
        </w:rPr>
        <w:t>夏洛来种牛</w:t>
      </w:r>
    </w:p>
    <w:p>
      <w:pPr>
        <w:pStyle w:val="20"/>
        <w:spacing w:line="500" w:lineRule="exact"/>
        <w:ind w:firstLine="560"/>
        <w:rPr>
          <w:rFonts w:hAnsi="宋体" w:cs="宋体"/>
          <w:sz w:val="28"/>
          <w:szCs w:val="28"/>
        </w:rPr>
      </w:pPr>
      <w:r>
        <w:rPr>
          <w:rFonts w:hAnsi="宋体" w:cs="宋体"/>
          <w:sz w:val="28"/>
          <w:szCs w:val="28"/>
        </w:rPr>
        <w:t xml:space="preserve">GB/T 19375  </w:t>
      </w:r>
      <w:r>
        <w:rPr>
          <w:rFonts w:hint="eastAsia" w:hAnsi="宋体" w:cs="宋体"/>
          <w:sz w:val="28"/>
          <w:szCs w:val="28"/>
        </w:rPr>
        <w:t>利木赞种牛</w:t>
      </w:r>
    </w:p>
    <w:p>
      <w:pPr>
        <w:pStyle w:val="20"/>
        <w:spacing w:line="500" w:lineRule="exact"/>
        <w:ind w:firstLine="560"/>
        <w:rPr>
          <w:rFonts w:hAnsi="宋体" w:cs="宋体"/>
          <w:sz w:val="28"/>
          <w:szCs w:val="28"/>
        </w:rPr>
      </w:pPr>
      <w:r>
        <w:rPr>
          <w:rFonts w:hAnsi="宋体" w:cs="宋体"/>
          <w:sz w:val="28"/>
          <w:szCs w:val="28"/>
        </w:rPr>
        <w:t xml:space="preserve">NY/T 388  </w:t>
      </w:r>
      <w:r>
        <w:rPr>
          <w:rFonts w:hint="eastAsia" w:hAnsi="宋体" w:cs="宋体"/>
          <w:sz w:val="28"/>
          <w:szCs w:val="28"/>
        </w:rPr>
        <w:t>畜禽场环境质量标准</w:t>
      </w:r>
    </w:p>
    <w:p>
      <w:pPr>
        <w:pStyle w:val="20"/>
        <w:spacing w:line="500" w:lineRule="exact"/>
        <w:ind w:firstLine="560"/>
        <w:rPr>
          <w:rFonts w:hint="eastAsia" w:hAnsi="宋体" w:cs="宋体"/>
          <w:sz w:val="28"/>
          <w:szCs w:val="28"/>
        </w:rPr>
      </w:pPr>
      <w:r>
        <w:rPr>
          <w:rFonts w:hAnsi="宋体" w:cs="宋体"/>
          <w:sz w:val="28"/>
          <w:szCs w:val="28"/>
        </w:rPr>
        <w:t xml:space="preserve">NY/T </w:t>
      </w:r>
      <w:r>
        <w:rPr>
          <w:rFonts w:hint="eastAsia" w:hAnsi="宋体" w:cs="宋体"/>
          <w:sz w:val="28"/>
          <w:szCs w:val="28"/>
        </w:rPr>
        <w:t>1335  牛人工授精技术规程</w:t>
      </w:r>
    </w:p>
    <w:p>
      <w:pPr>
        <w:pStyle w:val="20"/>
        <w:spacing w:line="500" w:lineRule="exact"/>
        <w:ind w:firstLine="560"/>
        <w:rPr>
          <w:rFonts w:hAnsi="宋体" w:cs="宋体"/>
          <w:sz w:val="28"/>
          <w:szCs w:val="28"/>
        </w:rPr>
      </w:pPr>
      <w:r>
        <w:rPr>
          <w:rFonts w:hAnsi="宋体" w:cs="宋体"/>
          <w:sz w:val="28"/>
          <w:szCs w:val="28"/>
        </w:rPr>
        <w:t xml:space="preserve">NY/T 2696  </w:t>
      </w:r>
      <w:r>
        <w:rPr>
          <w:rFonts w:hint="eastAsia" w:hAnsi="宋体" w:cs="宋体"/>
          <w:sz w:val="28"/>
          <w:szCs w:val="28"/>
        </w:rPr>
        <w:t>饲草青贮技术规程</w:t>
      </w:r>
    </w:p>
    <w:p>
      <w:pPr>
        <w:pStyle w:val="20"/>
        <w:spacing w:line="500" w:lineRule="exact"/>
        <w:ind w:firstLine="560"/>
        <w:rPr>
          <w:rFonts w:hAnsi="宋体" w:cs="宋体"/>
          <w:sz w:val="28"/>
          <w:szCs w:val="28"/>
        </w:rPr>
      </w:pPr>
      <w:r>
        <w:rPr>
          <w:rFonts w:hAnsi="宋体" w:cs="宋体"/>
          <w:sz w:val="28"/>
          <w:szCs w:val="28"/>
        </w:rPr>
        <w:t xml:space="preserve">NY 5027  </w:t>
      </w:r>
      <w:r>
        <w:rPr>
          <w:rFonts w:hint="eastAsia" w:hAnsi="宋体" w:cs="宋体"/>
          <w:sz w:val="28"/>
          <w:szCs w:val="28"/>
        </w:rPr>
        <w:t>无公害食品</w:t>
      </w:r>
      <w:r>
        <w:rPr>
          <w:rFonts w:hAnsi="宋体" w:cs="宋体"/>
          <w:sz w:val="28"/>
          <w:szCs w:val="28"/>
        </w:rPr>
        <w:t xml:space="preserve"> </w:t>
      </w:r>
      <w:r>
        <w:rPr>
          <w:rFonts w:hint="eastAsia" w:hAnsi="宋体" w:cs="宋体"/>
          <w:sz w:val="28"/>
          <w:szCs w:val="28"/>
        </w:rPr>
        <w:t>畜禽饮用水水质</w:t>
      </w:r>
    </w:p>
    <w:p>
      <w:pPr>
        <w:pStyle w:val="20"/>
        <w:spacing w:line="500" w:lineRule="exact"/>
        <w:ind w:firstLine="560"/>
        <w:rPr>
          <w:rFonts w:hAnsi="宋体" w:cs="宋体"/>
          <w:sz w:val="28"/>
          <w:szCs w:val="28"/>
        </w:rPr>
      </w:pPr>
      <w:r>
        <w:rPr>
          <w:rFonts w:hAnsi="宋体" w:cs="宋体"/>
          <w:sz w:val="28"/>
          <w:szCs w:val="28"/>
        </w:rPr>
        <w:t xml:space="preserve">NY/T 5030  </w:t>
      </w:r>
      <w:r>
        <w:rPr>
          <w:rFonts w:hint="eastAsia" w:hAnsi="宋体" w:cs="宋体"/>
          <w:sz w:val="28"/>
          <w:szCs w:val="28"/>
        </w:rPr>
        <w:t>无公害农产品</w:t>
      </w:r>
      <w:r>
        <w:rPr>
          <w:rFonts w:hAnsi="宋体" w:cs="宋体"/>
          <w:sz w:val="28"/>
          <w:szCs w:val="28"/>
        </w:rPr>
        <w:t xml:space="preserve"> </w:t>
      </w:r>
      <w:r>
        <w:rPr>
          <w:rFonts w:hint="eastAsia" w:hAnsi="宋体" w:cs="宋体"/>
          <w:sz w:val="28"/>
          <w:szCs w:val="28"/>
        </w:rPr>
        <w:t>兽药使用准则</w:t>
      </w:r>
    </w:p>
    <w:p>
      <w:pPr>
        <w:pStyle w:val="20"/>
        <w:spacing w:line="500" w:lineRule="exact"/>
        <w:ind w:firstLine="560"/>
        <w:rPr>
          <w:rFonts w:hAnsi="宋体" w:cs="宋体"/>
          <w:sz w:val="28"/>
          <w:szCs w:val="28"/>
        </w:rPr>
      </w:pPr>
      <w:r>
        <w:rPr>
          <w:rFonts w:hAnsi="宋体" w:cs="宋体"/>
          <w:sz w:val="28"/>
          <w:szCs w:val="28"/>
        </w:rPr>
        <w:t xml:space="preserve">NY 5032  </w:t>
      </w:r>
      <w:r>
        <w:rPr>
          <w:rFonts w:hint="eastAsia" w:hAnsi="宋体" w:cs="宋体"/>
          <w:sz w:val="28"/>
          <w:szCs w:val="28"/>
        </w:rPr>
        <w:t>无公害食品</w:t>
      </w:r>
      <w:r>
        <w:rPr>
          <w:rFonts w:hAnsi="宋体" w:cs="宋体"/>
          <w:sz w:val="28"/>
          <w:szCs w:val="28"/>
        </w:rPr>
        <w:t xml:space="preserve"> </w:t>
      </w:r>
      <w:r>
        <w:rPr>
          <w:rFonts w:hint="eastAsia" w:hAnsi="宋体" w:cs="宋体"/>
          <w:sz w:val="28"/>
          <w:szCs w:val="28"/>
        </w:rPr>
        <w:t>畜禽饲料和饲料添加剂使用准则</w:t>
      </w:r>
    </w:p>
    <w:p>
      <w:pPr>
        <w:pStyle w:val="20"/>
        <w:spacing w:line="500" w:lineRule="exact"/>
        <w:ind w:firstLine="560"/>
        <w:rPr>
          <w:rFonts w:hint="eastAsia" w:hAnsi="宋体" w:cs="宋体"/>
          <w:sz w:val="28"/>
          <w:szCs w:val="28"/>
        </w:rPr>
      </w:pPr>
      <w:r>
        <w:rPr>
          <w:rFonts w:hAnsi="宋体" w:cs="宋体"/>
          <w:sz w:val="28"/>
          <w:szCs w:val="28"/>
        </w:rPr>
        <w:t xml:space="preserve">NY/T 5339  </w:t>
      </w:r>
      <w:r>
        <w:rPr>
          <w:rFonts w:hint="eastAsia" w:hAnsi="宋体" w:cs="宋体"/>
          <w:sz w:val="28"/>
          <w:szCs w:val="28"/>
        </w:rPr>
        <w:t>无公害农产品</w:t>
      </w:r>
      <w:r>
        <w:rPr>
          <w:rFonts w:hAnsi="宋体" w:cs="宋体"/>
          <w:sz w:val="28"/>
          <w:szCs w:val="28"/>
        </w:rPr>
        <w:t xml:space="preserve"> </w:t>
      </w:r>
      <w:r>
        <w:rPr>
          <w:rFonts w:hint="eastAsia" w:hAnsi="宋体" w:cs="宋体"/>
          <w:sz w:val="28"/>
          <w:szCs w:val="28"/>
        </w:rPr>
        <w:t>畜禽防疫准则</w:t>
      </w:r>
    </w:p>
    <w:p>
      <w:pPr>
        <w:pStyle w:val="20"/>
        <w:spacing w:line="500" w:lineRule="exact"/>
        <w:ind w:firstLine="560"/>
        <w:rPr>
          <w:rFonts w:hint="eastAsia" w:hAnsi="宋体" w:cs="宋体"/>
          <w:sz w:val="28"/>
          <w:szCs w:val="28"/>
        </w:rPr>
      </w:pPr>
      <w:r>
        <w:rPr>
          <w:rFonts w:hAnsi="宋体" w:cs="宋体"/>
          <w:sz w:val="28"/>
          <w:szCs w:val="28"/>
        </w:rPr>
        <w:t xml:space="preserve">SN/T 1691  </w:t>
      </w:r>
      <w:r>
        <w:rPr>
          <w:rFonts w:hint="eastAsia" w:hAnsi="宋体" w:cs="宋体"/>
          <w:sz w:val="28"/>
          <w:szCs w:val="28"/>
        </w:rPr>
        <w:t>进出境种牛检验检疫操作规程</w:t>
      </w:r>
    </w:p>
    <w:p>
      <w:pPr>
        <w:spacing w:line="500" w:lineRule="exact"/>
        <w:ind w:firstLine="560" w:firstLineChars="200"/>
        <w:rPr>
          <w:rFonts w:ascii="宋体" w:cs="宋体"/>
          <w:kern w:val="0"/>
          <w:sz w:val="28"/>
          <w:szCs w:val="28"/>
          <w:highlight w:val="yellow"/>
        </w:rPr>
      </w:pPr>
      <w:r>
        <w:rPr>
          <w:rFonts w:hint="eastAsia" w:ascii="宋体" w:hAnsi="宋体" w:cs="宋体"/>
          <w:sz w:val="28"/>
          <w:szCs w:val="28"/>
        </w:rPr>
        <w:t>中华人民共和国农业部公告</w:t>
      </w:r>
      <w:r>
        <w:rPr>
          <w:rFonts w:ascii="宋体" w:hAnsi="宋体" w:cs="宋体"/>
          <w:sz w:val="28"/>
          <w:szCs w:val="28"/>
        </w:rPr>
        <w:t xml:space="preserve"> </w:t>
      </w:r>
      <w:r>
        <w:rPr>
          <w:rFonts w:hint="eastAsia" w:ascii="宋体" w:hAnsi="宋体" w:cs="宋体"/>
          <w:sz w:val="28"/>
          <w:szCs w:val="28"/>
        </w:rPr>
        <w:t>第</w:t>
      </w:r>
      <w:r>
        <w:rPr>
          <w:rFonts w:ascii="宋体" w:hAnsi="宋体" w:cs="宋体"/>
          <w:sz w:val="28"/>
          <w:szCs w:val="28"/>
        </w:rPr>
        <w:t>168</w:t>
      </w:r>
      <w:r>
        <w:rPr>
          <w:rFonts w:hint="eastAsia" w:ascii="宋体" w:hAnsi="宋体" w:cs="宋体"/>
          <w:sz w:val="28"/>
          <w:szCs w:val="28"/>
        </w:rPr>
        <w:t>号《饲料药物添加剂使用规范》。</w:t>
      </w:r>
    </w:p>
    <w:p>
      <w:pPr>
        <w:pStyle w:val="20"/>
        <w:spacing w:line="500" w:lineRule="exact"/>
        <w:ind w:firstLine="560"/>
        <w:rPr>
          <w:rFonts w:hAnsi="宋体" w:cs="宋体"/>
          <w:sz w:val="28"/>
          <w:szCs w:val="28"/>
        </w:rPr>
      </w:pPr>
      <w:r>
        <w:rPr>
          <w:rFonts w:hint="eastAsia" w:hAnsi="宋体" w:cs="宋体"/>
          <w:sz w:val="28"/>
          <w:szCs w:val="28"/>
        </w:rPr>
        <w:t>中华人民共和国农业部公告</w:t>
      </w:r>
      <w:r>
        <w:rPr>
          <w:rFonts w:hAnsi="宋体" w:cs="宋体"/>
          <w:sz w:val="28"/>
          <w:szCs w:val="28"/>
        </w:rPr>
        <w:t xml:space="preserve"> </w:t>
      </w:r>
      <w:r>
        <w:rPr>
          <w:rFonts w:hint="eastAsia" w:hAnsi="宋体" w:cs="宋体"/>
          <w:sz w:val="28"/>
          <w:szCs w:val="28"/>
        </w:rPr>
        <w:t>第</w:t>
      </w:r>
      <w:r>
        <w:rPr>
          <w:rFonts w:hAnsi="宋体" w:cs="宋体"/>
          <w:sz w:val="28"/>
          <w:szCs w:val="28"/>
        </w:rPr>
        <w:t>2625</w:t>
      </w:r>
      <w:r>
        <w:rPr>
          <w:rFonts w:hint="eastAsia" w:hAnsi="宋体" w:cs="宋体"/>
          <w:sz w:val="28"/>
          <w:szCs w:val="28"/>
        </w:rPr>
        <w:t>号</w:t>
      </w:r>
      <w:r>
        <w:rPr>
          <w:rFonts w:hAnsi="宋体" w:cs="宋体"/>
          <w:sz w:val="28"/>
          <w:szCs w:val="28"/>
        </w:rPr>
        <w:t xml:space="preserve"> </w:t>
      </w:r>
      <w:r>
        <w:rPr>
          <w:rFonts w:hint="eastAsia" w:hAnsi="宋体" w:cs="宋体"/>
          <w:sz w:val="28"/>
          <w:szCs w:val="28"/>
        </w:rPr>
        <w:t>《饲料添加剂安全使用规范》</w:t>
      </w:r>
    </w:p>
    <w:p>
      <w:pPr>
        <w:pStyle w:val="20"/>
        <w:spacing w:line="500" w:lineRule="exact"/>
        <w:ind w:firstLine="560"/>
        <w:rPr>
          <w:rFonts w:hAnsi="宋体" w:cs="宋体"/>
          <w:sz w:val="28"/>
          <w:szCs w:val="28"/>
        </w:rPr>
      </w:pPr>
      <w:r>
        <w:rPr>
          <w:rFonts w:hint="eastAsia" w:hAnsi="宋体" w:cs="宋体"/>
          <w:sz w:val="28"/>
          <w:szCs w:val="28"/>
        </w:rPr>
        <w:t>中国人民共和国农业部公告</w:t>
      </w:r>
      <w:r>
        <w:rPr>
          <w:rFonts w:hAnsi="宋体" w:cs="宋体"/>
          <w:sz w:val="28"/>
          <w:szCs w:val="28"/>
        </w:rPr>
        <w:t xml:space="preserve">  2017</w:t>
      </w:r>
      <w:r>
        <w:rPr>
          <w:rFonts w:hint="eastAsia" w:hAnsi="宋体" w:cs="宋体"/>
          <w:sz w:val="28"/>
          <w:szCs w:val="28"/>
        </w:rPr>
        <w:t>年第</w:t>
      </w:r>
      <w:r>
        <w:rPr>
          <w:rFonts w:hAnsi="宋体" w:cs="宋体"/>
          <w:sz w:val="28"/>
          <w:szCs w:val="28"/>
        </w:rPr>
        <w:t>25</w:t>
      </w:r>
      <w:r>
        <w:rPr>
          <w:rFonts w:hint="eastAsia" w:hAnsi="宋体" w:cs="宋体"/>
          <w:sz w:val="28"/>
          <w:szCs w:val="28"/>
        </w:rPr>
        <w:t>号《病死及病害动物无害化处理技术规范》</w:t>
      </w:r>
    </w:p>
    <w:p>
      <w:pPr>
        <w:pStyle w:val="20"/>
        <w:spacing w:line="500" w:lineRule="exact"/>
        <w:ind w:firstLine="560"/>
        <w:rPr>
          <w:rFonts w:hAnsi="宋体" w:cs="宋体"/>
          <w:sz w:val="28"/>
          <w:szCs w:val="28"/>
        </w:rPr>
      </w:pPr>
      <w:r>
        <w:rPr>
          <w:rFonts w:hint="eastAsia" w:hAnsi="宋体" w:cs="宋体"/>
          <w:sz w:val="28"/>
          <w:szCs w:val="28"/>
        </w:rPr>
        <w:t>中国人民共和国农业部公告</w:t>
      </w:r>
      <w:r>
        <w:rPr>
          <w:rFonts w:hAnsi="宋体" w:cs="宋体"/>
          <w:sz w:val="28"/>
          <w:szCs w:val="28"/>
        </w:rPr>
        <w:t xml:space="preserve">  2004</w:t>
      </w:r>
      <w:r>
        <w:rPr>
          <w:rFonts w:hint="eastAsia" w:hAnsi="宋体" w:cs="宋体"/>
          <w:sz w:val="28"/>
          <w:szCs w:val="28"/>
        </w:rPr>
        <w:t>年第</w:t>
      </w:r>
      <w:r>
        <w:rPr>
          <w:rFonts w:hAnsi="宋体" w:cs="宋体"/>
          <w:sz w:val="28"/>
          <w:szCs w:val="28"/>
        </w:rPr>
        <w:t>38</w:t>
      </w:r>
      <w:r>
        <w:rPr>
          <w:rFonts w:hint="eastAsia" w:hAnsi="宋体" w:cs="宋体"/>
          <w:sz w:val="28"/>
          <w:szCs w:val="28"/>
        </w:rPr>
        <w:t>号《种畜禽管理条例实施细则》</w:t>
      </w:r>
    </w:p>
    <w:p>
      <w:pPr>
        <w:pStyle w:val="20"/>
        <w:spacing w:line="500" w:lineRule="exact"/>
        <w:ind w:firstLine="560"/>
        <w:rPr>
          <w:rFonts w:hAnsi="宋体" w:cs="宋体"/>
          <w:sz w:val="28"/>
          <w:szCs w:val="28"/>
        </w:rPr>
      </w:pPr>
      <w:r>
        <w:rPr>
          <w:rFonts w:hint="eastAsia" w:hAnsi="宋体" w:cs="宋体"/>
          <w:sz w:val="28"/>
          <w:szCs w:val="28"/>
        </w:rPr>
        <w:t>中国人民共和国农业部公告</w:t>
      </w:r>
      <w:r>
        <w:rPr>
          <w:rFonts w:hAnsi="宋体" w:cs="宋体"/>
          <w:sz w:val="28"/>
          <w:szCs w:val="28"/>
        </w:rPr>
        <w:t xml:space="preserve">  2018</w:t>
      </w:r>
      <w:r>
        <w:rPr>
          <w:rFonts w:hint="eastAsia" w:hAnsi="宋体" w:cs="宋体"/>
          <w:sz w:val="28"/>
          <w:szCs w:val="28"/>
        </w:rPr>
        <w:t>年第</w:t>
      </w:r>
      <w:r>
        <w:rPr>
          <w:rFonts w:hAnsi="宋体" w:cs="宋体"/>
          <w:sz w:val="28"/>
          <w:szCs w:val="28"/>
        </w:rPr>
        <w:t>278</w:t>
      </w:r>
      <w:r>
        <w:rPr>
          <w:rFonts w:hint="eastAsia" w:hAnsi="宋体" w:cs="宋体"/>
          <w:sz w:val="28"/>
          <w:szCs w:val="28"/>
        </w:rPr>
        <w:t>号《兽药停药期规定》</w:t>
      </w:r>
    </w:p>
    <w:p>
      <w:pPr>
        <w:pStyle w:val="20"/>
        <w:spacing w:line="500" w:lineRule="exact"/>
        <w:ind w:firstLine="560"/>
        <w:rPr>
          <w:rFonts w:hint="eastAsia" w:hAnsi="宋体" w:cs="宋体"/>
          <w:sz w:val="28"/>
          <w:szCs w:val="28"/>
        </w:rPr>
      </w:pPr>
      <w:r>
        <w:rPr>
          <w:rFonts w:hint="eastAsia" w:hAnsi="宋体" w:cs="宋体"/>
          <w:sz w:val="28"/>
          <w:szCs w:val="28"/>
        </w:rPr>
        <w:t>中国人民共和国农业部公告</w:t>
      </w:r>
      <w:r>
        <w:rPr>
          <w:rFonts w:hAnsi="宋体" w:cs="宋体"/>
          <w:sz w:val="28"/>
          <w:szCs w:val="28"/>
        </w:rPr>
        <w:t xml:space="preserve">  2017</w:t>
      </w:r>
      <w:r>
        <w:rPr>
          <w:rFonts w:hint="eastAsia" w:hAnsi="宋体" w:cs="宋体"/>
          <w:sz w:val="28"/>
          <w:szCs w:val="28"/>
        </w:rPr>
        <w:t>年第</w:t>
      </w:r>
      <w:r>
        <w:rPr>
          <w:rFonts w:hAnsi="宋体" w:cs="宋体"/>
          <w:sz w:val="28"/>
          <w:szCs w:val="28"/>
        </w:rPr>
        <w:t>2513</w:t>
      </w:r>
      <w:r>
        <w:rPr>
          <w:rFonts w:hint="eastAsia" w:hAnsi="宋体" w:cs="宋体"/>
          <w:sz w:val="28"/>
          <w:szCs w:val="28"/>
        </w:rPr>
        <w:t>号《兽药质量标准》</w:t>
      </w:r>
    </w:p>
    <w:p>
      <w:pPr>
        <w:pStyle w:val="20"/>
        <w:spacing w:line="360" w:lineRule="exact"/>
        <w:ind w:firstLine="594"/>
        <w:rPr>
          <w:rFonts w:hint="eastAsia" w:hAnsi="宋体" w:cs="仿宋_GB2312"/>
          <w:b/>
          <w:spacing w:val="8"/>
          <w:sz w:val="28"/>
          <w:szCs w:val="28"/>
        </w:rPr>
      </w:pPr>
      <w:r>
        <w:rPr>
          <w:rFonts w:hint="eastAsia" w:hAnsi="宋体" w:cs="仿宋_GB2312"/>
          <w:b/>
          <w:spacing w:val="8"/>
          <w:sz w:val="28"/>
          <w:szCs w:val="28"/>
        </w:rPr>
        <w:t>（2）本标准主要参考文献</w:t>
      </w:r>
    </w:p>
    <w:p>
      <w:pPr>
        <w:pStyle w:val="9"/>
        <w:shd w:val="clear" w:color="auto" w:fill="FFFFFF"/>
        <w:spacing w:line="560" w:lineRule="exact"/>
        <w:ind w:firstLine="592" w:firstLineChars="200"/>
        <w:rPr>
          <w:rFonts w:hint="eastAsia" w:cs="仿宋_GB2312"/>
          <w:spacing w:val="8"/>
          <w:sz w:val="28"/>
          <w:szCs w:val="28"/>
          <w:lang w:val="en-US" w:eastAsia="zh-CN"/>
        </w:rPr>
      </w:pPr>
      <w:r>
        <w:rPr>
          <w:rFonts w:hint="eastAsia" w:cs="仿宋_GB2312"/>
          <w:spacing w:val="8"/>
          <w:sz w:val="28"/>
          <w:szCs w:val="28"/>
        </w:rPr>
        <w:t>[1]</w:t>
      </w:r>
      <w:r>
        <w:rPr>
          <w:rFonts w:hint="eastAsia" w:cs="仿宋_GB2312"/>
          <w:spacing w:val="8"/>
          <w:sz w:val="28"/>
          <w:szCs w:val="28"/>
          <w:lang w:eastAsia="zh-CN"/>
        </w:rPr>
        <w:t>芦林，吴高奇，龙真权等，山区肉牛高效养殖技术，中国畜禽种业，</w:t>
      </w:r>
      <w:r>
        <w:rPr>
          <w:rFonts w:hint="eastAsia" w:cs="仿宋_GB2312"/>
          <w:spacing w:val="8"/>
          <w:sz w:val="28"/>
          <w:szCs w:val="28"/>
          <w:lang w:val="en-US" w:eastAsia="zh-CN"/>
        </w:rPr>
        <w:t>2014.1</w:t>
      </w:r>
    </w:p>
    <w:p>
      <w:pPr>
        <w:pStyle w:val="9"/>
        <w:shd w:val="clear" w:color="auto" w:fill="FFFFFF"/>
        <w:spacing w:line="560" w:lineRule="exact"/>
        <w:ind w:firstLine="592" w:firstLineChars="200"/>
        <w:rPr>
          <w:rFonts w:hint="eastAsia" w:cs="仿宋_GB2312"/>
          <w:spacing w:val="8"/>
          <w:sz w:val="28"/>
          <w:szCs w:val="28"/>
          <w:lang w:val="en-US" w:eastAsia="zh-CN"/>
        </w:rPr>
      </w:pPr>
      <w:r>
        <w:rPr>
          <w:rFonts w:hint="eastAsia" w:cs="仿宋_GB2312"/>
          <w:spacing w:val="8"/>
          <w:sz w:val="28"/>
          <w:szCs w:val="28"/>
        </w:rPr>
        <w:t>[2]</w:t>
      </w:r>
      <w:r>
        <w:rPr>
          <w:rFonts w:hint="eastAsia" w:cs="仿宋_GB2312"/>
          <w:spacing w:val="8"/>
          <w:sz w:val="28"/>
          <w:szCs w:val="28"/>
          <w:lang w:eastAsia="zh-CN"/>
        </w:rPr>
        <w:t>吴高奇，张前卫，吴娟等，贵州山区肉牛养殖关键技术，吉林人民出版社，</w:t>
      </w:r>
      <w:r>
        <w:rPr>
          <w:rFonts w:hint="eastAsia" w:cs="仿宋_GB2312"/>
          <w:spacing w:val="8"/>
          <w:sz w:val="28"/>
          <w:szCs w:val="28"/>
          <w:lang w:val="en-US" w:eastAsia="zh-CN"/>
        </w:rPr>
        <w:t>2014.11 ISBN 978-7-206-11369-7</w:t>
      </w:r>
    </w:p>
    <w:p>
      <w:pPr>
        <w:pStyle w:val="9"/>
        <w:shd w:val="clear" w:color="auto" w:fill="FFFFFF"/>
        <w:spacing w:line="560" w:lineRule="exact"/>
        <w:ind w:firstLine="592" w:firstLineChars="200"/>
        <w:rPr>
          <w:rFonts w:hint="eastAsia" w:eastAsia="宋体" w:cs="仿宋_GB2312"/>
          <w:spacing w:val="8"/>
          <w:sz w:val="28"/>
          <w:szCs w:val="28"/>
          <w:lang w:val="en-US" w:eastAsia="zh-CN"/>
        </w:rPr>
      </w:pPr>
      <w:r>
        <w:rPr>
          <w:rFonts w:hint="eastAsia" w:cs="仿宋_GB2312"/>
          <w:spacing w:val="8"/>
          <w:sz w:val="28"/>
          <w:szCs w:val="28"/>
        </w:rPr>
        <w:t>[3]</w:t>
      </w:r>
      <w:r>
        <w:rPr>
          <w:rFonts w:hint="eastAsia" w:cs="仿宋_GB2312"/>
          <w:spacing w:val="8"/>
          <w:sz w:val="28"/>
          <w:szCs w:val="28"/>
          <w:lang w:eastAsia="zh-CN"/>
        </w:rPr>
        <w:t>毛同辉，吴高奇等，铜仁市不同杂交组合的肉牛生长发育性能比较，养殖与饲料，</w:t>
      </w:r>
      <w:r>
        <w:rPr>
          <w:rFonts w:hint="eastAsia" w:cs="仿宋_GB2312"/>
          <w:spacing w:val="8"/>
          <w:sz w:val="28"/>
          <w:szCs w:val="28"/>
          <w:lang w:val="en-US" w:eastAsia="zh-CN"/>
        </w:rPr>
        <w:t>2015年第6期</w:t>
      </w:r>
    </w:p>
    <w:p>
      <w:pPr>
        <w:pStyle w:val="9"/>
        <w:shd w:val="clear" w:color="auto" w:fill="FFFFFF"/>
        <w:spacing w:line="560" w:lineRule="exact"/>
        <w:ind w:firstLine="592" w:firstLineChars="200"/>
        <w:rPr>
          <w:rFonts w:cs="仿宋_GB2312"/>
          <w:spacing w:val="8"/>
          <w:sz w:val="28"/>
          <w:szCs w:val="28"/>
        </w:rPr>
      </w:pPr>
      <w:r>
        <w:rPr>
          <w:rFonts w:hint="eastAsia" w:cs="仿宋_GB2312"/>
          <w:spacing w:val="8"/>
          <w:sz w:val="28"/>
          <w:szCs w:val="28"/>
        </w:rPr>
        <w:t>[</w:t>
      </w:r>
      <w:r>
        <w:rPr>
          <w:rFonts w:hint="eastAsia" w:cs="仿宋_GB2312"/>
          <w:spacing w:val="8"/>
          <w:sz w:val="28"/>
          <w:szCs w:val="28"/>
          <w:lang w:val="en-US" w:eastAsia="zh-CN"/>
        </w:rPr>
        <w:t>4</w:t>
      </w:r>
      <w:r>
        <w:rPr>
          <w:rFonts w:hint="eastAsia" w:cs="仿宋_GB2312"/>
          <w:spacing w:val="8"/>
          <w:sz w:val="28"/>
          <w:szCs w:val="28"/>
        </w:rPr>
        <w:t>]谢波德，山区肉牛养殖综合技术，健康养殖，2016年12月下。</w:t>
      </w:r>
    </w:p>
    <w:p>
      <w:pPr>
        <w:pStyle w:val="9"/>
        <w:shd w:val="clear" w:color="auto" w:fill="FFFFFF"/>
        <w:spacing w:line="560" w:lineRule="exact"/>
        <w:ind w:firstLine="592" w:firstLineChars="200"/>
        <w:rPr>
          <w:rFonts w:cs="仿宋_GB2312"/>
          <w:spacing w:val="8"/>
          <w:sz w:val="28"/>
          <w:szCs w:val="28"/>
        </w:rPr>
      </w:pPr>
      <w:r>
        <w:rPr>
          <w:rFonts w:hint="eastAsia" w:cs="仿宋_GB2312"/>
          <w:spacing w:val="8"/>
          <w:sz w:val="28"/>
          <w:szCs w:val="28"/>
        </w:rPr>
        <w:t>[</w:t>
      </w:r>
      <w:r>
        <w:rPr>
          <w:rFonts w:hint="eastAsia" w:cs="仿宋_GB2312"/>
          <w:spacing w:val="8"/>
          <w:sz w:val="28"/>
          <w:szCs w:val="28"/>
          <w:lang w:val="en-US" w:eastAsia="zh-CN"/>
        </w:rPr>
        <w:t>5</w:t>
      </w:r>
      <w:r>
        <w:rPr>
          <w:rFonts w:hint="eastAsia" w:cs="仿宋_GB2312"/>
          <w:spacing w:val="8"/>
          <w:sz w:val="28"/>
          <w:szCs w:val="28"/>
        </w:rPr>
        <w:t>]贵州省畜禽品种志编辑委员会，贵州省畜禽品种志，1986年9月。</w:t>
      </w:r>
    </w:p>
    <w:p>
      <w:pPr>
        <w:pStyle w:val="9"/>
        <w:shd w:val="clear" w:color="auto" w:fill="FFFFFF"/>
        <w:spacing w:line="560" w:lineRule="exact"/>
        <w:ind w:firstLine="592" w:firstLineChars="200"/>
        <w:rPr>
          <w:rFonts w:hint="eastAsia" w:cs="仿宋_GB2312"/>
          <w:spacing w:val="8"/>
          <w:sz w:val="28"/>
          <w:szCs w:val="28"/>
        </w:rPr>
      </w:pPr>
      <w:r>
        <w:rPr>
          <w:rFonts w:hint="eastAsia" w:cs="仿宋_GB2312"/>
          <w:spacing w:val="8"/>
          <w:sz w:val="28"/>
          <w:szCs w:val="28"/>
        </w:rPr>
        <w:t>[</w:t>
      </w:r>
      <w:r>
        <w:rPr>
          <w:rFonts w:hint="eastAsia" w:cs="仿宋_GB2312"/>
          <w:spacing w:val="8"/>
          <w:sz w:val="28"/>
          <w:szCs w:val="28"/>
          <w:lang w:val="en-US" w:eastAsia="zh-CN"/>
        </w:rPr>
        <w:t>6</w:t>
      </w:r>
      <w:r>
        <w:rPr>
          <w:rFonts w:hint="eastAsia" w:cs="仿宋_GB2312"/>
          <w:spacing w:val="8"/>
          <w:sz w:val="28"/>
          <w:szCs w:val="28"/>
        </w:rPr>
        <w:t>]管乐，中高档肉牛精细化标准化饲养技术要点，科学种养，2017.12</w:t>
      </w:r>
    </w:p>
    <w:p>
      <w:pPr>
        <w:pStyle w:val="9"/>
        <w:shd w:val="clear" w:color="auto" w:fill="FFFFFF"/>
        <w:spacing w:line="560" w:lineRule="exact"/>
        <w:ind w:firstLine="592" w:firstLineChars="200"/>
        <w:rPr>
          <w:rFonts w:hint="eastAsia" w:cs="仿宋_GB2312"/>
          <w:spacing w:val="8"/>
          <w:sz w:val="28"/>
          <w:szCs w:val="28"/>
        </w:rPr>
      </w:pPr>
      <w:r>
        <w:rPr>
          <w:rFonts w:hint="eastAsia" w:cs="仿宋_GB2312"/>
          <w:spacing w:val="8"/>
          <w:sz w:val="28"/>
          <w:szCs w:val="28"/>
        </w:rPr>
        <w:t xml:space="preserve"> [</w:t>
      </w:r>
      <w:r>
        <w:rPr>
          <w:rFonts w:hint="eastAsia" w:cs="仿宋_GB2312"/>
          <w:spacing w:val="8"/>
          <w:sz w:val="28"/>
          <w:szCs w:val="28"/>
          <w:lang w:val="en-US" w:eastAsia="zh-CN"/>
        </w:rPr>
        <w:t>7</w:t>
      </w:r>
      <w:r>
        <w:rPr>
          <w:rFonts w:hint="eastAsia" w:cs="仿宋_GB2312"/>
          <w:spacing w:val="8"/>
          <w:sz w:val="28"/>
          <w:szCs w:val="28"/>
        </w:rPr>
        <w:t>]刘钦征，肉牛标准建设与饲养管理技术，河南畜牧兽医2016（第37卷）第2期。</w:t>
      </w:r>
    </w:p>
    <w:p>
      <w:pPr>
        <w:pStyle w:val="9"/>
        <w:shd w:val="clear" w:color="auto" w:fill="FFFFFF"/>
        <w:spacing w:line="560" w:lineRule="exact"/>
        <w:ind w:firstLine="592" w:firstLineChars="200"/>
        <w:rPr>
          <w:rFonts w:hint="eastAsia" w:cs="仿宋_GB2312"/>
          <w:spacing w:val="8"/>
          <w:sz w:val="28"/>
          <w:szCs w:val="28"/>
        </w:rPr>
      </w:pPr>
      <w:r>
        <w:rPr>
          <w:rFonts w:hint="eastAsia" w:cs="仿宋_GB2312"/>
          <w:spacing w:val="8"/>
          <w:sz w:val="28"/>
          <w:szCs w:val="28"/>
        </w:rPr>
        <w:t>[</w:t>
      </w:r>
      <w:r>
        <w:rPr>
          <w:rFonts w:hint="eastAsia" w:cs="仿宋_GB2312"/>
          <w:spacing w:val="8"/>
          <w:sz w:val="28"/>
          <w:szCs w:val="28"/>
          <w:lang w:val="en-US" w:eastAsia="zh-CN"/>
        </w:rPr>
        <w:t>8</w:t>
      </w:r>
      <w:r>
        <w:rPr>
          <w:rFonts w:hint="eastAsia" w:cs="仿宋_GB2312"/>
          <w:spacing w:val="8"/>
          <w:sz w:val="28"/>
          <w:szCs w:val="28"/>
        </w:rPr>
        <w:t>]李尚敏，车跃光，陈晓红，杨敏等。肉牛标准化饲养新技术体系的应用，畜牧与饲料科学，2010,31（1）:127—128</w:t>
      </w:r>
    </w:p>
    <w:p>
      <w:pPr>
        <w:pStyle w:val="9"/>
        <w:shd w:val="clear" w:color="auto" w:fill="FFFFFF"/>
        <w:spacing w:line="560" w:lineRule="exact"/>
        <w:ind w:firstLine="592" w:firstLineChars="200"/>
        <w:rPr>
          <w:rFonts w:hint="eastAsia" w:cs="仿宋_GB2312"/>
          <w:spacing w:val="8"/>
          <w:sz w:val="28"/>
          <w:szCs w:val="28"/>
        </w:rPr>
      </w:pPr>
      <w:r>
        <w:rPr>
          <w:rFonts w:hint="eastAsia" w:cs="仿宋_GB2312"/>
          <w:spacing w:val="8"/>
          <w:sz w:val="28"/>
          <w:szCs w:val="28"/>
        </w:rPr>
        <w:t>[</w:t>
      </w:r>
      <w:r>
        <w:rPr>
          <w:rFonts w:hint="eastAsia" w:cs="仿宋_GB2312"/>
          <w:spacing w:val="8"/>
          <w:sz w:val="28"/>
          <w:szCs w:val="28"/>
          <w:lang w:val="en-US" w:eastAsia="zh-CN"/>
        </w:rPr>
        <w:t>9</w:t>
      </w:r>
      <w:r>
        <w:rPr>
          <w:rFonts w:hint="eastAsia" w:cs="仿宋_GB2312"/>
          <w:spacing w:val="8"/>
          <w:sz w:val="28"/>
          <w:szCs w:val="28"/>
        </w:rPr>
        <w:t>]李素华，肉牛养殖场区的规划和建设，现代畜牧科技，2018年第8期总第44期。</w:t>
      </w:r>
    </w:p>
    <w:p>
      <w:pPr>
        <w:pStyle w:val="9"/>
        <w:shd w:val="clear" w:color="auto" w:fill="FFFFFF"/>
        <w:spacing w:line="560" w:lineRule="exact"/>
        <w:ind w:firstLine="592" w:firstLineChars="200"/>
        <w:rPr>
          <w:rFonts w:hint="eastAsia" w:cs="仿宋_GB2312"/>
          <w:spacing w:val="8"/>
          <w:sz w:val="28"/>
          <w:szCs w:val="28"/>
        </w:rPr>
      </w:pPr>
      <w:r>
        <w:rPr>
          <w:rFonts w:hint="eastAsia" w:cs="仿宋_GB2312"/>
          <w:spacing w:val="8"/>
          <w:sz w:val="28"/>
          <w:szCs w:val="28"/>
        </w:rPr>
        <w:t>[</w:t>
      </w:r>
      <w:r>
        <w:rPr>
          <w:rFonts w:hint="eastAsia" w:cs="仿宋_GB2312"/>
          <w:spacing w:val="8"/>
          <w:sz w:val="28"/>
          <w:szCs w:val="28"/>
          <w:lang w:val="en-US" w:eastAsia="zh-CN"/>
        </w:rPr>
        <w:t>10</w:t>
      </w:r>
      <w:r>
        <w:rPr>
          <w:rFonts w:hint="eastAsia" w:cs="仿宋_GB2312"/>
          <w:spacing w:val="8"/>
          <w:sz w:val="28"/>
          <w:szCs w:val="28"/>
        </w:rPr>
        <w:t>]刘青，李家国，杨正德.思南黄牛肉质营养特性研究[J].饲料工业.2010,31(05):32～34.</w:t>
      </w:r>
    </w:p>
    <w:p>
      <w:pPr>
        <w:pStyle w:val="9"/>
        <w:shd w:val="clear" w:color="auto" w:fill="FFFFFF"/>
        <w:spacing w:line="560" w:lineRule="exact"/>
        <w:ind w:firstLine="592" w:firstLineChars="200"/>
        <w:rPr>
          <w:rFonts w:hint="eastAsia" w:cs="仿宋_GB2312"/>
          <w:spacing w:val="8"/>
          <w:sz w:val="28"/>
          <w:szCs w:val="28"/>
        </w:rPr>
      </w:pPr>
      <w:r>
        <w:rPr>
          <w:rFonts w:hint="eastAsia" w:cs="仿宋_GB2312"/>
          <w:spacing w:val="8"/>
          <w:sz w:val="28"/>
          <w:szCs w:val="28"/>
        </w:rPr>
        <w:t>[</w:t>
      </w:r>
      <w:r>
        <w:rPr>
          <w:rFonts w:hint="eastAsia" w:cs="仿宋_GB2312"/>
          <w:spacing w:val="8"/>
          <w:sz w:val="28"/>
          <w:szCs w:val="28"/>
          <w:lang w:val="en-US" w:eastAsia="zh-CN"/>
        </w:rPr>
        <w:t>11</w:t>
      </w:r>
      <w:r>
        <w:rPr>
          <w:rFonts w:hint="eastAsia" w:cs="仿宋_GB2312"/>
          <w:spacing w:val="8"/>
          <w:sz w:val="28"/>
          <w:szCs w:val="28"/>
        </w:rPr>
        <w:t>]王德平，张俊平，彭翔等。现代肉牛养殖生产综合配套技术，中国牛业科学2015,41（5）:101-103。</w:t>
      </w:r>
    </w:p>
    <w:p>
      <w:pPr>
        <w:pStyle w:val="9"/>
        <w:shd w:val="clear" w:color="auto" w:fill="FFFFFF"/>
        <w:spacing w:line="560" w:lineRule="exact"/>
        <w:ind w:firstLine="592" w:firstLineChars="200"/>
        <w:rPr>
          <w:rFonts w:hint="eastAsia" w:cs="仿宋_GB2312"/>
          <w:spacing w:val="8"/>
          <w:sz w:val="28"/>
          <w:szCs w:val="28"/>
        </w:rPr>
      </w:pPr>
      <w:r>
        <w:rPr>
          <w:rFonts w:hint="eastAsia" w:cs="仿宋_GB2312"/>
          <w:spacing w:val="8"/>
          <w:sz w:val="28"/>
          <w:szCs w:val="28"/>
        </w:rPr>
        <w:t>[</w:t>
      </w:r>
      <w:r>
        <w:rPr>
          <w:rFonts w:hint="eastAsia" w:cs="仿宋_GB2312"/>
          <w:spacing w:val="8"/>
          <w:sz w:val="28"/>
          <w:szCs w:val="28"/>
          <w:lang w:val="en-US" w:eastAsia="zh-CN"/>
        </w:rPr>
        <w:t>12</w:t>
      </w:r>
      <w:r>
        <w:rPr>
          <w:rFonts w:hint="eastAsia" w:cs="仿宋_GB2312"/>
          <w:spacing w:val="8"/>
          <w:sz w:val="28"/>
          <w:szCs w:val="28"/>
        </w:rPr>
        <w:t>]孙晓玉，韩鹏，肉牛标准化规模化生产技术规范，黑龙江畜牧兽医综合指导版，2013年，第2期，第4期，第6期。</w:t>
      </w:r>
    </w:p>
    <w:p>
      <w:pPr>
        <w:pStyle w:val="9"/>
        <w:shd w:val="clear" w:color="auto" w:fill="FFFFFF"/>
        <w:spacing w:line="560" w:lineRule="exact"/>
        <w:ind w:firstLine="592" w:firstLineChars="200"/>
        <w:rPr>
          <w:rFonts w:hint="eastAsia" w:cs="仿宋_GB2312"/>
          <w:spacing w:val="8"/>
          <w:sz w:val="28"/>
          <w:szCs w:val="28"/>
        </w:rPr>
      </w:pPr>
      <w:r>
        <w:rPr>
          <w:rFonts w:hint="eastAsia" w:cs="仿宋_GB2312"/>
          <w:spacing w:val="8"/>
          <w:sz w:val="28"/>
          <w:szCs w:val="28"/>
        </w:rPr>
        <w:t>[</w:t>
      </w:r>
      <w:r>
        <w:rPr>
          <w:rFonts w:hint="eastAsia" w:cs="仿宋_GB2312"/>
          <w:spacing w:val="8"/>
          <w:sz w:val="28"/>
          <w:szCs w:val="28"/>
          <w:lang w:val="en-US" w:eastAsia="zh-CN"/>
        </w:rPr>
        <w:t>13</w:t>
      </w:r>
      <w:r>
        <w:rPr>
          <w:rFonts w:hint="eastAsia" w:cs="仿宋_GB2312"/>
          <w:spacing w:val="8"/>
          <w:sz w:val="28"/>
          <w:szCs w:val="28"/>
        </w:rPr>
        <w:t>]梁德胜，张林华，杨廷韬等。肉牛无公害标准化“五良”配套技术，世界热带农业信息，2020年第1期.</w:t>
      </w:r>
    </w:p>
    <w:p>
      <w:pPr>
        <w:pStyle w:val="9"/>
        <w:shd w:val="clear" w:color="auto" w:fill="FFFFFF"/>
        <w:spacing w:line="560" w:lineRule="exact"/>
        <w:ind w:firstLine="592" w:firstLineChars="200"/>
        <w:rPr>
          <w:rFonts w:hint="eastAsia" w:cs="仿宋_GB2312"/>
          <w:spacing w:val="8"/>
          <w:sz w:val="28"/>
          <w:szCs w:val="28"/>
        </w:rPr>
      </w:pPr>
      <w:r>
        <w:rPr>
          <w:rFonts w:hint="eastAsia" w:cs="仿宋_GB2312"/>
          <w:spacing w:val="8"/>
          <w:sz w:val="28"/>
          <w:szCs w:val="28"/>
        </w:rPr>
        <w:t>本标准按照《GB/T 1.1-2009 标准化工作导则 第1部分：标准的结构和编写》给出的规则起草。</w:t>
      </w:r>
    </w:p>
    <w:p>
      <w:pPr>
        <w:pStyle w:val="20"/>
        <w:spacing w:line="500" w:lineRule="exact"/>
        <w:ind w:firstLine="480" w:firstLineChars="200"/>
        <w:outlineLvl w:val="0"/>
        <w:rPr>
          <w:rFonts w:ascii="Times New Roman" w:eastAsia="黑体"/>
          <w:kern w:val="2"/>
          <w:sz w:val="24"/>
          <w:szCs w:val="24"/>
        </w:rPr>
      </w:pPr>
      <w:r>
        <w:rPr>
          <w:rFonts w:hint="eastAsia" w:ascii="Times New Roman" w:eastAsia="黑体"/>
          <w:kern w:val="2"/>
          <w:sz w:val="24"/>
          <w:szCs w:val="24"/>
          <w:lang w:eastAsia="zh-CN"/>
        </w:rPr>
        <w:t>四</w:t>
      </w:r>
      <w:r>
        <w:rPr>
          <w:rFonts w:ascii="Times New Roman" w:eastAsia="黑体"/>
          <w:kern w:val="2"/>
          <w:sz w:val="24"/>
          <w:szCs w:val="24"/>
        </w:rPr>
        <w:t>、与有关现行法律、法规的关系</w:t>
      </w:r>
    </w:p>
    <w:p>
      <w:pPr>
        <w:pStyle w:val="7"/>
        <w:tabs>
          <w:tab w:val="right" w:leader="dot" w:pos="9345"/>
        </w:tabs>
        <w:spacing w:line="360" w:lineRule="auto"/>
        <w:ind w:firstLine="480" w:firstLineChars="200"/>
        <w:rPr>
          <w:rFonts w:ascii="Times New Roman"/>
          <w:sz w:val="24"/>
          <w:lang w:val="en-US"/>
        </w:rPr>
      </w:pPr>
      <w:r>
        <w:rPr>
          <w:rFonts w:ascii="Times New Roman"/>
          <w:sz w:val="24"/>
          <w:lang w:eastAsia="zh-CN"/>
        </w:rPr>
        <w:t>（1）</w:t>
      </w:r>
      <w:r>
        <w:rPr>
          <w:rFonts w:ascii="Times New Roman"/>
          <w:sz w:val="24"/>
        </w:rPr>
        <w:t>制标过程遵循《中华人民共和国标准法》、《中华人民共和国</w:t>
      </w:r>
      <w:r>
        <w:rPr>
          <w:rFonts w:hint="eastAsia" w:ascii="Times New Roman"/>
          <w:sz w:val="24"/>
          <w:lang w:eastAsia="zh-CN"/>
        </w:rPr>
        <w:t>畜牧</w:t>
      </w:r>
      <w:r>
        <w:rPr>
          <w:rFonts w:ascii="Times New Roman"/>
          <w:sz w:val="24"/>
        </w:rPr>
        <w:t>法》</w:t>
      </w:r>
      <w:r>
        <w:rPr>
          <w:rFonts w:ascii="Times New Roman"/>
          <w:sz w:val="24"/>
          <w:lang w:eastAsia="zh-CN"/>
        </w:rPr>
        <w:t>、《</w:t>
      </w:r>
      <w:r>
        <w:rPr>
          <w:rFonts w:hint="eastAsia" w:ascii="Times New Roman"/>
          <w:sz w:val="24"/>
        </w:rPr>
        <w:t>动物防疫条件审查办法</w:t>
      </w:r>
      <w:r>
        <w:rPr>
          <w:rFonts w:ascii="Times New Roman"/>
          <w:sz w:val="24"/>
          <w:lang w:eastAsia="zh-CN"/>
        </w:rPr>
        <w:t>》、《中国人民共和国环境保护法》等法律</w:t>
      </w:r>
      <w:r>
        <w:rPr>
          <w:rFonts w:hint="eastAsia" w:ascii="Times New Roman"/>
          <w:sz w:val="24"/>
          <w:lang w:eastAsia="zh-CN"/>
        </w:rPr>
        <w:t>法规规定</w:t>
      </w:r>
      <w:r>
        <w:rPr>
          <w:rFonts w:ascii="Times New Roman"/>
          <w:sz w:val="24"/>
        </w:rPr>
        <w:t>。</w:t>
      </w:r>
    </w:p>
    <w:p>
      <w:pPr>
        <w:spacing w:line="360" w:lineRule="auto"/>
        <w:ind w:firstLine="480" w:firstLineChars="200"/>
        <w:rPr>
          <w:sz w:val="24"/>
        </w:rPr>
      </w:pPr>
      <w:r>
        <w:rPr>
          <w:sz w:val="24"/>
        </w:rPr>
        <w:t>（2）本标准中计量单位采用法定计量单位。</w:t>
      </w:r>
    </w:p>
    <w:p>
      <w:pPr>
        <w:spacing w:line="360" w:lineRule="auto"/>
        <w:ind w:firstLine="480" w:firstLineChars="200"/>
        <w:rPr>
          <w:sz w:val="24"/>
        </w:rPr>
      </w:pPr>
      <w:r>
        <w:rPr>
          <w:sz w:val="24"/>
        </w:rPr>
        <w:t>（3）本标准的格式，编制和表达方法，按国家标准的要求制订。</w:t>
      </w:r>
    </w:p>
    <w:p>
      <w:pPr>
        <w:spacing w:line="360" w:lineRule="auto"/>
        <w:ind w:firstLine="480" w:firstLineChars="200"/>
        <w:rPr>
          <w:sz w:val="24"/>
        </w:rPr>
      </w:pPr>
      <w:r>
        <w:rPr>
          <w:sz w:val="24"/>
        </w:rPr>
        <w:t>（4）本标准与现行法律、法规和强制性标准无冲突。</w:t>
      </w:r>
    </w:p>
    <w:p>
      <w:pPr>
        <w:pStyle w:val="20"/>
        <w:spacing w:line="500" w:lineRule="exact"/>
        <w:ind w:firstLine="480" w:firstLineChars="200"/>
        <w:outlineLvl w:val="0"/>
        <w:rPr>
          <w:rFonts w:hint="eastAsia" w:ascii="Times New Roman" w:eastAsia="黑体"/>
          <w:kern w:val="2"/>
          <w:sz w:val="24"/>
          <w:szCs w:val="24"/>
        </w:rPr>
      </w:pPr>
      <w:r>
        <w:rPr>
          <w:rFonts w:hint="eastAsia" w:ascii="Times New Roman" w:eastAsia="黑体"/>
          <w:kern w:val="2"/>
          <w:sz w:val="24"/>
          <w:szCs w:val="24"/>
          <w:lang w:eastAsia="zh-CN"/>
        </w:rPr>
        <w:t>五</w:t>
      </w:r>
      <w:r>
        <w:rPr>
          <w:rFonts w:ascii="Times New Roman" w:eastAsia="黑体"/>
          <w:kern w:val="2"/>
          <w:sz w:val="24"/>
          <w:szCs w:val="24"/>
        </w:rPr>
        <w:t>、</w:t>
      </w:r>
      <w:r>
        <w:rPr>
          <w:rFonts w:hint="eastAsia" w:ascii="Times New Roman" w:eastAsia="黑体"/>
          <w:kern w:val="2"/>
          <w:sz w:val="24"/>
          <w:szCs w:val="24"/>
        </w:rPr>
        <w:t>是否涉及</w:t>
      </w:r>
      <w:r>
        <w:rPr>
          <w:rFonts w:ascii="Times New Roman" w:eastAsia="黑体"/>
          <w:kern w:val="2"/>
          <w:sz w:val="24"/>
          <w:szCs w:val="24"/>
        </w:rPr>
        <w:t>专利说明</w:t>
      </w:r>
    </w:p>
    <w:p>
      <w:pPr>
        <w:pStyle w:val="7"/>
        <w:tabs>
          <w:tab w:val="right" w:leader="dot" w:pos="9345"/>
        </w:tabs>
        <w:spacing w:line="360" w:lineRule="auto"/>
        <w:ind w:firstLine="960" w:firstLineChars="400"/>
        <w:rPr>
          <w:rFonts w:ascii="Times New Roman"/>
          <w:kern w:val="2"/>
          <w:szCs w:val="24"/>
          <w:lang w:val="en-US"/>
        </w:rPr>
      </w:pPr>
      <w:r>
        <w:rPr>
          <w:rFonts w:hint="eastAsia" w:ascii="Times New Roman"/>
          <w:sz w:val="24"/>
          <w:lang w:eastAsia="zh-CN"/>
        </w:rPr>
        <w:t>本标准</w:t>
      </w:r>
      <w:r>
        <w:rPr>
          <w:rFonts w:ascii="Times New Roman"/>
          <w:sz w:val="24"/>
          <w:lang w:eastAsia="zh-CN"/>
        </w:rPr>
        <w:t>中未涉及相关专利</w:t>
      </w:r>
      <w:r>
        <w:rPr>
          <w:rFonts w:ascii="Times New Roman"/>
          <w:sz w:val="24"/>
        </w:rPr>
        <w:t>。</w:t>
      </w:r>
    </w:p>
    <w:p>
      <w:pPr>
        <w:numPr>
          <w:ilvl w:val="0"/>
          <w:numId w:val="2"/>
        </w:numPr>
        <w:spacing w:line="360" w:lineRule="auto"/>
        <w:ind w:firstLine="480" w:firstLineChars="200"/>
        <w:rPr>
          <w:rFonts w:hint="eastAsia"/>
          <w:sz w:val="24"/>
          <w:lang w:eastAsia="zh-CN"/>
        </w:rPr>
      </w:pPr>
      <w:r>
        <w:rPr>
          <w:rFonts w:hint="eastAsia"/>
          <w:sz w:val="24"/>
          <w:lang w:eastAsia="zh-CN"/>
        </w:rPr>
        <w:t>重大意见分歧的处理依据和结果</w:t>
      </w:r>
    </w:p>
    <w:p>
      <w:pPr>
        <w:numPr>
          <w:ilvl w:val="0"/>
          <w:numId w:val="0"/>
        </w:numPr>
        <w:spacing w:line="360" w:lineRule="auto"/>
        <w:ind w:firstLine="1205" w:firstLineChars="500"/>
        <w:rPr>
          <w:rFonts w:hint="eastAsia"/>
          <w:sz w:val="24"/>
          <w:lang w:eastAsia="zh-CN"/>
        </w:rPr>
      </w:pPr>
      <w:r>
        <w:rPr>
          <w:rFonts w:hint="eastAsia"/>
          <w:b/>
          <w:bCs/>
          <w:sz w:val="24"/>
          <w:lang w:eastAsia="zh-CN"/>
        </w:rPr>
        <w:t>无重大意见分歧</w:t>
      </w:r>
      <w:bookmarkStart w:id="2" w:name="_GoBack"/>
      <w:bookmarkEnd w:id="2"/>
    </w:p>
    <w:p>
      <w:pPr>
        <w:pStyle w:val="9"/>
        <w:shd w:val="clear" w:color="auto" w:fill="FFFFFF"/>
        <w:spacing w:line="560" w:lineRule="exact"/>
        <w:ind w:firstLine="592" w:firstLineChars="200"/>
        <w:rPr>
          <w:rFonts w:hint="eastAsia"/>
          <w:b/>
          <w:spacing w:val="8"/>
          <w:sz w:val="28"/>
          <w:szCs w:val="28"/>
        </w:rPr>
      </w:pPr>
      <w:r>
        <w:rPr>
          <w:rFonts w:hint="eastAsia" w:cs="仿宋_GB2312"/>
          <w:spacing w:val="8"/>
          <w:sz w:val="28"/>
          <w:szCs w:val="28"/>
          <w:lang w:eastAsia="zh-CN"/>
        </w:rPr>
        <w:t>七</w:t>
      </w:r>
      <w:r>
        <w:rPr>
          <w:rFonts w:hint="eastAsia" w:cs="仿宋_GB2312"/>
          <w:spacing w:val="8"/>
          <w:sz w:val="28"/>
          <w:szCs w:val="28"/>
        </w:rPr>
        <w:t>、标准内容</w:t>
      </w:r>
      <w:r>
        <w:rPr>
          <w:rFonts w:hint="eastAsia"/>
          <w:b/>
          <w:spacing w:val="8"/>
          <w:sz w:val="28"/>
          <w:szCs w:val="28"/>
        </w:rPr>
        <w:t>编制说明</w:t>
      </w:r>
      <w:r>
        <w:rPr>
          <w:b/>
          <w:spacing w:val="8"/>
          <w:sz w:val="28"/>
          <w:szCs w:val="28"/>
        </w:rPr>
        <w:t xml:space="preserve"> (</w:t>
      </w:r>
      <w:r>
        <w:rPr>
          <w:rFonts w:hint="eastAsia"/>
          <w:b/>
          <w:spacing w:val="8"/>
          <w:sz w:val="28"/>
          <w:szCs w:val="28"/>
        </w:rPr>
        <w:t>对标准每项技术内容确定依据作出说明，</w:t>
      </w:r>
      <w:r>
        <w:rPr>
          <w:b/>
          <w:spacing w:val="8"/>
          <w:sz w:val="28"/>
          <w:szCs w:val="28"/>
        </w:rPr>
        <w:t>包括</w:t>
      </w:r>
      <w:r>
        <w:rPr>
          <w:rFonts w:hint="eastAsia"/>
          <w:b/>
          <w:spacing w:val="8"/>
          <w:sz w:val="28"/>
          <w:szCs w:val="28"/>
        </w:rPr>
        <w:t>引用参照的标准，</w:t>
      </w:r>
      <w:r>
        <w:rPr>
          <w:b/>
          <w:spacing w:val="8"/>
          <w:sz w:val="28"/>
          <w:szCs w:val="28"/>
        </w:rPr>
        <w:t>标准内容</w:t>
      </w:r>
      <w:r>
        <w:rPr>
          <w:rFonts w:hint="eastAsia"/>
          <w:b/>
          <w:spacing w:val="8"/>
          <w:sz w:val="28"/>
          <w:szCs w:val="28"/>
        </w:rPr>
        <w:t>科学技术成果，</w:t>
      </w:r>
      <w:r>
        <w:rPr>
          <w:b/>
          <w:spacing w:val="8"/>
          <w:sz w:val="28"/>
          <w:szCs w:val="28"/>
        </w:rPr>
        <w:t>试验统计数据)，修订标准时，应增列新旧标准水平的对比；</w:t>
      </w:r>
    </w:p>
    <w:p>
      <w:pPr>
        <w:pStyle w:val="9"/>
        <w:shd w:val="clear" w:color="auto" w:fill="FFFFFF"/>
        <w:spacing w:line="560" w:lineRule="exact"/>
        <w:ind w:firstLine="592" w:firstLineChars="200"/>
        <w:rPr>
          <w:rFonts w:hint="eastAsia"/>
          <w:b/>
          <w:spacing w:val="8"/>
          <w:sz w:val="28"/>
          <w:szCs w:val="28"/>
        </w:rPr>
      </w:pPr>
      <w:r>
        <w:rPr>
          <w:rFonts w:hint="eastAsia"/>
          <w:color w:val="0070C0"/>
          <w:spacing w:val="8"/>
          <w:sz w:val="28"/>
          <w:szCs w:val="28"/>
        </w:rPr>
        <w:t>技术内容确定依据说明详见每项技术内容后的蓝色字。</w:t>
      </w:r>
      <w:bookmarkStart w:id="0" w:name="SectionMark4"/>
    </w:p>
    <w:p>
      <w:pPr>
        <w:pStyle w:val="21"/>
      </w:pPr>
      <w:r>
        <w:rPr>
          <w:rFonts w:hint="eastAsia"/>
        </w:rPr>
        <w:t>山</w:t>
      </w:r>
      <w:bookmarkStart w:id="1" w:name="StandardName"/>
      <w:r>
        <w:rPr>
          <w:rFonts w:hint="eastAsia"/>
        </w:rPr>
        <w:t>地肉牛标准化饲养技术规程</w:t>
      </w:r>
      <w:bookmarkEnd w:id="1"/>
    </w:p>
    <w:p>
      <w:pPr>
        <w:pStyle w:val="24"/>
        <w:numPr>
          <w:ilvl w:val="0"/>
          <w:numId w:val="1"/>
        </w:numPr>
        <w:spacing w:before="312" w:beforeLines="100" w:after="312" w:afterLines="100"/>
      </w:pPr>
      <w:r>
        <w:rPr>
          <w:rFonts w:hint="eastAsia"/>
        </w:rPr>
        <w:t>1.范围</w:t>
      </w:r>
    </w:p>
    <w:p>
      <w:pPr>
        <w:pStyle w:val="20"/>
        <w:ind w:firstLine="420"/>
      </w:pPr>
      <w:r>
        <w:rPr>
          <w:rFonts w:hint="eastAsia"/>
        </w:rPr>
        <w:t>本标准规定了山地肉牛规模养殖场建设、肉牛杂交组合模式、饲料配制及管理、免疫程序、肉牛出栏时间和体重要求等。</w:t>
      </w:r>
    </w:p>
    <w:p>
      <w:pPr>
        <w:pStyle w:val="20"/>
        <w:ind w:firstLine="420"/>
      </w:pPr>
      <w:r>
        <w:rPr>
          <w:rFonts w:hint="eastAsia"/>
        </w:rPr>
        <w:t>本标准适用于贵州山地肉牛标准化养殖。</w:t>
      </w:r>
    </w:p>
    <w:p>
      <w:pPr>
        <w:pStyle w:val="24"/>
        <w:numPr>
          <w:ilvl w:val="0"/>
          <w:numId w:val="1"/>
        </w:numPr>
        <w:spacing w:before="312" w:beforeLines="100" w:after="312" w:afterLines="100"/>
      </w:pPr>
      <w:r>
        <w:rPr>
          <w:rFonts w:hint="eastAsia"/>
        </w:rPr>
        <w:t>2.规范性引用文件</w:t>
      </w:r>
    </w:p>
    <w:p>
      <w:pPr>
        <w:pStyle w:val="20"/>
        <w:spacing w:line="360" w:lineRule="exact"/>
        <w:ind w:firstLine="420"/>
        <w:rPr>
          <w:rFonts w:hAnsi="宋体" w:cs="宋体"/>
        </w:rPr>
      </w:pPr>
      <w:r>
        <w:rPr>
          <w:rFonts w:hint="eastAsia" w:hAnsi="宋体" w:cs="宋体"/>
        </w:rPr>
        <w:t>下列文件对于本文件的应用是必不可少的。凡是注日期的引用文件，仅所注日期的版本适用于本文件。凡是不注日期的引用文件，其最新版本（包括所有的修改单）适用于本文件。</w:t>
      </w:r>
    </w:p>
    <w:p>
      <w:pPr>
        <w:pStyle w:val="20"/>
        <w:spacing w:line="360" w:lineRule="exact"/>
        <w:ind w:firstLine="420"/>
        <w:rPr>
          <w:rFonts w:hAnsi="宋体" w:cs="宋体"/>
        </w:rPr>
      </w:pPr>
      <w:r>
        <w:rPr>
          <w:rFonts w:hAnsi="宋体" w:cs="宋体"/>
        </w:rPr>
        <w:t xml:space="preserve">GB 3095  </w:t>
      </w:r>
      <w:r>
        <w:rPr>
          <w:rFonts w:hint="eastAsia" w:hAnsi="宋体" w:cs="宋体"/>
        </w:rPr>
        <w:t>环境空气质量标准</w:t>
      </w:r>
    </w:p>
    <w:p>
      <w:pPr>
        <w:pStyle w:val="20"/>
        <w:spacing w:line="360" w:lineRule="exact"/>
        <w:ind w:firstLine="420"/>
        <w:rPr>
          <w:rFonts w:hAnsi="宋体" w:cs="宋体"/>
        </w:rPr>
      </w:pPr>
      <w:r>
        <w:rPr>
          <w:rFonts w:hAnsi="宋体" w:cs="宋体"/>
        </w:rPr>
        <w:t xml:space="preserve">GB 13078  </w:t>
      </w:r>
      <w:r>
        <w:rPr>
          <w:rFonts w:hint="eastAsia" w:hAnsi="宋体" w:cs="宋体"/>
        </w:rPr>
        <w:t>饲料卫生标准</w:t>
      </w:r>
    </w:p>
    <w:p>
      <w:pPr>
        <w:pStyle w:val="20"/>
        <w:spacing w:line="360" w:lineRule="exact"/>
        <w:ind w:firstLine="420"/>
        <w:rPr>
          <w:rFonts w:hAnsi="宋体" w:cs="宋体"/>
        </w:rPr>
      </w:pPr>
      <w:r>
        <w:rPr>
          <w:rFonts w:hAnsi="宋体" w:cs="宋体"/>
        </w:rPr>
        <w:t>GB 15618 </w:t>
      </w:r>
      <w:r>
        <w:rPr>
          <w:rFonts w:hint="eastAsia" w:hAnsi="宋体" w:cs="宋体"/>
        </w:rPr>
        <w:t>土壤环境质量标准</w:t>
      </w:r>
    </w:p>
    <w:p>
      <w:pPr>
        <w:pStyle w:val="20"/>
        <w:spacing w:line="360" w:lineRule="exact"/>
        <w:ind w:firstLine="420"/>
        <w:rPr>
          <w:rFonts w:hAnsi="宋体" w:cs="宋体"/>
        </w:rPr>
      </w:pPr>
      <w:r>
        <w:rPr>
          <w:rFonts w:hAnsi="宋体" w:cs="宋体"/>
        </w:rPr>
        <w:t xml:space="preserve">GB 18596  </w:t>
      </w:r>
      <w:r>
        <w:rPr>
          <w:rFonts w:hint="eastAsia" w:hAnsi="宋体" w:cs="宋体"/>
        </w:rPr>
        <w:t>畜禽养殖污染物排放标准</w:t>
      </w:r>
    </w:p>
    <w:p>
      <w:pPr>
        <w:pStyle w:val="20"/>
        <w:spacing w:line="360" w:lineRule="exact"/>
        <w:ind w:firstLine="420"/>
        <w:rPr>
          <w:rFonts w:hAnsi="宋体" w:cs="宋体"/>
        </w:rPr>
      </w:pPr>
      <w:r>
        <w:rPr>
          <w:rFonts w:hAnsi="宋体" w:cs="宋体"/>
        </w:rPr>
        <w:t xml:space="preserve">GB/T 19166  </w:t>
      </w:r>
      <w:r>
        <w:rPr>
          <w:rFonts w:hint="eastAsia" w:hAnsi="宋体" w:cs="宋体"/>
        </w:rPr>
        <w:t>中国西门塔尔牛</w:t>
      </w:r>
    </w:p>
    <w:p>
      <w:pPr>
        <w:pStyle w:val="20"/>
        <w:spacing w:line="360" w:lineRule="exact"/>
        <w:ind w:firstLine="420"/>
        <w:rPr>
          <w:rFonts w:hAnsi="宋体" w:cs="宋体"/>
        </w:rPr>
      </w:pPr>
      <w:r>
        <w:rPr>
          <w:rFonts w:hAnsi="宋体" w:cs="宋体"/>
        </w:rPr>
        <w:t xml:space="preserve">GB/T 19374  </w:t>
      </w:r>
      <w:r>
        <w:rPr>
          <w:rFonts w:hint="eastAsia" w:hAnsi="宋体" w:cs="宋体"/>
        </w:rPr>
        <w:t>夏洛来种牛</w:t>
      </w:r>
    </w:p>
    <w:p>
      <w:pPr>
        <w:pStyle w:val="20"/>
        <w:spacing w:line="360" w:lineRule="exact"/>
        <w:ind w:firstLine="420"/>
        <w:rPr>
          <w:rFonts w:hAnsi="宋体" w:cs="宋体"/>
        </w:rPr>
      </w:pPr>
      <w:r>
        <w:rPr>
          <w:rFonts w:hAnsi="宋体" w:cs="宋体"/>
        </w:rPr>
        <w:t xml:space="preserve">GB/T 19375  </w:t>
      </w:r>
      <w:r>
        <w:rPr>
          <w:rFonts w:hint="eastAsia" w:hAnsi="宋体" w:cs="宋体"/>
        </w:rPr>
        <w:t>利木赞种牛</w:t>
      </w:r>
    </w:p>
    <w:p>
      <w:pPr>
        <w:pStyle w:val="20"/>
        <w:spacing w:line="360" w:lineRule="exact"/>
        <w:ind w:firstLine="420"/>
        <w:rPr>
          <w:rFonts w:hAnsi="宋体" w:cs="宋体"/>
        </w:rPr>
      </w:pPr>
      <w:r>
        <w:rPr>
          <w:rFonts w:hAnsi="宋体" w:cs="宋体"/>
        </w:rPr>
        <w:t xml:space="preserve">NY/T 388  </w:t>
      </w:r>
      <w:r>
        <w:rPr>
          <w:rFonts w:hint="eastAsia" w:hAnsi="宋体" w:cs="宋体"/>
        </w:rPr>
        <w:t>畜禽场环境质量标准</w:t>
      </w:r>
    </w:p>
    <w:p>
      <w:pPr>
        <w:pStyle w:val="20"/>
        <w:spacing w:line="360" w:lineRule="exact"/>
        <w:ind w:firstLine="420"/>
        <w:rPr>
          <w:rFonts w:hint="eastAsia" w:hAnsi="宋体" w:cs="宋体"/>
        </w:rPr>
      </w:pPr>
      <w:r>
        <w:rPr>
          <w:rFonts w:hAnsi="宋体" w:cs="宋体"/>
        </w:rPr>
        <w:t xml:space="preserve">NY/T </w:t>
      </w:r>
      <w:r>
        <w:rPr>
          <w:rFonts w:hint="eastAsia" w:hAnsi="宋体" w:cs="宋体"/>
        </w:rPr>
        <w:t>1335  牛人工授精技术规程</w:t>
      </w:r>
    </w:p>
    <w:p>
      <w:pPr>
        <w:pStyle w:val="20"/>
        <w:spacing w:line="360" w:lineRule="exact"/>
        <w:ind w:firstLine="420"/>
        <w:rPr>
          <w:rFonts w:hAnsi="宋体" w:cs="宋体"/>
        </w:rPr>
      </w:pPr>
      <w:r>
        <w:rPr>
          <w:rFonts w:hAnsi="宋体" w:cs="宋体"/>
        </w:rPr>
        <w:t xml:space="preserve">SN/T 1691  </w:t>
      </w:r>
      <w:r>
        <w:rPr>
          <w:rFonts w:hint="eastAsia" w:hAnsi="宋体" w:cs="宋体"/>
        </w:rPr>
        <w:t>进出境种牛检验检疫操作规程</w:t>
      </w:r>
    </w:p>
    <w:p>
      <w:pPr>
        <w:pStyle w:val="20"/>
        <w:spacing w:line="360" w:lineRule="exact"/>
        <w:ind w:firstLine="420"/>
        <w:rPr>
          <w:rFonts w:hAnsi="宋体" w:cs="宋体"/>
        </w:rPr>
      </w:pPr>
      <w:r>
        <w:rPr>
          <w:rFonts w:hAnsi="宋体" w:cs="宋体"/>
        </w:rPr>
        <w:t xml:space="preserve">NY/T 2696  </w:t>
      </w:r>
      <w:r>
        <w:rPr>
          <w:rFonts w:hint="eastAsia" w:hAnsi="宋体" w:cs="宋体"/>
        </w:rPr>
        <w:t>饲草青贮技术规程</w:t>
      </w:r>
    </w:p>
    <w:p>
      <w:pPr>
        <w:pStyle w:val="20"/>
        <w:spacing w:line="360" w:lineRule="exact"/>
        <w:ind w:firstLine="420"/>
        <w:rPr>
          <w:rFonts w:hAnsi="宋体" w:cs="宋体"/>
        </w:rPr>
      </w:pPr>
      <w:r>
        <w:rPr>
          <w:rFonts w:hAnsi="宋体" w:cs="宋体"/>
        </w:rPr>
        <w:t xml:space="preserve">NY 5027  </w:t>
      </w:r>
      <w:r>
        <w:rPr>
          <w:rFonts w:hint="eastAsia" w:hAnsi="宋体" w:cs="宋体"/>
        </w:rPr>
        <w:t>无公害食品</w:t>
      </w:r>
      <w:r>
        <w:rPr>
          <w:rFonts w:hAnsi="宋体" w:cs="宋体"/>
        </w:rPr>
        <w:t xml:space="preserve"> </w:t>
      </w:r>
      <w:r>
        <w:rPr>
          <w:rFonts w:hint="eastAsia" w:hAnsi="宋体" w:cs="宋体"/>
        </w:rPr>
        <w:t>畜禽饮用水水质</w:t>
      </w:r>
    </w:p>
    <w:p>
      <w:pPr>
        <w:pStyle w:val="20"/>
        <w:spacing w:line="360" w:lineRule="exact"/>
        <w:ind w:firstLine="420"/>
        <w:rPr>
          <w:rFonts w:hAnsi="宋体" w:cs="宋体"/>
        </w:rPr>
      </w:pPr>
      <w:r>
        <w:rPr>
          <w:rFonts w:hAnsi="宋体" w:cs="宋体"/>
        </w:rPr>
        <w:t xml:space="preserve">NY/T 5030  </w:t>
      </w:r>
      <w:r>
        <w:rPr>
          <w:rFonts w:hint="eastAsia" w:hAnsi="宋体" w:cs="宋体"/>
        </w:rPr>
        <w:t>无公害农产品</w:t>
      </w:r>
      <w:r>
        <w:rPr>
          <w:rFonts w:hAnsi="宋体" w:cs="宋体"/>
        </w:rPr>
        <w:t xml:space="preserve"> </w:t>
      </w:r>
      <w:r>
        <w:rPr>
          <w:rFonts w:hint="eastAsia" w:hAnsi="宋体" w:cs="宋体"/>
        </w:rPr>
        <w:t>兽药使用准则</w:t>
      </w:r>
    </w:p>
    <w:p>
      <w:pPr>
        <w:pStyle w:val="20"/>
        <w:spacing w:line="360" w:lineRule="exact"/>
        <w:ind w:firstLine="420"/>
        <w:rPr>
          <w:rFonts w:hAnsi="宋体" w:cs="宋体"/>
        </w:rPr>
      </w:pPr>
      <w:r>
        <w:rPr>
          <w:rFonts w:hAnsi="宋体" w:cs="宋体"/>
        </w:rPr>
        <w:t xml:space="preserve">NY 5032  </w:t>
      </w:r>
      <w:r>
        <w:rPr>
          <w:rFonts w:hint="eastAsia" w:hAnsi="宋体" w:cs="宋体"/>
        </w:rPr>
        <w:t>无公害食品</w:t>
      </w:r>
      <w:r>
        <w:rPr>
          <w:rFonts w:hAnsi="宋体" w:cs="宋体"/>
        </w:rPr>
        <w:t xml:space="preserve"> </w:t>
      </w:r>
      <w:r>
        <w:rPr>
          <w:rFonts w:hint="eastAsia" w:hAnsi="宋体" w:cs="宋体"/>
        </w:rPr>
        <w:t>畜禽饲料和饲料添加剂使用准则</w:t>
      </w:r>
    </w:p>
    <w:p>
      <w:pPr>
        <w:pStyle w:val="20"/>
        <w:spacing w:line="360" w:lineRule="exact"/>
        <w:ind w:firstLine="420"/>
        <w:rPr>
          <w:rFonts w:hAnsi="宋体" w:cs="宋体"/>
        </w:rPr>
      </w:pPr>
      <w:r>
        <w:rPr>
          <w:rFonts w:hAnsi="宋体" w:cs="宋体"/>
        </w:rPr>
        <w:t xml:space="preserve">NY/T 5339  </w:t>
      </w:r>
      <w:r>
        <w:rPr>
          <w:rFonts w:hint="eastAsia" w:hAnsi="宋体" w:cs="宋体"/>
        </w:rPr>
        <w:t>无公害农产品</w:t>
      </w:r>
      <w:r>
        <w:rPr>
          <w:rFonts w:hAnsi="宋体" w:cs="宋体"/>
        </w:rPr>
        <w:t xml:space="preserve"> </w:t>
      </w:r>
      <w:r>
        <w:rPr>
          <w:rFonts w:hint="eastAsia" w:hAnsi="宋体" w:cs="宋体"/>
        </w:rPr>
        <w:t>畜禽防疫准则</w:t>
      </w:r>
    </w:p>
    <w:p>
      <w:pPr>
        <w:spacing w:line="360" w:lineRule="exact"/>
        <w:ind w:firstLine="420" w:firstLineChars="200"/>
        <w:rPr>
          <w:rFonts w:ascii="宋体" w:cs="宋体"/>
          <w:kern w:val="0"/>
          <w:szCs w:val="21"/>
          <w:highlight w:val="yellow"/>
        </w:rPr>
      </w:pPr>
      <w:r>
        <w:rPr>
          <w:rFonts w:hint="eastAsia" w:ascii="宋体" w:hAnsi="宋体" w:cs="宋体"/>
        </w:rPr>
        <w:t>中华人民共和国农业部公告</w:t>
      </w:r>
      <w:r>
        <w:rPr>
          <w:rFonts w:ascii="宋体" w:hAnsi="宋体" w:cs="宋体"/>
        </w:rPr>
        <w:t xml:space="preserve"> </w:t>
      </w:r>
      <w:r>
        <w:rPr>
          <w:rFonts w:hint="eastAsia" w:ascii="宋体" w:hAnsi="宋体" w:cs="宋体"/>
        </w:rPr>
        <w:t>第</w:t>
      </w:r>
      <w:r>
        <w:rPr>
          <w:rFonts w:ascii="宋体" w:hAnsi="宋体" w:cs="宋体"/>
        </w:rPr>
        <w:t>168</w:t>
      </w:r>
      <w:r>
        <w:rPr>
          <w:rFonts w:hint="eastAsia" w:ascii="宋体" w:hAnsi="宋体" w:cs="宋体"/>
        </w:rPr>
        <w:t>号《饲料药物添加剂使用规范》。</w:t>
      </w:r>
    </w:p>
    <w:p>
      <w:pPr>
        <w:pStyle w:val="20"/>
        <w:spacing w:line="360" w:lineRule="exact"/>
        <w:ind w:firstLine="420"/>
        <w:rPr>
          <w:rFonts w:hAnsi="宋体" w:cs="宋体"/>
        </w:rPr>
      </w:pPr>
      <w:r>
        <w:rPr>
          <w:rFonts w:hint="eastAsia" w:hAnsi="宋体" w:cs="宋体"/>
        </w:rPr>
        <w:t>中华人民共和国农业部公告</w:t>
      </w:r>
      <w:r>
        <w:rPr>
          <w:rFonts w:hAnsi="宋体" w:cs="宋体"/>
        </w:rPr>
        <w:t xml:space="preserve"> </w:t>
      </w:r>
      <w:r>
        <w:rPr>
          <w:rFonts w:hint="eastAsia" w:hAnsi="宋体" w:cs="宋体"/>
        </w:rPr>
        <w:t>第</w:t>
      </w:r>
      <w:r>
        <w:rPr>
          <w:rFonts w:hAnsi="宋体" w:cs="宋体"/>
        </w:rPr>
        <w:t>2625</w:t>
      </w:r>
      <w:r>
        <w:rPr>
          <w:rFonts w:hint="eastAsia" w:hAnsi="宋体" w:cs="宋体"/>
        </w:rPr>
        <w:t>号</w:t>
      </w:r>
      <w:r>
        <w:rPr>
          <w:rFonts w:hAnsi="宋体" w:cs="宋体"/>
        </w:rPr>
        <w:t xml:space="preserve"> </w:t>
      </w:r>
      <w:r>
        <w:rPr>
          <w:rFonts w:hint="eastAsia" w:hAnsi="宋体" w:cs="宋体"/>
        </w:rPr>
        <w:t>《饲料添加剂安全使用规范》</w:t>
      </w:r>
    </w:p>
    <w:p>
      <w:pPr>
        <w:pStyle w:val="20"/>
        <w:spacing w:line="360" w:lineRule="exact"/>
        <w:ind w:firstLine="420"/>
        <w:rPr>
          <w:rFonts w:hAnsi="宋体" w:cs="宋体"/>
        </w:rPr>
      </w:pPr>
      <w:r>
        <w:rPr>
          <w:rFonts w:hint="eastAsia" w:hAnsi="宋体" w:cs="宋体"/>
        </w:rPr>
        <w:t>中国人民共和国农业部公告</w:t>
      </w:r>
      <w:r>
        <w:rPr>
          <w:rFonts w:hAnsi="宋体" w:cs="宋体"/>
        </w:rPr>
        <w:t xml:space="preserve">  2017</w:t>
      </w:r>
      <w:r>
        <w:rPr>
          <w:rFonts w:hint="eastAsia" w:hAnsi="宋体" w:cs="宋体"/>
        </w:rPr>
        <w:t>年第</w:t>
      </w:r>
      <w:r>
        <w:rPr>
          <w:rFonts w:hAnsi="宋体" w:cs="宋体"/>
        </w:rPr>
        <w:t>25</w:t>
      </w:r>
      <w:r>
        <w:rPr>
          <w:rFonts w:hint="eastAsia" w:hAnsi="宋体" w:cs="宋体"/>
        </w:rPr>
        <w:t>号《病死及病害动物无害化处理技术规范》</w:t>
      </w:r>
    </w:p>
    <w:p>
      <w:pPr>
        <w:pStyle w:val="20"/>
        <w:spacing w:line="360" w:lineRule="exact"/>
        <w:ind w:firstLine="420"/>
        <w:rPr>
          <w:rFonts w:hAnsi="宋体" w:cs="宋体"/>
        </w:rPr>
      </w:pPr>
      <w:r>
        <w:rPr>
          <w:rFonts w:hint="eastAsia" w:hAnsi="宋体" w:cs="宋体"/>
        </w:rPr>
        <w:t>中国人民共和国农业部公告</w:t>
      </w:r>
      <w:r>
        <w:rPr>
          <w:rFonts w:hAnsi="宋体" w:cs="宋体"/>
        </w:rPr>
        <w:t xml:space="preserve">  2004</w:t>
      </w:r>
      <w:r>
        <w:rPr>
          <w:rFonts w:hint="eastAsia" w:hAnsi="宋体" w:cs="宋体"/>
        </w:rPr>
        <w:t>年第</w:t>
      </w:r>
      <w:r>
        <w:rPr>
          <w:rFonts w:hAnsi="宋体" w:cs="宋体"/>
        </w:rPr>
        <w:t>38</w:t>
      </w:r>
      <w:r>
        <w:rPr>
          <w:rFonts w:hint="eastAsia" w:hAnsi="宋体" w:cs="宋体"/>
        </w:rPr>
        <w:t>号《种畜禽管理条例实施细则》</w:t>
      </w:r>
    </w:p>
    <w:p>
      <w:pPr>
        <w:pStyle w:val="20"/>
        <w:spacing w:line="360" w:lineRule="exact"/>
        <w:ind w:firstLine="420"/>
        <w:rPr>
          <w:rFonts w:hAnsi="宋体" w:cs="宋体"/>
        </w:rPr>
      </w:pPr>
      <w:r>
        <w:rPr>
          <w:rFonts w:hint="eastAsia" w:hAnsi="宋体" w:cs="宋体"/>
        </w:rPr>
        <w:t>中国人民共和国农业部公告</w:t>
      </w:r>
      <w:r>
        <w:rPr>
          <w:rFonts w:hAnsi="宋体" w:cs="宋体"/>
        </w:rPr>
        <w:t xml:space="preserve">  2018</w:t>
      </w:r>
      <w:r>
        <w:rPr>
          <w:rFonts w:hint="eastAsia" w:hAnsi="宋体" w:cs="宋体"/>
        </w:rPr>
        <w:t>年第</w:t>
      </w:r>
      <w:r>
        <w:rPr>
          <w:rFonts w:hAnsi="宋体" w:cs="宋体"/>
        </w:rPr>
        <w:t>278</w:t>
      </w:r>
      <w:r>
        <w:rPr>
          <w:rFonts w:hint="eastAsia" w:hAnsi="宋体" w:cs="宋体"/>
        </w:rPr>
        <w:t>号《兽药停药期规定》</w:t>
      </w:r>
    </w:p>
    <w:p>
      <w:pPr>
        <w:pStyle w:val="20"/>
        <w:spacing w:line="360" w:lineRule="exact"/>
        <w:ind w:firstLine="420"/>
      </w:pPr>
      <w:r>
        <w:rPr>
          <w:rFonts w:hint="eastAsia" w:hAnsi="宋体" w:cs="宋体"/>
        </w:rPr>
        <w:t>中国人民共和国农业部公告</w:t>
      </w:r>
      <w:r>
        <w:rPr>
          <w:rFonts w:hAnsi="宋体" w:cs="宋体"/>
        </w:rPr>
        <w:t xml:space="preserve">  2017</w:t>
      </w:r>
      <w:r>
        <w:rPr>
          <w:rFonts w:hint="eastAsia" w:hAnsi="宋体" w:cs="宋体"/>
        </w:rPr>
        <w:t>年第</w:t>
      </w:r>
      <w:r>
        <w:rPr>
          <w:rFonts w:hAnsi="宋体" w:cs="宋体"/>
        </w:rPr>
        <w:t>2513</w:t>
      </w:r>
      <w:r>
        <w:rPr>
          <w:rFonts w:hint="eastAsia" w:hAnsi="宋体" w:cs="宋体"/>
        </w:rPr>
        <w:t>号《兽药质量标准》</w:t>
      </w:r>
    </w:p>
    <w:p>
      <w:pPr>
        <w:pStyle w:val="24"/>
        <w:numPr>
          <w:ilvl w:val="0"/>
          <w:numId w:val="1"/>
        </w:numPr>
        <w:spacing w:before="312" w:beforeLines="100" w:after="312" w:afterLines="100"/>
      </w:pPr>
      <w:r>
        <w:rPr>
          <w:rFonts w:hint="eastAsia"/>
        </w:rPr>
        <w:t>3.术语和定义</w:t>
      </w:r>
    </w:p>
    <w:p>
      <w:pPr>
        <w:pStyle w:val="20"/>
        <w:tabs>
          <w:tab w:val="left" w:pos="5331"/>
        </w:tabs>
        <w:ind w:firstLine="420"/>
      </w:pPr>
      <w:r>
        <w:rPr>
          <w:rFonts w:hint="eastAsia"/>
        </w:rPr>
        <w:t>下列术语和定义适用于本规程。</w:t>
      </w:r>
      <w:r>
        <w:tab/>
      </w:r>
    </w:p>
    <w:p>
      <w:pPr>
        <w:pStyle w:val="20"/>
        <w:ind w:firstLine="0" w:firstLineChars="0"/>
      </w:pPr>
      <w:r>
        <w:t xml:space="preserve">3.1  </w:t>
      </w:r>
      <w:r>
        <w:rPr>
          <w:rFonts w:hint="eastAsia"/>
        </w:rPr>
        <w:t>山地</w:t>
      </w:r>
    </w:p>
    <w:p>
      <w:pPr>
        <w:pStyle w:val="20"/>
        <w:ind w:firstLine="420"/>
      </w:pPr>
      <w:r>
        <w:rPr>
          <w:rFonts w:hint="eastAsia"/>
        </w:rPr>
        <w:t>指地表起伏大、坡度陡峭，沟谷幽深且多呈脉状分布，平均海拔</w:t>
      </w:r>
      <w:r>
        <w:t>500</w:t>
      </w:r>
      <w:r>
        <w:rPr>
          <w:rFonts w:hint="eastAsia"/>
        </w:rPr>
        <w:t>米以上的区域。</w:t>
      </w:r>
    </w:p>
    <w:p>
      <w:pPr>
        <w:pStyle w:val="20"/>
        <w:ind w:firstLine="0" w:firstLineChars="0"/>
      </w:pPr>
      <w:r>
        <w:t xml:space="preserve">3.2  </w:t>
      </w:r>
      <w:r>
        <w:rPr>
          <w:rFonts w:hint="eastAsia"/>
        </w:rPr>
        <w:t>规模场</w:t>
      </w:r>
    </w:p>
    <w:p>
      <w:pPr>
        <w:pStyle w:val="20"/>
        <w:ind w:firstLine="420"/>
      </w:pPr>
      <w:r>
        <w:rPr>
          <w:rFonts w:hint="eastAsia"/>
        </w:rPr>
        <w:t>指年存栏</w:t>
      </w:r>
      <w:r>
        <w:t>200</w:t>
      </w:r>
      <w:r>
        <w:rPr>
          <w:rFonts w:hint="eastAsia"/>
        </w:rPr>
        <w:t>头以上或年出栏</w:t>
      </w:r>
      <w:r>
        <w:t>100</w:t>
      </w:r>
      <w:r>
        <w:rPr>
          <w:rFonts w:hint="eastAsia"/>
        </w:rPr>
        <w:t>头以上的肉牛养殖场。</w:t>
      </w:r>
    </w:p>
    <w:p>
      <w:pPr>
        <w:pStyle w:val="20"/>
        <w:ind w:firstLine="420"/>
      </w:pPr>
      <w:r>
        <w:t xml:space="preserve">3.3  </w:t>
      </w:r>
      <w:r>
        <w:rPr>
          <w:rFonts w:hint="eastAsia"/>
        </w:rPr>
        <w:t>杂交</w:t>
      </w:r>
    </w:p>
    <w:p>
      <w:pPr>
        <w:pStyle w:val="20"/>
        <w:ind w:firstLine="420"/>
      </w:pPr>
      <w:r>
        <w:rPr>
          <w:rFonts w:hint="eastAsia"/>
        </w:rPr>
        <w:t>指将两个或两个以上肉牛品种的优良性状基因通过自然交配或人工授精技术集中在一起</w:t>
      </w:r>
      <w:r>
        <w:t>,</w:t>
      </w:r>
      <w:r>
        <w:rPr>
          <w:rFonts w:hint="eastAsia"/>
        </w:rPr>
        <w:t>再经过选择和培育</w:t>
      </w:r>
      <w:r>
        <w:t>,</w:t>
      </w:r>
      <w:r>
        <w:rPr>
          <w:rFonts w:hint="eastAsia"/>
        </w:rPr>
        <w:t>获得新的肉牛品种的方法。</w:t>
      </w:r>
    </w:p>
    <w:p>
      <w:pPr>
        <w:pStyle w:val="20"/>
        <w:ind w:firstLine="420"/>
      </w:pPr>
      <w:r>
        <w:t xml:space="preserve">3.4  </w:t>
      </w:r>
      <w:r>
        <w:rPr>
          <w:rFonts w:hint="eastAsia"/>
        </w:rPr>
        <w:t>放牧</w:t>
      </w:r>
    </w:p>
    <w:p>
      <w:pPr>
        <w:pStyle w:val="20"/>
        <w:ind w:firstLine="420"/>
      </w:pPr>
      <w:r>
        <w:rPr>
          <w:rFonts w:hint="eastAsia"/>
        </w:rPr>
        <w:t>人工管护下的肉牛自行采食</w:t>
      </w:r>
      <w:r>
        <w:fldChar w:fldCharType="begin"/>
      </w:r>
      <w:r>
        <w:instrText xml:space="preserve">HYPERLINK "https://baike.baidu.com/item/%E7%89%A7%E8%8D%89/4525571"</w:instrText>
      </w:r>
      <w:r>
        <w:fldChar w:fldCharType="separate"/>
      </w:r>
      <w:r>
        <w:rPr>
          <w:rFonts w:hint="eastAsia"/>
        </w:rPr>
        <w:t>牧草</w:t>
      </w:r>
      <w:r>
        <w:fldChar w:fldCharType="end"/>
      </w:r>
      <w:r>
        <w:rPr>
          <w:rFonts w:hint="eastAsia"/>
        </w:rPr>
        <w:t>并将其转化成畜产品的一种饲养方式。</w:t>
      </w:r>
    </w:p>
    <w:p>
      <w:pPr>
        <w:pStyle w:val="20"/>
        <w:ind w:firstLine="420"/>
      </w:pPr>
      <w:r>
        <w:t xml:space="preserve">3.5  </w:t>
      </w:r>
      <w:r>
        <w:rPr>
          <w:rFonts w:hint="eastAsia"/>
        </w:rPr>
        <w:t>舍饲</w:t>
      </w:r>
    </w:p>
    <w:p>
      <w:pPr>
        <w:pStyle w:val="20"/>
        <w:ind w:firstLine="420"/>
      </w:pPr>
      <w:r>
        <w:rPr>
          <w:rFonts w:hint="eastAsia"/>
        </w:rPr>
        <w:t>肉牛采用全天圈养的一种饲养方式。</w:t>
      </w:r>
    </w:p>
    <w:p>
      <w:pPr>
        <w:pStyle w:val="20"/>
        <w:ind w:firstLine="420"/>
      </w:pPr>
      <w:r>
        <w:t xml:space="preserve">3.6  </w:t>
      </w:r>
      <w:r>
        <w:rPr>
          <w:rFonts w:hint="eastAsia"/>
        </w:rPr>
        <w:t>半舍饲</w:t>
      </w:r>
    </w:p>
    <w:p>
      <w:pPr>
        <w:pStyle w:val="20"/>
        <w:ind w:firstLine="420"/>
      </w:pPr>
      <w:r>
        <w:rPr>
          <w:rFonts w:hint="eastAsia"/>
        </w:rPr>
        <w:t>舍饲与放牧相结合的饲养方式。</w:t>
      </w:r>
    </w:p>
    <w:p>
      <w:pPr>
        <w:pStyle w:val="20"/>
        <w:ind w:firstLine="420"/>
      </w:pPr>
      <w:r>
        <w:t xml:space="preserve">3.7  </w:t>
      </w:r>
      <w:r>
        <w:rPr>
          <w:rFonts w:hint="eastAsia"/>
        </w:rPr>
        <w:t>补饲</w:t>
      </w:r>
    </w:p>
    <w:p>
      <w:pPr>
        <w:pStyle w:val="20"/>
        <w:ind w:firstLine="420"/>
      </w:pPr>
      <w:r>
        <w:rPr>
          <w:rFonts w:hint="eastAsia"/>
        </w:rPr>
        <w:t>为了更好地满足放牧牛的营养需要，为其额外补充的精料或优质草料。</w:t>
      </w:r>
    </w:p>
    <w:p>
      <w:pPr>
        <w:pStyle w:val="20"/>
        <w:ind w:firstLine="0" w:firstLineChars="0"/>
      </w:pPr>
      <w:r>
        <w:t xml:space="preserve">4  </w:t>
      </w:r>
      <w:r>
        <w:rPr>
          <w:rFonts w:hint="eastAsia"/>
        </w:rPr>
        <w:t>养殖场建设</w:t>
      </w:r>
    </w:p>
    <w:p>
      <w:pPr>
        <w:pStyle w:val="20"/>
        <w:ind w:firstLine="420"/>
      </w:pPr>
      <w:r>
        <w:t xml:space="preserve">4.1 </w:t>
      </w:r>
      <w:r>
        <w:rPr>
          <w:rFonts w:hint="eastAsia"/>
        </w:rPr>
        <w:t>牛场环境</w:t>
      </w:r>
    </w:p>
    <w:p>
      <w:pPr>
        <w:pStyle w:val="20"/>
        <w:ind w:firstLine="420"/>
      </w:pPr>
      <w:r>
        <w:rPr>
          <w:rFonts w:hint="eastAsia"/>
          <w:lang w:eastAsia="zh-CN"/>
        </w:rPr>
        <w:t>规模</w:t>
      </w:r>
      <w:r>
        <w:rPr>
          <w:rFonts w:hint="eastAsia"/>
        </w:rPr>
        <w:t>养殖场环境质量应符合</w:t>
      </w:r>
      <w:r>
        <w:t>NY/T 388</w:t>
      </w:r>
      <w:r>
        <w:rPr>
          <w:rFonts w:hint="eastAsia"/>
        </w:rPr>
        <w:t>的规定，空气质量应符合</w:t>
      </w:r>
      <w:r>
        <w:t>GB 3095</w:t>
      </w:r>
      <w:r>
        <w:rPr>
          <w:rFonts w:hint="eastAsia"/>
        </w:rPr>
        <w:t>的规定、土壤质量应符合</w:t>
      </w:r>
      <w:r>
        <w:t>GB 15618</w:t>
      </w:r>
      <w:r>
        <w:rPr>
          <w:rFonts w:hint="eastAsia"/>
        </w:rPr>
        <w:t>的规定、水质量应符合</w:t>
      </w:r>
      <w:r>
        <w:t>NY 5027</w:t>
      </w:r>
      <w:r>
        <w:rPr>
          <w:rFonts w:hint="eastAsia"/>
        </w:rPr>
        <w:t>的规定。</w:t>
      </w:r>
    </w:p>
    <w:p>
      <w:pPr>
        <w:pStyle w:val="20"/>
        <w:ind w:firstLine="420"/>
      </w:pPr>
      <w:r>
        <w:t xml:space="preserve">4.2 </w:t>
      </w:r>
      <w:r>
        <w:rPr>
          <w:rFonts w:hint="eastAsia"/>
        </w:rPr>
        <w:t>场址选择</w:t>
      </w:r>
    </w:p>
    <w:p>
      <w:pPr>
        <w:pStyle w:val="20"/>
        <w:ind w:firstLine="420"/>
      </w:pPr>
      <w:r>
        <w:rPr>
          <w:rFonts w:hint="eastAsia"/>
        </w:rPr>
        <w:t>选择在地势高燥、采光充足、排水良好、水电有保障、交通方便、易于组织防疫的地方，并有丰富的草地资源或饲草料种植地，能满足牛场规模发展的需要并同时满足本地区农牧业生产发展总体规划、土地利用发展规划、城乡建设发展规划和环境保护规划的规定。</w:t>
      </w:r>
    </w:p>
    <w:p>
      <w:pPr>
        <w:pStyle w:val="20"/>
        <w:ind w:firstLine="420"/>
      </w:pPr>
      <w:r>
        <w:t xml:space="preserve">4.3 </w:t>
      </w:r>
      <w:r>
        <w:rPr>
          <w:rFonts w:hint="eastAsia"/>
        </w:rPr>
        <w:t>牛场布局</w:t>
      </w:r>
    </w:p>
    <w:p>
      <w:pPr>
        <w:pStyle w:val="20"/>
        <w:ind w:firstLine="420"/>
      </w:pPr>
      <w:r>
        <w:rPr>
          <w:rFonts w:hint="eastAsia"/>
        </w:rPr>
        <w:t>按功能划分为生活区、生产区、无害化处理区。</w:t>
      </w:r>
    </w:p>
    <w:p>
      <w:pPr>
        <w:pStyle w:val="20"/>
        <w:ind w:firstLine="420"/>
      </w:pPr>
      <w:r>
        <w:t xml:space="preserve">4.3.1 </w:t>
      </w:r>
      <w:r>
        <w:rPr>
          <w:rFonts w:hint="eastAsia"/>
        </w:rPr>
        <w:t>生活区位于生产区的上风向或侧风向。</w:t>
      </w:r>
    </w:p>
    <w:p>
      <w:pPr>
        <w:pStyle w:val="20"/>
        <w:ind w:firstLine="420"/>
      </w:pPr>
      <w:r>
        <w:t xml:space="preserve">4.3.2 </w:t>
      </w:r>
      <w:r>
        <w:rPr>
          <w:rFonts w:hint="eastAsia"/>
        </w:rPr>
        <w:t>生产区位于无害化处理区的上风向或侧风向，包括草料仓库、饲料加工区、空怀母牛区、妊娠母牛区、育肥牛区、放养区和牧草种植区。生产区与无害化处理区应隔离。</w:t>
      </w:r>
    </w:p>
    <w:p>
      <w:pPr>
        <w:pStyle w:val="20"/>
        <w:ind w:firstLine="420"/>
      </w:pPr>
      <w:r>
        <w:t xml:space="preserve">4.3.3 </w:t>
      </w:r>
      <w:r>
        <w:rPr>
          <w:rFonts w:hint="eastAsia"/>
        </w:rPr>
        <w:t>无害化处理区位于生产区的下风向，且地势较低处，区内设置隔离牛舍、兽医诊断室、积粪棚、污物堆放棚、污水处理池、装卸牛台等设施设备。</w:t>
      </w:r>
    </w:p>
    <w:p>
      <w:pPr>
        <w:pStyle w:val="20"/>
        <w:ind w:firstLine="420"/>
      </w:pPr>
      <w:r>
        <w:t xml:space="preserve">4.4 </w:t>
      </w:r>
      <w:r>
        <w:rPr>
          <w:rFonts w:hint="eastAsia"/>
        </w:rPr>
        <w:t>牛舍建设</w:t>
      </w:r>
    </w:p>
    <w:p>
      <w:pPr>
        <w:pStyle w:val="20"/>
        <w:ind w:firstLine="420"/>
      </w:pPr>
      <w:r>
        <w:rPr>
          <w:rFonts w:hint="eastAsia"/>
        </w:rPr>
        <w:t>养殖场设计应符合</w:t>
      </w:r>
      <w:r>
        <w:t xml:space="preserve">NY/T 682 </w:t>
      </w:r>
      <w:r>
        <w:rPr>
          <w:rFonts w:hint="eastAsia"/>
        </w:rPr>
        <w:t>的规定。</w:t>
      </w:r>
    </w:p>
    <w:p>
      <w:pPr>
        <w:pStyle w:val="20"/>
      </w:pPr>
      <w:r>
        <w:t>4.</w:t>
      </w:r>
      <w:r>
        <w:rPr>
          <w:rFonts w:hint="eastAsia"/>
          <w:lang w:val="en-US" w:eastAsia="zh-CN"/>
        </w:rPr>
        <w:t>4</w:t>
      </w:r>
      <w:r>
        <w:t xml:space="preserve">.1  </w:t>
      </w:r>
      <w:r>
        <w:rPr>
          <w:rFonts w:hint="eastAsia"/>
        </w:rPr>
        <w:t>根据山地地势情况，牛舍为单列或双列开放式、半开放式建筑，屋顶采用隔热保暖材料，地面要求平整干燥，满足遮风避雨、防寒保暖、采光、通风，四周排水畅通的要求。主要技术参数见表</w:t>
      </w:r>
      <w:r>
        <w:t>1</w:t>
      </w:r>
      <w:r>
        <w:rPr>
          <w:rFonts w:hint="eastAsia"/>
        </w:rPr>
        <w:t>。</w:t>
      </w:r>
    </w:p>
    <w:p>
      <w:pPr>
        <w:jc w:val="center"/>
        <w:rPr>
          <w:rFonts w:ascii="宋体"/>
          <w:szCs w:val="21"/>
        </w:rPr>
      </w:pPr>
    </w:p>
    <w:p>
      <w:pPr>
        <w:jc w:val="center"/>
        <w:rPr>
          <w:rFonts w:ascii="宋体"/>
          <w:szCs w:val="21"/>
        </w:rPr>
      </w:pPr>
    </w:p>
    <w:p>
      <w:pPr>
        <w:jc w:val="center"/>
        <w:rPr>
          <w:rFonts w:ascii="宋体"/>
          <w:szCs w:val="21"/>
        </w:rPr>
      </w:pPr>
      <w:r>
        <w:rPr>
          <w:rFonts w:hint="eastAsia" w:ascii="宋体" w:hAnsi="宋体"/>
          <w:szCs w:val="21"/>
        </w:rPr>
        <w:t>表</w:t>
      </w:r>
      <w:r>
        <w:rPr>
          <w:rFonts w:ascii="宋体" w:hAnsi="宋体"/>
          <w:szCs w:val="21"/>
        </w:rPr>
        <w:t xml:space="preserve">1  </w:t>
      </w:r>
      <w:r>
        <w:rPr>
          <w:rFonts w:hint="eastAsia" w:ascii="宋体" w:hAnsi="宋体"/>
          <w:szCs w:val="21"/>
        </w:rPr>
        <w:t>牛舍建设技术参数</w:t>
      </w:r>
    </w:p>
    <w:tbl>
      <w:tblPr>
        <w:tblStyle w:val="13"/>
        <w:tblW w:w="9597" w:type="dxa"/>
        <w:tblInd w:w="-318" w:type="dxa"/>
        <w:tblLayout w:type="fixed"/>
        <w:tblCellMar>
          <w:top w:w="0" w:type="dxa"/>
          <w:left w:w="108" w:type="dxa"/>
          <w:bottom w:w="0" w:type="dxa"/>
          <w:right w:w="108" w:type="dxa"/>
        </w:tblCellMar>
      </w:tblPr>
      <w:tblGrid>
        <w:gridCol w:w="568"/>
        <w:gridCol w:w="851"/>
        <w:gridCol w:w="708"/>
        <w:gridCol w:w="851"/>
        <w:gridCol w:w="709"/>
        <w:gridCol w:w="666"/>
        <w:gridCol w:w="751"/>
        <w:gridCol w:w="756"/>
        <w:gridCol w:w="803"/>
        <w:gridCol w:w="756"/>
        <w:gridCol w:w="666"/>
        <w:gridCol w:w="756"/>
        <w:gridCol w:w="756"/>
      </w:tblGrid>
      <w:tr>
        <w:tblPrEx>
          <w:tblLayout w:type="fixed"/>
          <w:tblCellMar>
            <w:top w:w="0" w:type="dxa"/>
            <w:left w:w="108" w:type="dxa"/>
            <w:bottom w:w="0" w:type="dxa"/>
            <w:right w:w="108" w:type="dxa"/>
          </w:tblCellMar>
        </w:tblPrEx>
        <w:trPr>
          <w:trHeight w:val="270" w:hRule="atLeast"/>
        </w:trPr>
        <w:tc>
          <w:tcPr>
            <w:tcW w:w="9597" w:type="dxa"/>
            <w:gridSpan w:val="13"/>
            <w:tcBorders>
              <w:top w:val="nil"/>
              <w:left w:val="nil"/>
              <w:bottom w:val="nil"/>
              <w:right w:val="nil"/>
            </w:tcBorders>
            <w:noWrap/>
            <w:vAlign w:val="center"/>
          </w:tcPr>
          <w:p>
            <w:pPr>
              <w:widowControl/>
              <w:jc w:val="center"/>
              <w:rPr>
                <w:rFonts w:ascii="宋体"/>
                <w:kern w:val="0"/>
                <w:sz w:val="22"/>
                <w:szCs w:val="22"/>
              </w:rPr>
            </w:pPr>
          </w:p>
        </w:tc>
      </w:tr>
      <w:tr>
        <w:tblPrEx>
          <w:tblLayout w:type="fixed"/>
          <w:tblCellMar>
            <w:top w:w="0" w:type="dxa"/>
            <w:left w:w="108" w:type="dxa"/>
            <w:bottom w:w="0" w:type="dxa"/>
            <w:right w:w="108" w:type="dxa"/>
          </w:tblCellMar>
        </w:tblPrEx>
        <w:trPr>
          <w:trHeight w:val="270" w:hRule="atLeast"/>
        </w:trPr>
        <w:tc>
          <w:tcPr>
            <w:tcW w:w="568" w:type="dxa"/>
            <w:vMerge w:val="restart"/>
            <w:tcBorders>
              <w:top w:val="single" w:color="auto" w:sz="4" w:space="0"/>
              <w:left w:val="single" w:color="auto" w:sz="4" w:space="0"/>
              <w:bottom w:val="single" w:color="000000" w:sz="4" w:space="0"/>
              <w:right w:val="single" w:color="auto" w:sz="4" w:space="0"/>
            </w:tcBorders>
            <w:noWrap/>
            <w:vAlign w:val="center"/>
          </w:tcPr>
          <w:p>
            <w:pPr>
              <w:widowControl/>
              <w:jc w:val="center"/>
              <w:rPr>
                <w:rFonts w:ascii="宋体"/>
                <w:kern w:val="0"/>
                <w:sz w:val="18"/>
                <w:szCs w:val="18"/>
              </w:rPr>
            </w:pPr>
            <w:r>
              <w:rPr>
                <w:rFonts w:hint="eastAsia" w:ascii="宋体" w:hAnsi="宋体"/>
                <w:kern w:val="0"/>
                <w:sz w:val="18"/>
                <w:szCs w:val="18"/>
              </w:rPr>
              <w:t>结构</w:t>
            </w:r>
          </w:p>
        </w:tc>
        <w:tc>
          <w:tcPr>
            <w:tcW w:w="851" w:type="dxa"/>
            <w:vMerge w:val="restart"/>
            <w:tcBorders>
              <w:top w:val="single" w:color="auto" w:sz="4" w:space="0"/>
              <w:left w:val="nil"/>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hAnsi="宋体"/>
                <w:kern w:val="0"/>
                <w:sz w:val="18"/>
                <w:szCs w:val="18"/>
              </w:rPr>
              <w:t>舍脊高（</w:t>
            </w:r>
            <w:r>
              <w:rPr>
                <w:rFonts w:ascii="宋体" w:hAnsi="宋体"/>
                <w:kern w:val="0"/>
                <w:sz w:val="18"/>
                <w:szCs w:val="18"/>
              </w:rPr>
              <w:t>m</w:t>
            </w:r>
            <w:r>
              <w:rPr>
                <w:rFonts w:hint="eastAsia" w:ascii="宋体" w:hAnsi="宋体"/>
                <w:kern w:val="0"/>
                <w:sz w:val="18"/>
                <w:szCs w:val="18"/>
              </w:rPr>
              <w:t>）</w:t>
            </w:r>
          </w:p>
        </w:tc>
        <w:tc>
          <w:tcPr>
            <w:tcW w:w="708" w:type="dxa"/>
            <w:vMerge w:val="restart"/>
            <w:tcBorders>
              <w:top w:val="single" w:color="auto" w:sz="4" w:space="0"/>
              <w:left w:val="nil"/>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hAnsi="宋体"/>
                <w:kern w:val="0"/>
                <w:sz w:val="18"/>
                <w:szCs w:val="18"/>
              </w:rPr>
              <w:t>舍檐高（</w:t>
            </w:r>
            <w:r>
              <w:rPr>
                <w:rFonts w:ascii="宋体" w:hAnsi="宋体"/>
                <w:kern w:val="0"/>
                <w:sz w:val="18"/>
                <w:szCs w:val="18"/>
              </w:rPr>
              <w:t>m</w:t>
            </w:r>
            <w:r>
              <w:rPr>
                <w:rFonts w:hint="eastAsia" w:ascii="宋体" w:hAnsi="宋体"/>
                <w:kern w:val="0"/>
                <w:sz w:val="18"/>
                <w:szCs w:val="18"/>
              </w:rPr>
              <w:t>）</w:t>
            </w:r>
          </w:p>
        </w:tc>
        <w:tc>
          <w:tcPr>
            <w:tcW w:w="2226" w:type="dxa"/>
            <w:gridSpan w:val="3"/>
            <w:tcBorders>
              <w:top w:val="single" w:color="auto" w:sz="4" w:space="0"/>
              <w:left w:val="nil"/>
              <w:bottom w:val="single" w:color="auto" w:sz="4" w:space="0"/>
              <w:right w:val="single" w:color="000000" w:sz="4" w:space="0"/>
            </w:tcBorders>
            <w:noWrap/>
            <w:vAlign w:val="center"/>
          </w:tcPr>
          <w:p>
            <w:pPr>
              <w:widowControl/>
              <w:jc w:val="center"/>
              <w:rPr>
                <w:rFonts w:ascii="宋体"/>
                <w:kern w:val="0"/>
                <w:sz w:val="18"/>
                <w:szCs w:val="18"/>
              </w:rPr>
            </w:pPr>
            <w:r>
              <w:rPr>
                <w:rFonts w:hint="eastAsia" w:ascii="宋体" w:hAnsi="宋体"/>
                <w:kern w:val="0"/>
                <w:sz w:val="18"/>
                <w:szCs w:val="18"/>
              </w:rPr>
              <w:t>牛床</w:t>
            </w:r>
          </w:p>
        </w:tc>
        <w:tc>
          <w:tcPr>
            <w:tcW w:w="75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ascii="宋体"/>
                <w:kern w:val="0"/>
                <w:sz w:val="18"/>
                <w:szCs w:val="18"/>
              </w:rPr>
            </w:pPr>
            <w:r>
              <w:rPr>
                <w:rFonts w:hint="eastAsia" w:ascii="宋体" w:hAnsi="宋体"/>
                <w:kern w:val="0"/>
                <w:sz w:val="18"/>
                <w:szCs w:val="18"/>
              </w:rPr>
              <w:t>饲料</w:t>
            </w:r>
          </w:p>
          <w:p>
            <w:pPr>
              <w:widowControl/>
              <w:jc w:val="center"/>
              <w:rPr>
                <w:rFonts w:ascii="宋体"/>
                <w:kern w:val="0"/>
                <w:sz w:val="18"/>
                <w:szCs w:val="18"/>
              </w:rPr>
            </w:pPr>
            <w:r>
              <w:rPr>
                <w:rFonts w:hint="eastAsia" w:ascii="宋体" w:hAnsi="宋体"/>
                <w:kern w:val="0"/>
                <w:sz w:val="18"/>
                <w:szCs w:val="18"/>
              </w:rPr>
              <w:t>通道</w:t>
            </w:r>
            <w:r>
              <w:rPr>
                <w:rFonts w:ascii="宋体"/>
                <w:kern w:val="0"/>
                <w:sz w:val="18"/>
                <w:szCs w:val="18"/>
              </w:rPr>
              <w:br w:type="textWrapping"/>
            </w:r>
            <w:r>
              <w:rPr>
                <w:rFonts w:hint="eastAsia" w:ascii="宋体" w:hAnsi="宋体"/>
                <w:kern w:val="0"/>
                <w:sz w:val="18"/>
                <w:szCs w:val="18"/>
              </w:rPr>
              <w:t>（</w:t>
            </w:r>
            <w:r>
              <w:rPr>
                <w:rFonts w:ascii="宋体" w:hAnsi="宋体"/>
                <w:kern w:val="0"/>
                <w:sz w:val="18"/>
                <w:szCs w:val="18"/>
              </w:rPr>
              <w:t>m)</w:t>
            </w:r>
          </w:p>
        </w:tc>
        <w:tc>
          <w:tcPr>
            <w:tcW w:w="2315" w:type="dxa"/>
            <w:gridSpan w:val="3"/>
            <w:tcBorders>
              <w:top w:val="single" w:color="auto" w:sz="4" w:space="0"/>
              <w:left w:val="nil"/>
              <w:bottom w:val="single" w:color="auto" w:sz="4" w:space="0"/>
              <w:right w:val="single" w:color="000000" w:sz="4" w:space="0"/>
            </w:tcBorders>
            <w:noWrap/>
            <w:vAlign w:val="center"/>
          </w:tcPr>
          <w:p>
            <w:pPr>
              <w:widowControl/>
              <w:jc w:val="center"/>
              <w:rPr>
                <w:rFonts w:ascii="宋体"/>
                <w:kern w:val="0"/>
                <w:sz w:val="18"/>
                <w:szCs w:val="18"/>
              </w:rPr>
            </w:pPr>
            <w:r>
              <w:rPr>
                <w:rFonts w:hint="eastAsia" w:ascii="宋体" w:hAnsi="宋体"/>
                <w:kern w:val="0"/>
                <w:sz w:val="18"/>
                <w:szCs w:val="18"/>
              </w:rPr>
              <w:t>运动场</w:t>
            </w:r>
          </w:p>
        </w:tc>
        <w:tc>
          <w:tcPr>
            <w:tcW w:w="666" w:type="dxa"/>
            <w:vMerge w:val="restart"/>
            <w:tcBorders>
              <w:top w:val="single" w:color="auto" w:sz="4" w:space="0"/>
              <w:left w:val="nil"/>
              <w:bottom w:val="single" w:color="000000" w:sz="4" w:space="0"/>
              <w:right w:val="single" w:color="auto" w:sz="4" w:space="0"/>
            </w:tcBorders>
            <w:noWrap w:val="0"/>
            <w:vAlign w:val="center"/>
          </w:tcPr>
          <w:p>
            <w:pPr>
              <w:widowControl/>
              <w:jc w:val="center"/>
              <w:rPr>
                <w:rFonts w:ascii="宋体"/>
                <w:kern w:val="0"/>
                <w:sz w:val="18"/>
                <w:szCs w:val="18"/>
              </w:rPr>
            </w:pPr>
            <w:r>
              <w:rPr>
                <w:rFonts w:hint="eastAsia" w:ascii="宋体" w:hAnsi="宋体"/>
                <w:kern w:val="0"/>
                <w:sz w:val="18"/>
                <w:szCs w:val="18"/>
              </w:rPr>
              <w:t>清粪通道</w:t>
            </w:r>
            <w:r>
              <w:rPr>
                <w:rFonts w:ascii="宋体"/>
                <w:kern w:val="0"/>
                <w:sz w:val="18"/>
                <w:szCs w:val="18"/>
              </w:rPr>
              <w:br w:type="textWrapping"/>
            </w:r>
            <w:r>
              <w:rPr>
                <w:rFonts w:hint="eastAsia" w:ascii="宋体" w:hAnsi="宋体"/>
                <w:kern w:val="0"/>
                <w:sz w:val="18"/>
                <w:szCs w:val="18"/>
              </w:rPr>
              <w:t>（</w:t>
            </w:r>
            <w:r>
              <w:rPr>
                <w:rFonts w:ascii="宋体" w:hAnsi="宋体"/>
                <w:kern w:val="0"/>
                <w:sz w:val="18"/>
                <w:szCs w:val="18"/>
              </w:rPr>
              <w:t>m</w:t>
            </w:r>
            <w:r>
              <w:rPr>
                <w:rFonts w:hint="eastAsia" w:ascii="宋体" w:hAnsi="宋体"/>
                <w:kern w:val="0"/>
                <w:sz w:val="18"/>
                <w:szCs w:val="18"/>
              </w:rPr>
              <w:t>）</w:t>
            </w:r>
          </w:p>
        </w:tc>
        <w:tc>
          <w:tcPr>
            <w:tcW w:w="1512" w:type="dxa"/>
            <w:gridSpan w:val="2"/>
            <w:tcBorders>
              <w:top w:val="single" w:color="auto" w:sz="4" w:space="0"/>
              <w:left w:val="nil"/>
              <w:bottom w:val="single" w:color="auto" w:sz="4" w:space="0"/>
              <w:right w:val="single" w:color="000000" w:sz="4" w:space="0"/>
            </w:tcBorders>
            <w:noWrap/>
            <w:vAlign w:val="center"/>
          </w:tcPr>
          <w:p>
            <w:pPr>
              <w:widowControl/>
              <w:jc w:val="center"/>
              <w:rPr>
                <w:rFonts w:ascii="宋体"/>
                <w:kern w:val="0"/>
                <w:sz w:val="18"/>
                <w:szCs w:val="18"/>
              </w:rPr>
            </w:pPr>
            <w:r>
              <w:rPr>
                <w:rFonts w:hint="eastAsia" w:ascii="宋体" w:hAnsi="宋体"/>
                <w:kern w:val="0"/>
                <w:sz w:val="18"/>
                <w:szCs w:val="18"/>
              </w:rPr>
              <w:t>粪尿沟</w:t>
            </w:r>
          </w:p>
        </w:tc>
      </w:tr>
      <w:tr>
        <w:tblPrEx>
          <w:tblLayout w:type="fixed"/>
          <w:tblCellMar>
            <w:top w:w="0" w:type="dxa"/>
            <w:left w:w="108" w:type="dxa"/>
            <w:bottom w:w="0" w:type="dxa"/>
            <w:right w:w="108" w:type="dxa"/>
          </w:tblCellMar>
        </w:tblPrEx>
        <w:trPr>
          <w:trHeight w:val="510" w:hRule="atLeast"/>
        </w:trPr>
        <w:tc>
          <w:tcPr>
            <w:tcW w:w="568"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宋体"/>
                <w:kern w:val="0"/>
                <w:sz w:val="18"/>
                <w:szCs w:val="18"/>
              </w:rPr>
            </w:pPr>
          </w:p>
        </w:tc>
        <w:tc>
          <w:tcPr>
            <w:tcW w:w="85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ascii="宋体"/>
                <w:kern w:val="0"/>
                <w:sz w:val="18"/>
                <w:szCs w:val="18"/>
              </w:rPr>
            </w:pPr>
          </w:p>
        </w:tc>
        <w:tc>
          <w:tcPr>
            <w:tcW w:w="708"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ascii="宋体"/>
                <w:kern w:val="0"/>
                <w:sz w:val="18"/>
                <w:szCs w:val="18"/>
              </w:rPr>
            </w:pPr>
          </w:p>
        </w:tc>
        <w:tc>
          <w:tcPr>
            <w:tcW w:w="851"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hAnsi="宋体"/>
                <w:kern w:val="0"/>
                <w:sz w:val="18"/>
                <w:szCs w:val="18"/>
              </w:rPr>
              <w:t>长（</w:t>
            </w:r>
            <w:r>
              <w:rPr>
                <w:rFonts w:ascii="宋体" w:hAnsi="宋体"/>
                <w:kern w:val="0"/>
                <w:sz w:val="18"/>
                <w:szCs w:val="18"/>
              </w:rPr>
              <w:t>m</w:t>
            </w:r>
            <w:r>
              <w:rPr>
                <w:rFonts w:hint="eastAsia" w:ascii="宋体" w:hAnsi="宋体"/>
                <w:kern w:val="0"/>
                <w:sz w:val="18"/>
                <w:szCs w:val="18"/>
              </w:rPr>
              <w:t>）</w:t>
            </w:r>
          </w:p>
        </w:tc>
        <w:tc>
          <w:tcPr>
            <w:tcW w:w="709"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hAnsi="宋体"/>
                <w:kern w:val="0"/>
                <w:sz w:val="18"/>
                <w:szCs w:val="18"/>
              </w:rPr>
              <w:t>宽（</w:t>
            </w:r>
            <w:r>
              <w:rPr>
                <w:rFonts w:ascii="宋体" w:hAnsi="宋体"/>
                <w:kern w:val="0"/>
                <w:sz w:val="18"/>
                <w:szCs w:val="18"/>
              </w:rPr>
              <w:t>m</w:t>
            </w:r>
            <w:r>
              <w:rPr>
                <w:rFonts w:hint="eastAsia" w:ascii="宋体" w:hAnsi="宋体"/>
                <w:kern w:val="0"/>
                <w:sz w:val="18"/>
                <w:szCs w:val="18"/>
              </w:rPr>
              <w:t>）</w:t>
            </w:r>
          </w:p>
        </w:tc>
        <w:tc>
          <w:tcPr>
            <w:tcW w:w="666"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hAnsi="宋体"/>
                <w:kern w:val="0"/>
                <w:sz w:val="18"/>
                <w:szCs w:val="18"/>
              </w:rPr>
              <w:t>坡度（</w:t>
            </w:r>
            <w:r>
              <w:rPr>
                <w:rFonts w:ascii="宋体" w:hAnsi="宋体"/>
                <w:kern w:val="0"/>
                <w:sz w:val="18"/>
                <w:szCs w:val="18"/>
              </w:rPr>
              <w:t>%</w:t>
            </w:r>
            <w:r>
              <w:rPr>
                <w:rFonts w:hint="eastAsia" w:ascii="宋体" w:hAnsi="宋体"/>
                <w:kern w:val="0"/>
                <w:sz w:val="18"/>
                <w:szCs w:val="18"/>
              </w:rPr>
              <w:t>）</w:t>
            </w:r>
          </w:p>
        </w:tc>
        <w:tc>
          <w:tcPr>
            <w:tcW w:w="75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ascii="宋体"/>
                <w:kern w:val="0"/>
                <w:sz w:val="18"/>
                <w:szCs w:val="18"/>
              </w:rPr>
            </w:pPr>
          </w:p>
        </w:tc>
        <w:tc>
          <w:tcPr>
            <w:tcW w:w="756" w:type="dxa"/>
            <w:tcBorders>
              <w:top w:val="nil"/>
              <w:left w:val="nil"/>
              <w:bottom w:val="single" w:color="auto" w:sz="4" w:space="0"/>
              <w:right w:val="single" w:color="auto" w:sz="4" w:space="0"/>
            </w:tcBorders>
            <w:noWrap w:val="0"/>
            <w:vAlign w:val="center"/>
          </w:tcPr>
          <w:p>
            <w:pPr>
              <w:widowControl/>
              <w:jc w:val="center"/>
              <w:rPr>
                <w:rFonts w:ascii="宋体"/>
                <w:kern w:val="0"/>
                <w:sz w:val="18"/>
                <w:szCs w:val="18"/>
              </w:rPr>
            </w:pPr>
            <w:r>
              <w:rPr>
                <w:rFonts w:hint="eastAsia" w:ascii="宋体" w:hAnsi="宋体"/>
                <w:kern w:val="0"/>
                <w:sz w:val="18"/>
                <w:szCs w:val="18"/>
              </w:rPr>
              <w:t>成年牛</w:t>
            </w:r>
            <w:r>
              <w:rPr>
                <w:rFonts w:ascii="宋体"/>
                <w:kern w:val="0"/>
                <w:sz w:val="18"/>
                <w:szCs w:val="18"/>
              </w:rPr>
              <w:br w:type="textWrapping"/>
            </w:r>
            <w:r>
              <w:rPr>
                <w:rFonts w:hint="eastAsia" w:ascii="宋体" w:hAnsi="宋体"/>
                <w:kern w:val="0"/>
                <w:sz w:val="18"/>
                <w:szCs w:val="18"/>
              </w:rPr>
              <w:t>（㎡）</w:t>
            </w:r>
          </w:p>
        </w:tc>
        <w:tc>
          <w:tcPr>
            <w:tcW w:w="803" w:type="dxa"/>
            <w:tcBorders>
              <w:top w:val="nil"/>
              <w:left w:val="nil"/>
              <w:bottom w:val="single" w:color="auto" w:sz="4" w:space="0"/>
              <w:right w:val="single" w:color="auto" w:sz="4" w:space="0"/>
            </w:tcBorders>
            <w:noWrap w:val="0"/>
            <w:vAlign w:val="center"/>
          </w:tcPr>
          <w:p>
            <w:pPr>
              <w:widowControl/>
              <w:jc w:val="center"/>
              <w:rPr>
                <w:rFonts w:ascii="宋体"/>
                <w:kern w:val="0"/>
                <w:sz w:val="18"/>
                <w:szCs w:val="18"/>
              </w:rPr>
            </w:pPr>
            <w:r>
              <w:rPr>
                <w:rFonts w:hint="eastAsia" w:ascii="宋体" w:hAnsi="宋体"/>
                <w:kern w:val="0"/>
                <w:sz w:val="18"/>
                <w:szCs w:val="18"/>
              </w:rPr>
              <w:t>青年牛</w:t>
            </w:r>
            <w:r>
              <w:rPr>
                <w:rFonts w:ascii="宋体"/>
                <w:kern w:val="0"/>
                <w:sz w:val="18"/>
                <w:szCs w:val="18"/>
              </w:rPr>
              <w:br w:type="textWrapping"/>
            </w:r>
            <w:r>
              <w:rPr>
                <w:rFonts w:hint="eastAsia" w:ascii="宋体" w:hAnsi="宋体"/>
                <w:kern w:val="0"/>
                <w:sz w:val="18"/>
                <w:szCs w:val="18"/>
              </w:rPr>
              <w:t>（㎡）</w:t>
            </w:r>
          </w:p>
        </w:tc>
        <w:tc>
          <w:tcPr>
            <w:tcW w:w="756" w:type="dxa"/>
            <w:tcBorders>
              <w:top w:val="nil"/>
              <w:left w:val="nil"/>
              <w:bottom w:val="single" w:color="auto" w:sz="4" w:space="0"/>
              <w:right w:val="single" w:color="auto" w:sz="4" w:space="0"/>
            </w:tcBorders>
            <w:noWrap w:val="0"/>
            <w:vAlign w:val="center"/>
          </w:tcPr>
          <w:p>
            <w:pPr>
              <w:widowControl/>
              <w:jc w:val="center"/>
              <w:rPr>
                <w:rFonts w:ascii="宋体"/>
                <w:kern w:val="0"/>
                <w:sz w:val="18"/>
                <w:szCs w:val="18"/>
              </w:rPr>
            </w:pPr>
            <w:r>
              <w:rPr>
                <w:rFonts w:hint="eastAsia" w:ascii="宋体" w:hAnsi="宋体"/>
                <w:kern w:val="0"/>
                <w:sz w:val="18"/>
                <w:szCs w:val="18"/>
              </w:rPr>
              <w:t>犊牛</w:t>
            </w:r>
            <w:r>
              <w:rPr>
                <w:rFonts w:ascii="宋体"/>
                <w:kern w:val="0"/>
                <w:sz w:val="18"/>
                <w:szCs w:val="18"/>
              </w:rPr>
              <w:br w:type="textWrapping"/>
            </w:r>
            <w:r>
              <w:rPr>
                <w:rFonts w:hint="eastAsia" w:ascii="宋体" w:hAnsi="宋体"/>
                <w:kern w:val="0"/>
                <w:sz w:val="18"/>
                <w:szCs w:val="18"/>
              </w:rPr>
              <w:t>（㎡）</w:t>
            </w:r>
          </w:p>
        </w:tc>
        <w:tc>
          <w:tcPr>
            <w:tcW w:w="666" w:type="dxa"/>
            <w:vMerge w:val="continue"/>
            <w:tcBorders>
              <w:top w:val="single" w:color="auto" w:sz="4" w:space="0"/>
              <w:left w:val="nil"/>
              <w:bottom w:val="single" w:color="000000" w:sz="4" w:space="0"/>
              <w:right w:val="single" w:color="auto" w:sz="4" w:space="0"/>
            </w:tcBorders>
            <w:noWrap w:val="0"/>
            <w:vAlign w:val="center"/>
          </w:tcPr>
          <w:p>
            <w:pPr>
              <w:widowControl/>
              <w:jc w:val="center"/>
              <w:rPr>
                <w:rFonts w:ascii="宋体"/>
                <w:kern w:val="0"/>
                <w:sz w:val="18"/>
                <w:szCs w:val="18"/>
              </w:rPr>
            </w:pPr>
          </w:p>
        </w:tc>
        <w:tc>
          <w:tcPr>
            <w:tcW w:w="756"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hAnsi="宋体"/>
                <w:kern w:val="0"/>
                <w:sz w:val="18"/>
                <w:szCs w:val="18"/>
              </w:rPr>
              <w:t>宽（</w:t>
            </w:r>
            <w:r>
              <w:rPr>
                <w:rFonts w:ascii="宋体" w:hAnsi="宋体"/>
                <w:kern w:val="0"/>
                <w:sz w:val="18"/>
                <w:szCs w:val="18"/>
              </w:rPr>
              <w:t>cm</w:t>
            </w:r>
            <w:r>
              <w:rPr>
                <w:rFonts w:hint="eastAsia" w:ascii="宋体" w:hAnsi="宋体"/>
                <w:kern w:val="0"/>
                <w:sz w:val="18"/>
                <w:szCs w:val="18"/>
              </w:rPr>
              <w:t>）</w:t>
            </w:r>
          </w:p>
        </w:tc>
        <w:tc>
          <w:tcPr>
            <w:tcW w:w="756"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hAnsi="宋体"/>
                <w:kern w:val="0"/>
                <w:sz w:val="18"/>
                <w:szCs w:val="18"/>
              </w:rPr>
              <w:t>深（</w:t>
            </w:r>
            <w:r>
              <w:rPr>
                <w:rFonts w:ascii="宋体" w:hAnsi="宋体"/>
                <w:kern w:val="0"/>
                <w:sz w:val="18"/>
                <w:szCs w:val="18"/>
              </w:rPr>
              <w:t>cm</w:t>
            </w:r>
            <w:r>
              <w:rPr>
                <w:rFonts w:hint="eastAsia" w:ascii="宋体" w:hAnsi="宋体"/>
                <w:kern w:val="0"/>
                <w:sz w:val="18"/>
                <w:szCs w:val="18"/>
              </w:rPr>
              <w:t>）</w:t>
            </w:r>
          </w:p>
        </w:tc>
      </w:tr>
      <w:tr>
        <w:tblPrEx>
          <w:tblLayout w:type="fixed"/>
          <w:tblCellMar>
            <w:top w:w="0" w:type="dxa"/>
            <w:left w:w="108" w:type="dxa"/>
            <w:bottom w:w="0" w:type="dxa"/>
            <w:right w:w="108" w:type="dxa"/>
          </w:tblCellMar>
        </w:tblPrEx>
        <w:trPr>
          <w:trHeight w:val="270" w:hRule="atLeast"/>
        </w:trPr>
        <w:tc>
          <w:tcPr>
            <w:tcW w:w="568" w:type="dxa"/>
            <w:tcBorders>
              <w:top w:val="nil"/>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hAnsi="宋体"/>
                <w:kern w:val="0"/>
                <w:sz w:val="18"/>
                <w:szCs w:val="18"/>
              </w:rPr>
              <w:t>钢架</w:t>
            </w:r>
          </w:p>
        </w:tc>
        <w:tc>
          <w:tcPr>
            <w:tcW w:w="851"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4.0</w:t>
            </w:r>
            <w:r>
              <w:rPr>
                <w:kern w:val="0"/>
                <w:sz w:val="18"/>
                <w:szCs w:val="18"/>
              </w:rPr>
              <w:t>~</w:t>
            </w:r>
            <w:r>
              <w:rPr>
                <w:rFonts w:ascii="宋体" w:hAnsi="宋体"/>
                <w:kern w:val="0"/>
                <w:sz w:val="18"/>
                <w:szCs w:val="18"/>
              </w:rPr>
              <w:t>5.0</w:t>
            </w:r>
          </w:p>
        </w:tc>
        <w:tc>
          <w:tcPr>
            <w:tcW w:w="708"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2.5</w:t>
            </w:r>
            <w:r>
              <w:rPr>
                <w:kern w:val="0"/>
                <w:sz w:val="18"/>
                <w:szCs w:val="18"/>
              </w:rPr>
              <w:t>~</w:t>
            </w:r>
            <w:r>
              <w:rPr>
                <w:rFonts w:ascii="宋体" w:hAnsi="宋体"/>
                <w:kern w:val="0"/>
                <w:sz w:val="18"/>
                <w:szCs w:val="18"/>
              </w:rPr>
              <w:t>3.5</w:t>
            </w:r>
          </w:p>
        </w:tc>
        <w:tc>
          <w:tcPr>
            <w:tcW w:w="851"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1.6</w:t>
            </w:r>
            <w:r>
              <w:rPr>
                <w:kern w:val="0"/>
                <w:sz w:val="18"/>
                <w:szCs w:val="18"/>
              </w:rPr>
              <w:t>~</w:t>
            </w:r>
            <w:r>
              <w:rPr>
                <w:rFonts w:ascii="宋体" w:hAnsi="宋体"/>
                <w:kern w:val="0"/>
                <w:sz w:val="18"/>
                <w:szCs w:val="18"/>
              </w:rPr>
              <w:t>1.8</w:t>
            </w:r>
          </w:p>
        </w:tc>
        <w:tc>
          <w:tcPr>
            <w:tcW w:w="709"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1.0</w:t>
            </w:r>
            <w:r>
              <w:rPr>
                <w:kern w:val="0"/>
                <w:sz w:val="18"/>
                <w:szCs w:val="18"/>
              </w:rPr>
              <w:t>~</w:t>
            </w:r>
            <w:r>
              <w:rPr>
                <w:rFonts w:ascii="宋体" w:hAnsi="宋体"/>
                <w:kern w:val="0"/>
                <w:sz w:val="18"/>
                <w:szCs w:val="18"/>
              </w:rPr>
              <w:t>1.2</w:t>
            </w:r>
          </w:p>
        </w:tc>
        <w:tc>
          <w:tcPr>
            <w:tcW w:w="666"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1.5</w:t>
            </w:r>
          </w:p>
        </w:tc>
        <w:tc>
          <w:tcPr>
            <w:tcW w:w="751"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2.5</w:t>
            </w:r>
            <w:r>
              <w:rPr>
                <w:kern w:val="0"/>
                <w:sz w:val="18"/>
                <w:szCs w:val="18"/>
              </w:rPr>
              <w:t>~</w:t>
            </w:r>
            <w:r>
              <w:rPr>
                <w:rFonts w:ascii="宋体" w:hAnsi="宋体"/>
                <w:kern w:val="0"/>
                <w:sz w:val="18"/>
                <w:szCs w:val="18"/>
              </w:rPr>
              <w:t>3.0</w:t>
            </w:r>
          </w:p>
        </w:tc>
        <w:tc>
          <w:tcPr>
            <w:tcW w:w="756"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15</w:t>
            </w:r>
            <w:r>
              <w:rPr>
                <w:kern w:val="0"/>
                <w:sz w:val="18"/>
                <w:szCs w:val="18"/>
              </w:rPr>
              <w:t>~</w:t>
            </w:r>
            <w:r>
              <w:rPr>
                <w:rFonts w:ascii="宋体" w:hAnsi="宋体"/>
                <w:kern w:val="0"/>
                <w:sz w:val="18"/>
                <w:szCs w:val="18"/>
              </w:rPr>
              <w:t>20</w:t>
            </w:r>
          </w:p>
        </w:tc>
        <w:tc>
          <w:tcPr>
            <w:tcW w:w="803"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10</w:t>
            </w:r>
            <w:r>
              <w:rPr>
                <w:kern w:val="0"/>
                <w:sz w:val="18"/>
                <w:szCs w:val="18"/>
              </w:rPr>
              <w:t>~</w:t>
            </w:r>
            <w:r>
              <w:rPr>
                <w:rFonts w:ascii="宋体" w:hAnsi="宋体"/>
                <w:kern w:val="0"/>
                <w:sz w:val="18"/>
                <w:szCs w:val="18"/>
              </w:rPr>
              <w:t>15</w:t>
            </w:r>
          </w:p>
        </w:tc>
        <w:tc>
          <w:tcPr>
            <w:tcW w:w="756"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5</w:t>
            </w:r>
            <w:r>
              <w:rPr>
                <w:kern w:val="0"/>
                <w:sz w:val="18"/>
                <w:szCs w:val="18"/>
              </w:rPr>
              <w:t>~</w:t>
            </w:r>
            <w:r>
              <w:rPr>
                <w:rFonts w:ascii="宋体" w:hAnsi="宋体"/>
                <w:kern w:val="0"/>
                <w:sz w:val="18"/>
                <w:szCs w:val="18"/>
              </w:rPr>
              <w:t>10</w:t>
            </w:r>
          </w:p>
        </w:tc>
        <w:tc>
          <w:tcPr>
            <w:tcW w:w="666" w:type="dxa"/>
            <w:tcBorders>
              <w:top w:val="nil"/>
              <w:left w:val="nil"/>
              <w:bottom w:val="single" w:color="auto" w:sz="4" w:space="0"/>
              <w:right w:val="single" w:color="auto" w:sz="4" w:space="0"/>
            </w:tcBorders>
            <w:noWrap w:val="0"/>
            <w:vAlign w:val="center"/>
          </w:tcPr>
          <w:p>
            <w:pPr>
              <w:widowControl/>
              <w:jc w:val="center"/>
              <w:rPr>
                <w:rFonts w:ascii="宋体"/>
                <w:kern w:val="0"/>
                <w:sz w:val="18"/>
                <w:szCs w:val="18"/>
              </w:rPr>
            </w:pPr>
            <w:r>
              <w:rPr>
                <w:rFonts w:ascii="宋体" w:hAnsi="宋体"/>
                <w:kern w:val="0"/>
                <w:sz w:val="18"/>
                <w:szCs w:val="18"/>
              </w:rPr>
              <w:t>1.5</w:t>
            </w:r>
            <w:r>
              <w:rPr>
                <w:kern w:val="0"/>
                <w:sz w:val="18"/>
                <w:szCs w:val="18"/>
              </w:rPr>
              <w:t>~</w:t>
            </w:r>
            <w:r>
              <w:rPr>
                <w:rFonts w:ascii="宋体" w:hAnsi="宋体"/>
                <w:kern w:val="0"/>
                <w:sz w:val="18"/>
                <w:szCs w:val="18"/>
              </w:rPr>
              <w:t>2.0</w:t>
            </w:r>
          </w:p>
        </w:tc>
        <w:tc>
          <w:tcPr>
            <w:tcW w:w="756"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35</w:t>
            </w:r>
            <w:r>
              <w:rPr>
                <w:kern w:val="0"/>
                <w:sz w:val="18"/>
                <w:szCs w:val="18"/>
              </w:rPr>
              <w:t>~</w:t>
            </w:r>
            <w:r>
              <w:rPr>
                <w:rFonts w:ascii="宋体" w:hAnsi="宋体"/>
                <w:kern w:val="0"/>
                <w:sz w:val="18"/>
                <w:szCs w:val="18"/>
              </w:rPr>
              <w:t>40</w:t>
            </w:r>
          </w:p>
        </w:tc>
        <w:tc>
          <w:tcPr>
            <w:tcW w:w="756" w:type="dxa"/>
            <w:tcBorders>
              <w:top w:val="nil"/>
              <w:left w:val="nil"/>
              <w:bottom w:val="single" w:color="auto" w:sz="4" w:space="0"/>
              <w:right w:val="single" w:color="auto" w:sz="4" w:space="0"/>
            </w:tcBorders>
            <w:noWrap/>
            <w:vAlign w:val="center"/>
          </w:tcPr>
          <w:p>
            <w:pPr>
              <w:widowControl/>
              <w:jc w:val="center"/>
              <w:rPr>
                <w:rFonts w:ascii="宋体"/>
                <w:kern w:val="0"/>
                <w:sz w:val="18"/>
                <w:szCs w:val="18"/>
              </w:rPr>
            </w:pPr>
            <w:r>
              <w:rPr>
                <w:rFonts w:ascii="宋体" w:hAnsi="宋体"/>
                <w:kern w:val="0"/>
                <w:sz w:val="18"/>
                <w:szCs w:val="18"/>
              </w:rPr>
              <w:t>10</w:t>
            </w:r>
            <w:r>
              <w:rPr>
                <w:kern w:val="0"/>
                <w:sz w:val="18"/>
                <w:szCs w:val="18"/>
              </w:rPr>
              <w:t>~</w:t>
            </w:r>
            <w:r>
              <w:rPr>
                <w:rFonts w:ascii="宋体" w:hAnsi="宋体"/>
                <w:kern w:val="0"/>
                <w:sz w:val="18"/>
                <w:szCs w:val="18"/>
              </w:rPr>
              <w:t>15</w:t>
            </w:r>
          </w:p>
        </w:tc>
      </w:tr>
    </w:tbl>
    <w:p>
      <w:pPr>
        <w:pStyle w:val="20"/>
        <w:ind w:firstLine="0" w:firstLineChars="0"/>
      </w:pPr>
      <w:r>
        <w:t>4.</w:t>
      </w:r>
      <w:r>
        <w:rPr>
          <w:rFonts w:hint="eastAsia"/>
          <w:lang w:val="en-US" w:eastAsia="zh-CN"/>
        </w:rPr>
        <w:t>4</w:t>
      </w:r>
      <w:r>
        <w:t xml:space="preserve">.2  </w:t>
      </w:r>
      <w:r>
        <w:rPr>
          <w:rFonts w:hint="eastAsia"/>
        </w:rPr>
        <w:t>牛舍内饮水器采用自动饮水碗。</w:t>
      </w:r>
    </w:p>
    <w:p>
      <w:pPr>
        <w:pStyle w:val="20"/>
        <w:ind w:firstLine="0" w:firstLineChars="0"/>
      </w:pPr>
      <w:r>
        <w:t>4.</w:t>
      </w:r>
      <w:r>
        <w:rPr>
          <w:rFonts w:hint="eastAsia"/>
          <w:lang w:val="en-US" w:eastAsia="zh-CN"/>
        </w:rPr>
        <w:t>4</w:t>
      </w:r>
      <w:r>
        <w:t xml:space="preserve">.3  </w:t>
      </w:r>
      <w:r>
        <w:rPr>
          <w:rFonts w:hint="eastAsia"/>
        </w:rPr>
        <w:t>饲料通道地面抬高</w:t>
      </w:r>
      <w:r>
        <w:t>60cm</w:t>
      </w:r>
      <w:r>
        <w:rPr>
          <w:rFonts w:hint="eastAsia"/>
        </w:rPr>
        <w:t>，通道两边为料槽，中间为撒料车行车道。</w:t>
      </w:r>
    </w:p>
    <w:p>
      <w:pPr>
        <w:pStyle w:val="20"/>
        <w:ind w:firstLine="0" w:firstLineChars="0"/>
      </w:pPr>
      <w:r>
        <w:t>4.</w:t>
      </w:r>
      <w:r>
        <w:rPr>
          <w:rFonts w:hint="eastAsia"/>
          <w:lang w:val="en-US" w:eastAsia="zh-CN"/>
        </w:rPr>
        <w:t>4</w:t>
      </w:r>
      <w:r>
        <w:t xml:space="preserve">.4  </w:t>
      </w:r>
      <w:r>
        <w:rPr>
          <w:rFonts w:hint="eastAsia"/>
        </w:rPr>
        <w:t>清粪通道在牛床的后端，水泥地面，并刻上防滑线条。</w:t>
      </w:r>
    </w:p>
    <w:p>
      <w:pPr>
        <w:pStyle w:val="20"/>
        <w:ind w:firstLine="0" w:firstLineChars="0"/>
      </w:pPr>
      <w:r>
        <w:t>4.</w:t>
      </w:r>
      <w:r>
        <w:rPr>
          <w:rFonts w:hint="eastAsia"/>
          <w:lang w:val="en-US" w:eastAsia="zh-CN"/>
        </w:rPr>
        <w:t>4</w:t>
      </w:r>
      <w:r>
        <w:t xml:space="preserve">.5  </w:t>
      </w:r>
      <w:r>
        <w:rPr>
          <w:rFonts w:hint="eastAsia"/>
        </w:rPr>
        <w:t>牛床与清粪通道间设有排粪尿沟，沟底呈一定的坡度，主要用于牛尿及污水排出。</w:t>
      </w:r>
    </w:p>
    <w:p>
      <w:pPr>
        <w:pStyle w:val="20"/>
        <w:ind w:firstLine="0" w:firstLineChars="0"/>
        <w:rPr>
          <w:rFonts w:hint="eastAsia"/>
        </w:rPr>
      </w:pPr>
      <w:r>
        <w:t>4.</w:t>
      </w:r>
      <w:r>
        <w:rPr>
          <w:rFonts w:hint="eastAsia"/>
          <w:lang w:val="en-US" w:eastAsia="zh-CN"/>
        </w:rPr>
        <w:t>4</w:t>
      </w:r>
      <w:r>
        <w:t xml:space="preserve">.6  </w:t>
      </w:r>
      <w:r>
        <w:rPr>
          <w:rFonts w:hint="eastAsia"/>
        </w:rPr>
        <w:t>在牛舍外的空余地设运动场，地面以三合土为宜，四周设钢管围栏。</w:t>
      </w:r>
    </w:p>
    <w:p>
      <w:pPr>
        <w:pStyle w:val="20"/>
        <w:ind w:firstLine="420"/>
      </w:pPr>
      <w:r>
        <w:rPr>
          <w:rFonts w:hint="eastAsia"/>
          <w:color w:val="4F81BD"/>
        </w:rPr>
        <w:t>说明：查阅相关资料、现场实地调研、起草组团队成员研究、专家论证评审等方式确定。</w:t>
      </w:r>
    </w:p>
    <w:p>
      <w:pPr>
        <w:widowControl/>
        <w:shd w:val="clear" w:color="auto" w:fill="FFFFFF"/>
        <w:spacing w:line="520" w:lineRule="exact"/>
        <w:ind w:firstLine="420" w:firstLineChars="200"/>
        <w:jc w:val="left"/>
      </w:pPr>
      <w:r>
        <w:t xml:space="preserve">5 </w:t>
      </w:r>
      <w:r>
        <w:rPr>
          <w:rFonts w:hint="eastAsia"/>
        </w:rPr>
        <w:t>引种</w:t>
      </w:r>
    </w:p>
    <w:p>
      <w:pPr>
        <w:pStyle w:val="20"/>
        <w:spacing w:line="360" w:lineRule="exact"/>
        <w:ind w:firstLine="0" w:firstLineChars="0"/>
        <w:rPr>
          <w:szCs w:val="22"/>
        </w:rPr>
      </w:pPr>
      <w:r>
        <w:rPr>
          <w:szCs w:val="22"/>
        </w:rPr>
        <w:t xml:space="preserve">5.1 </w:t>
      </w:r>
      <w:r>
        <w:rPr>
          <w:rFonts w:hint="eastAsia"/>
          <w:szCs w:val="22"/>
        </w:rPr>
        <w:t>引种应符合</w:t>
      </w:r>
      <w:r>
        <w:rPr>
          <w:rFonts w:hint="eastAsia" w:hAnsi="宋体" w:cs="宋体"/>
        </w:rPr>
        <w:t>中国人民共和国农业部公告</w:t>
      </w:r>
      <w:r>
        <w:rPr>
          <w:rFonts w:hAnsi="宋体" w:cs="宋体"/>
        </w:rPr>
        <w:t xml:space="preserve"> 2004</w:t>
      </w:r>
      <w:r>
        <w:rPr>
          <w:rFonts w:hint="eastAsia" w:hAnsi="宋体" w:cs="宋体"/>
        </w:rPr>
        <w:t>年第</w:t>
      </w:r>
      <w:r>
        <w:rPr>
          <w:rFonts w:hAnsi="宋体" w:cs="宋体"/>
        </w:rPr>
        <w:t>38</w:t>
      </w:r>
      <w:r>
        <w:rPr>
          <w:rFonts w:hint="eastAsia" w:hAnsi="宋体" w:cs="宋体"/>
        </w:rPr>
        <w:t>号《种畜禽管理条例实施细则》的</w:t>
      </w:r>
      <w:r>
        <w:rPr>
          <w:rFonts w:hint="eastAsia"/>
          <w:szCs w:val="22"/>
        </w:rPr>
        <w:t>规定，跨境引种应符合</w:t>
      </w:r>
      <w:r>
        <w:rPr>
          <w:szCs w:val="22"/>
        </w:rPr>
        <w:t>SN/T 1691</w:t>
      </w:r>
      <w:r>
        <w:rPr>
          <w:rFonts w:hint="eastAsia"/>
          <w:szCs w:val="22"/>
        </w:rPr>
        <w:t>的规定。</w:t>
      </w:r>
    </w:p>
    <w:p>
      <w:pPr>
        <w:pStyle w:val="19"/>
        <w:numPr>
          <w:ilvl w:val="1"/>
          <w:numId w:val="0"/>
        </w:numPr>
        <w:spacing w:before="156" w:after="156" w:line="360" w:lineRule="exact"/>
        <w:rPr>
          <w:rFonts w:ascii="宋体" w:eastAsia="宋体"/>
          <w:szCs w:val="22"/>
        </w:rPr>
      </w:pPr>
      <w:r>
        <w:rPr>
          <w:rFonts w:ascii="宋体" w:eastAsia="宋体"/>
          <w:szCs w:val="22"/>
        </w:rPr>
        <w:t xml:space="preserve">5.2 </w:t>
      </w:r>
      <w:r>
        <w:rPr>
          <w:rFonts w:hint="eastAsia" w:ascii="宋体" w:eastAsia="宋体"/>
          <w:szCs w:val="22"/>
        </w:rPr>
        <w:t>外地购入的牛只应在隔离舍隔离观察不少于</w:t>
      </w:r>
      <w:r>
        <w:rPr>
          <w:rFonts w:ascii="宋体" w:eastAsia="宋体"/>
          <w:szCs w:val="22"/>
        </w:rPr>
        <w:t>30d</w:t>
      </w:r>
      <w:r>
        <w:rPr>
          <w:rFonts w:hint="eastAsia" w:ascii="宋体" w:eastAsia="宋体"/>
          <w:szCs w:val="22"/>
        </w:rPr>
        <w:t>，经驱虫、消毒、打疫苗和兽医检查确认健康后，方可转入生产群合群饲养。</w:t>
      </w:r>
    </w:p>
    <w:p>
      <w:pPr>
        <w:pStyle w:val="19"/>
        <w:numPr>
          <w:ilvl w:val="1"/>
          <w:numId w:val="0"/>
        </w:numPr>
        <w:spacing w:before="156" w:after="156" w:line="360" w:lineRule="exact"/>
        <w:rPr>
          <w:rFonts w:hint="eastAsia"/>
        </w:rPr>
      </w:pPr>
      <w:r>
        <w:t xml:space="preserve">5.3 </w:t>
      </w:r>
      <w:r>
        <w:rPr>
          <w:rFonts w:hint="eastAsia"/>
        </w:rPr>
        <w:t>运输车辆及器具应符合国家相关规定。</w:t>
      </w:r>
    </w:p>
    <w:p>
      <w:pPr>
        <w:pStyle w:val="20"/>
        <w:tabs>
          <w:tab w:val="center" w:pos="4201"/>
          <w:tab w:val="right" w:leader="dot" w:pos="9298"/>
        </w:tabs>
        <w:ind w:left="0" w:leftChars="0" w:firstLine="0" w:firstLineChars="0"/>
        <w:rPr>
          <w:rFonts w:hint="eastAsia"/>
          <w:lang w:val="en-US" w:eastAsia="zh-CN"/>
        </w:rPr>
      </w:pPr>
      <w:r>
        <w:rPr>
          <w:rFonts w:hint="eastAsia"/>
          <w:lang w:val="en-US" w:eastAsia="zh-CN"/>
        </w:rPr>
        <w:t>5.3.1 运输车辆到达养殖场时，须在指定场所对车厢、底盘等表面用消毒药水均匀喷洒至湿润，并经过消毒池，对车辆轮胎进行消毒。</w:t>
      </w:r>
    </w:p>
    <w:p>
      <w:pPr>
        <w:pStyle w:val="20"/>
        <w:tabs>
          <w:tab w:val="center" w:pos="4201"/>
          <w:tab w:val="right" w:leader="dot" w:pos="9298"/>
        </w:tabs>
        <w:ind w:left="0" w:leftChars="0" w:firstLine="0" w:firstLineChars="0"/>
        <w:rPr>
          <w:rFonts w:hint="eastAsia"/>
          <w:lang w:val="en-US" w:eastAsia="zh-CN"/>
        </w:rPr>
      </w:pPr>
      <w:r>
        <w:rPr>
          <w:rFonts w:hint="eastAsia"/>
          <w:lang w:val="en-US" w:eastAsia="zh-CN"/>
        </w:rPr>
        <w:t>5.3.2 运输车辆卸载种牛后，首先要清理车辆笼具中的废弃物和铺垫材料，进行无害化处理；然后用高压水枪冲洗车辆及笼具；最后对车辆进行喷洒消毒，不留死角。</w:t>
      </w:r>
    </w:p>
    <w:p>
      <w:pPr>
        <w:pStyle w:val="20"/>
      </w:pPr>
    </w:p>
    <w:p>
      <w:pPr>
        <w:pStyle w:val="24"/>
        <w:numPr>
          <w:ilvl w:val="0"/>
          <w:numId w:val="0"/>
        </w:numPr>
      </w:pPr>
      <w:r>
        <w:t xml:space="preserve">6 </w:t>
      </w:r>
      <w:r>
        <w:rPr>
          <w:rFonts w:hint="eastAsia"/>
        </w:rPr>
        <w:t>繁殖技术</w:t>
      </w:r>
    </w:p>
    <w:p>
      <w:pPr>
        <w:pStyle w:val="18"/>
        <w:spacing w:before="156" w:after="156" w:line="360" w:lineRule="exact"/>
      </w:pPr>
      <w:r>
        <w:t xml:space="preserve">6.1.1 </w:t>
      </w:r>
      <w:r>
        <w:rPr>
          <w:rFonts w:hint="eastAsia"/>
        </w:rPr>
        <w:t>种公牛</w:t>
      </w:r>
    </w:p>
    <w:p>
      <w:pPr>
        <w:pStyle w:val="20"/>
        <w:spacing w:line="360" w:lineRule="exact"/>
        <w:ind w:firstLine="420"/>
        <w:rPr>
          <w:rFonts w:hAnsi="宋体" w:cs="宋体"/>
        </w:rPr>
      </w:pPr>
      <w:r>
        <w:rPr>
          <w:rFonts w:hint="eastAsia" w:hAnsi="宋体" w:cs="宋体"/>
        </w:rPr>
        <w:t>西门塔尔种牛应符合</w:t>
      </w:r>
      <w:r>
        <w:rPr>
          <w:rFonts w:hAnsi="宋体" w:cs="宋体"/>
        </w:rPr>
        <w:t>GB/T 19166</w:t>
      </w:r>
      <w:r>
        <w:rPr>
          <w:rFonts w:hint="eastAsia" w:hAnsi="宋体" w:cs="宋体"/>
        </w:rPr>
        <w:t>的要求、夏洛莱种牛应符合</w:t>
      </w:r>
      <w:r>
        <w:rPr>
          <w:rFonts w:hAnsi="宋体" w:cs="宋体"/>
        </w:rPr>
        <w:t>GB/T 19374</w:t>
      </w:r>
      <w:r>
        <w:rPr>
          <w:rFonts w:hint="eastAsia" w:hAnsi="宋体" w:cs="宋体"/>
        </w:rPr>
        <w:t>的要求，利木赞种牛应符合</w:t>
      </w:r>
      <w:r>
        <w:rPr>
          <w:rFonts w:hAnsi="宋体" w:cs="宋体"/>
        </w:rPr>
        <w:t>GB/T 19375</w:t>
      </w:r>
      <w:r>
        <w:rPr>
          <w:rFonts w:hint="eastAsia" w:hAnsi="宋体" w:cs="宋体"/>
        </w:rPr>
        <w:t>的要求。</w:t>
      </w:r>
    </w:p>
    <w:p>
      <w:pPr>
        <w:pStyle w:val="20"/>
        <w:spacing w:line="360" w:lineRule="exact"/>
        <w:ind w:firstLine="0" w:firstLineChars="0"/>
        <w:rPr>
          <w:rFonts w:ascii="黑体" w:hAnsi="黑体" w:eastAsia="黑体" w:cs="黑体"/>
        </w:rPr>
      </w:pPr>
      <w:r>
        <w:rPr>
          <w:rFonts w:ascii="黑体" w:hAnsi="黑体" w:eastAsia="黑体" w:cs="黑体"/>
        </w:rPr>
        <w:t xml:space="preserve">6.1.2 </w:t>
      </w:r>
      <w:r>
        <w:rPr>
          <w:rFonts w:hint="eastAsia" w:ascii="黑体" w:hAnsi="黑体" w:eastAsia="黑体" w:cs="黑体"/>
        </w:rPr>
        <w:t>种母牛</w:t>
      </w:r>
    </w:p>
    <w:p>
      <w:pPr>
        <w:pStyle w:val="20"/>
        <w:spacing w:line="360" w:lineRule="exact"/>
        <w:ind w:firstLine="420"/>
        <w:rPr>
          <w:rFonts w:hAnsi="宋体" w:cs="宋体"/>
        </w:rPr>
      </w:pPr>
      <w:r>
        <w:rPr>
          <w:rFonts w:hint="eastAsia" w:hAnsi="宋体" w:cs="宋体"/>
        </w:rPr>
        <w:t>选择健康无病，外貌、体尺、生产性能、繁殖性能均符合品种特征的母黄牛作种母牛。</w:t>
      </w:r>
    </w:p>
    <w:p>
      <w:pPr>
        <w:pStyle w:val="19"/>
        <w:numPr>
          <w:ilvl w:val="1"/>
          <w:numId w:val="0"/>
        </w:numPr>
        <w:spacing w:before="156" w:after="156" w:line="360" w:lineRule="exact"/>
        <w:rPr>
          <w:rFonts w:hAnsi="黑体" w:cs="黑体"/>
        </w:rPr>
      </w:pPr>
      <w:r>
        <w:rPr>
          <w:rFonts w:hAnsi="黑体" w:cs="黑体"/>
        </w:rPr>
        <w:t xml:space="preserve">6.2 </w:t>
      </w:r>
      <w:r>
        <w:rPr>
          <w:rFonts w:hint="eastAsia" w:hAnsi="黑体" w:cs="黑体"/>
        </w:rPr>
        <w:t>人工授精技术</w:t>
      </w:r>
    </w:p>
    <w:p>
      <w:pPr>
        <w:pStyle w:val="2"/>
        <w:rPr>
          <w:kern w:val="0"/>
        </w:rPr>
      </w:pPr>
      <w:r>
        <w:rPr>
          <w:rFonts w:hint="eastAsia" w:hAnsi="宋体" w:cs="宋体"/>
        </w:rPr>
        <w:t>应符合</w:t>
      </w:r>
      <w:r>
        <w:rPr>
          <w:rFonts w:hAnsi="宋体" w:cs="宋体"/>
        </w:rPr>
        <w:t xml:space="preserve">NY/T </w:t>
      </w:r>
      <w:r>
        <w:rPr>
          <w:rFonts w:hint="eastAsia" w:hAnsi="宋体" w:cs="宋体"/>
        </w:rPr>
        <w:t>1335的要求。</w:t>
      </w:r>
      <w:r>
        <w:rPr>
          <w:rFonts w:hAnsi="宋体"/>
          <w:sz w:val="32"/>
          <w:szCs w:val="32"/>
        </w:rPr>
        <w:t xml:space="preserve">                        </w:t>
      </w:r>
      <w:r>
        <w:br w:type="textWrapping"/>
      </w:r>
      <w:r>
        <w:rPr>
          <w:kern w:val="0"/>
        </w:rPr>
        <w:t xml:space="preserve">6.3  </w:t>
      </w:r>
      <w:r>
        <w:rPr>
          <w:rFonts w:hint="eastAsia"/>
          <w:kern w:val="0"/>
        </w:rPr>
        <w:t>杂交组合模式</w:t>
      </w:r>
    </w:p>
    <w:p>
      <w:pPr>
        <w:pStyle w:val="20"/>
        <w:tabs>
          <w:tab w:val="center" w:pos="4201"/>
          <w:tab w:val="right" w:leader="dot" w:pos="9298"/>
        </w:tabs>
        <w:ind w:firstLine="0" w:firstLineChars="0"/>
        <w:rPr>
          <w:rFonts w:hint="eastAsia"/>
        </w:rPr>
      </w:pPr>
      <w:r>
        <w:t xml:space="preserve">6.3.1  </w:t>
      </w:r>
      <w:r>
        <w:rPr>
          <w:rFonts w:hint="eastAsia"/>
        </w:rPr>
        <w:t>杂交一代</w:t>
      </w:r>
    </w:p>
    <w:p>
      <w:pPr>
        <w:pStyle w:val="20"/>
        <w:tabs>
          <w:tab w:val="center" w:pos="4201"/>
          <w:tab w:val="right" w:leader="dot" w:pos="9298"/>
        </w:tabs>
        <w:ind w:firstLine="420" w:firstLineChars="200"/>
        <w:rPr>
          <w:rFonts w:hint="eastAsia" w:eastAsia="宋体"/>
          <w:lang w:val="en-US" w:eastAsia="zh-CN"/>
        </w:rPr>
      </w:pPr>
      <w:r>
        <w:rPr>
          <w:rFonts w:hint="eastAsia"/>
          <w:lang w:eastAsia="zh-CN"/>
        </w:rPr>
        <w:t>见图</w:t>
      </w:r>
      <w:r>
        <w:rPr>
          <w:rFonts w:hint="eastAsia"/>
          <w:lang w:val="en-US" w:eastAsia="zh-CN"/>
        </w:rPr>
        <w:t>1。</w:t>
      </w:r>
    </w:p>
    <w:p>
      <w:pPr>
        <w:jc w:val="center"/>
        <w:rPr>
          <w:rFonts w:ascii="宋体" w:hAnsi="宋体"/>
          <w:sz w:val="32"/>
          <w:szCs w:val="32"/>
        </w:rPr>
      </w:pPr>
      <w:r>
        <w:rPr>
          <w:rFonts w:hint="eastAsia"/>
        </w:rPr>
        <w:drawing>
          <wp:inline distT="0" distB="0" distL="114300" distR="114300">
            <wp:extent cx="4371340" cy="1905000"/>
            <wp:effectExtent l="0" t="0" r="1016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4371340" cy="1905000"/>
                    </a:xfrm>
                    <a:prstGeom prst="rect">
                      <a:avLst/>
                    </a:prstGeom>
                    <a:noFill/>
                    <a:ln w="9525">
                      <a:noFill/>
                    </a:ln>
                  </pic:spPr>
                </pic:pic>
              </a:graphicData>
            </a:graphic>
          </wp:inline>
        </w:drawing>
      </w:r>
      <w:r>
        <w:rPr>
          <w:rFonts w:ascii="宋体" w:hAnsi="宋体"/>
          <w:sz w:val="32"/>
          <w:szCs w:val="32"/>
        </w:rPr>
        <w:t xml:space="preserve"> </w:t>
      </w:r>
    </w:p>
    <w:p>
      <w:pPr>
        <w:jc w:val="both"/>
      </w:pPr>
      <w:r>
        <w:rPr>
          <w:rFonts w:hint="eastAsia" w:ascii="宋体" w:hAnsi="宋体"/>
          <w:sz w:val="32"/>
          <w:szCs w:val="32"/>
          <w:lang w:val="en-US" w:eastAsia="zh-CN"/>
        </w:rPr>
        <w:t xml:space="preserve">              </w:t>
      </w:r>
      <w:r>
        <w:rPr>
          <w:rFonts w:ascii="宋体" w:hAnsi="宋体"/>
          <w:sz w:val="32"/>
          <w:szCs w:val="32"/>
        </w:rPr>
        <w:t xml:space="preserve">      </w:t>
      </w:r>
      <w:r>
        <w:rPr>
          <w:rFonts w:ascii="宋体" w:hAnsi="宋体"/>
          <w:sz w:val="21"/>
          <w:szCs w:val="21"/>
        </w:rPr>
        <w:t xml:space="preserve">  </w:t>
      </w:r>
      <w:r>
        <w:rPr>
          <w:rFonts w:hint="eastAsia" w:ascii="宋体" w:hAnsi="宋体"/>
          <w:sz w:val="21"/>
          <w:szCs w:val="21"/>
          <w:lang w:eastAsia="zh-CN"/>
        </w:rPr>
        <w:t>图</w:t>
      </w:r>
      <w:r>
        <w:rPr>
          <w:rFonts w:hint="eastAsia" w:ascii="宋体" w:hAnsi="宋体"/>
          <w:sz w:val="21"/>
          <w:szCs w:val="21"/>
          <w:lang w:val="en-US" w:eastAsia="zh-CN"/>
        </w:rPr>
        <w:t>1   杂交一代示意图</w:t>
      </w:r>
      <w:r>
        <w:rPr>
          <w:rFonts w:ascii="宋体" w:hAnsi="宋体"/>
          <w:sz w:val="21"/>
          <w:szCs w:val="21"/>
        </w:rPr>
        <w:t xml:space="preserve">   </w:t>
      </w:r>
      <w:r>
        <w:rPr>
          <w:rFonts w:ascii="宋体" w:hAnsi="宋体"/>
          <w:sz w:val="32"/>
          <w:szCs w:val="32"/>
        </w:rPr>
        <w:t xml:space="preserve">                 </w:t>
      </w:r>
    </w:p>
    <w:p>
      <w:pPr>
        <w:pStyle w:val="20"/>
        <w:tabs>
          <w:tab w:val="center" w:pos="4201"/>
          <w:tab w:val="right" w:leader="dot" w:pos="9298"/>
        </w:tabs>
        <w:ind w:firstLine="0" w:firstLineChars="0"/>
        <w:rPr>
          <w:rFonts w:hint="eastAsia"/>
        </w:rPr>
      </w:pPr>
      <w:r>
        <w:t xml:space="preserve">6.3.2  </w:t>
      </w:r>
      <w:r>
        <w:rPr>
          <w:rFonts w:hint="eastAsia"/>
        </w:rPr>
        <w:t>杂交二代</w:t>
      </w:r>
    </w:p>
    <w:p>
      <w:pPr>
        <w:pStyle w:val="20"/>
        <w:tabs>
          <w:tab w:val="center" w:pos="4201"/>
          <w:tab w:val="right" w:leader="dot" w:pos="9298"/>
        </w:tabs>
        <w:ind w:firstLine="420" w:firstLineChars="200"/>
        <w:rPr>
          <w:rFonts w:hint="eastAsia"/>
        </w:rPr>
      </w:pPr>
      <w:r>
        <w:rPr>
          <w:rFonts w:hint="eastAsia"/>
          <w:lang w:eastAsia="zh-CN"/>
        </w:rPr>
        <w:t>见图</w:t>
      </w:r>
      <w:r>
        <w:rPr>
          <w:rFonts w:hint="eastAsia"/>
          <w:lang w:val="en-US" w:eastAsia="zh-CN"/>
        </w:rPr>
        <w:t>2。</w:t>
      </w:r>
    </w:p>
    <w:p>
      <w:pPr>
        <w:jc w:val="center"/>
      </w:pPr>
      <w:r>
        <w:rPr>
          <w:rFonts w:hint="eastAsia"/>
        </w:rPr>
        <w:drawing>
          <wp:inline distT="0" distB="0" distL="114300" distR="114300">
            <wp:extent cx="4571365" cy="1914525"/>
            <wp:effectExtent l="0" t="0" r="63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4571365" cy="1914525"/>
                    </a:xfrm>
                    <a:prstGeom prst="rect">
                      <a:avLst/>
                    </a:prstGeom>
                    <a:noFill/>
                    <a:ln w="9525">
                      <a:noFill/>
                    </a:ln>
                  </pic:spPr>
                </pic:pic>
              </a:graphicData>
            </a:graphic>
          </wp:inline>
        </w:drawing>
      </w:r>
    </w:p>
    <w:p>
      <w:pPr>
        <w:pStyle w:val="24"/>
        <w:numPr>
          <w:ilvl w:val="0"/>
          <w:numId w:val="0"/>
        </w:numPr>
        <w:spacing w:beforeLines="0" w:afterLines="0" w:line="360" w:lineRule="exact"/>
        <w:jc w:val="center"/>
      </w:pPr>
      <w:r>
        <w:rPr>
          <w:rFonts w:hint="eastAsia" w:ascii="宋体" w:hAnsi="宋体"/>
          <w:sz w:val="21"/>
          <w:szCs w:val="21"/>
          <w:lang w:eastAsia="zh-CN"/>
        </w:rPr>
        <w:t>图</w:t>
      </w:r>
      <w:r>
        <w:rPr>
          <w:rFonts w:hint="eastAsia" w:ascii="宋体" w:hAnsi="宋体"/>
          <w:sz w:val="21"/>
          <w:szCs w:val="21"/>
          <w:lang w:val="en-US" w:eastAsia="zh-CN"/>
        </w:rPr>
        <w:t>2   杂交二代示意图</w:t>
      </w:r>
    </w:p>
    <w:p>
      <w:pPr>
        <w:jc w:val="center"/>
        <w:rPr>
          <w:rFonts w:hint="eastAsia"/>
        </w:rPr>
      </w:pPr>
    </w:p>
    <w:p>
      <w:pPr>
        <w:snapToGrid w:val="0"/>
        <w:spacing w:line="312" w:lineRule="auto"/>
        <w:rPr>
          <w:rFonts w:hint="eastAsia" w:ascii="宋体" w:hAnsi="宋体" w:cs="宋体"/>
          <w:color w:val="4F81BD"/>
          <w:kern w:val="0"/>
          <w:szCs w:val="20"/>
        </w:rPr>
      </w:pPr>
      <w:r>
        <w:rPr>
          <w:rFonts w:hint="eastAsia" w:ascii="宋体" w:hAnsi="宋体" w:cs="宋体"/>
          <w:spacing w:val="8"/>
          <w:sz w:val="28"/>
          <w:szCs w:val="28"/>
        </w:rPr>
        <w:t xml:space="preserve">  </w:t>
      </w:r>
      <w:r>
        <w:rPr>
          <w:rFonts w:hint="eastAsia" w:ascii="宋体" w:hAnsi="宋体" w:cs="宋体"/>
          <w:color w:val="4F81BD"/>
          <w:kern w:val="0"/>
          <w:szCs w:val="20"/>
        </w:rPr>
        <w:t>说明：查阅相关资料、现场实地调研、起草组团队成员集体研究、养殖场现场复核、与相关专业人员座谈、专家论证评审等方式确定。</w:t>
      </w:r>
    </w:p>
    <w:p>
      <w:pPr>
        <w:jc w:val="center"/>
      </w:pPr>
    </w:p>
    <w:p>
      <w:pPr>
        <w:pStyle w:val="24"/>
        <w:numPr>
          <w:ilvl w:val="0"/>
          <w:numId w:val="0"/>
        </w:numPr>
        <w:spacing w:line="360" w:lineRule="exact"/>
      </w:pPr>
      <w:r>
        <w:t xml:space="preserve">7 </w:t>
      </w:r>
      <w:r>
        <w:rPr>
          <w:rFonts w:hint="eastAsia"/>
        </w:rPr>
        <w:t>饲料</w:t>
      </w:r>
    </w:p>
    <w:p>
      <w:pPr>
        <w:pStyle w:val="20"/>
        <w:tabs>
          <w:tab w:val="center" w:pos="4201"/>
          <w:tab w:val="right" w:leader="dot" w:pos="9298"/>
        </w:tabs>
        <w:spacing w:line="360" w:lineRule="exact"/>
        <w:ind w:firstLine="0" w:firstLineChars="0"/>
        <w:rPr>
          <w:rFonts w:ascii="黑体" w:hAnsi="黑体" w:eastAsia="黑体" w:cs="黑体"/>
        </w:rPr>
      </w:pPr>
      <w:r>
        <w:rPr>
          <w:rFonts w:ascii="黑体" w:hAnsi="黑体" w:eastAsia="黑体" w:cs="黑体"/>
        </w:rPr>
        <w:t xml:space="preserve">7.1 </w:t>
      </w:r>
      <w:r>
        <w:rPr>
          <w:rFonts w:hint="eastAsia" w:ascii="黑体" w:hAnsi="黑体" w:eastAsia="黑体" w:cs="黑体"/>
        </w:rPr>
        <w:t>饲料质量安全</w:t>
      </w:r>
    </w:p>
    <w:p>
      <w:pPr>
        <w:spacing w:line="360" w:lineRule="exact"/>
        <w:ind w:firstLine="420" w:firstLineChars="200"/>
        <w:rPr>
          <w:rFonts w:ascii="宋体" w:cs="宋体"/>
          <w:kern w:val="0"/>
          <w:szCs w:val="21"/>
          <w:highlight w:val="yellow"/>
        </w:rPr>
      </w:pPr>
      <w:r>
        <w:rPr>
          <w:rFonts w:hint="eastAsia" w:ascii="宋体" w:hAnsi="宋体" w:cs="宋体"/>
        </w:rPr>
        <w:t>饲料卫生指标应符合</w:t>
      </w:r>
      <w:r>
        <w:rPr>
          <w:rFonts w:ascii="宋体" w:hAnsi="宋体" w:cs="宋体"/>
        </w:rPr>
        <w:t>GB 13078</w:t>
      </w:r>
      <w:r>
        <w:rPr>
          <w:rFonts w:hint="eastAsia" w:ascii="宋体" w:hAnsi="宋体" w:cs="宋体"/>
        </w:rPr>
        <w:t>规定，饲料添加剂应符合中华人民共和国农业部公告</w:t>
      </w:r>
      <w:r>
        <w:rPr>
          <w:rFonts w:ascii="宋体" w:hAnsi="宋体" w:cs="宋体"/>
        </w:rPr>
        <w:t xml:space="preserve"> </w:t>
      </w:r>
      <w:r>
        <w:rPr>
          <w:rFonts w:hint="eastAsia" w:ascii="宋体" w:hAnsi="宋体" w:cs="宋体"/>
        </w:rPr>
        <w:t>第</w:t>
      </w:r>
      <w:r>
        <w:rPr>
          <w:rFonts w:ascii="宋体" w:hAnsi="宋体" w:cs="宋体"/>
        </w:rPr>
        <w:t>2625</w:t>
      </w:r>
      <w:r>
        <w:rPr>
          <w:rFonts w:hint="eastAsia" w:ascii="宋体" w:hAnsi="宋体" w:cs="宋体"/>
        </w:rPr>
        <w:t>号</w:t>
      </w:r>
      <w:r>
        <w:rPr>
          <w:rFonts w:ascii="宋体" w:hAnsi="宋体" w:cs="宋体"/>
        </w:rPr>
        <w:t xml:space="preserve"> </w:t>
      </w:r>
      <w:r>
        <w:rPr>
          <w:rFonts w:hint="eastAsia" w:ascii="宋体" w:hAnsi="宋体" w:cs="宋体"/>
        </w:rPr>
        <w:t>《饲料添加剂安全使用规范》</w:t>
      </w:r>
      <w:r>
        <w:rPr>
          <w:rFonts w:hint="eastAsia" w:ascii="宋体" w:hAnsi="宋体" w:cs="宋体"/>
          <w:lang w:eastAsia="zh-CN"/>
        </w:rPr>
        <w:t>和</w:t>
      </w:r>
      <w:r>
        <w:rPr>
          <w:rFonts w:hint="eastAsia" w:ascii="宋体" w:hAnsi="宋体" w:cs="宋体"/>
          <w:lang w:val="en-US" w:eastAsia="zh-CN"/>
        </w:rPr>
        <w:t>NY 5032的规定</w:t>
      </w:r>
      <w:r>
        <w:rPr>
          <w:rFonts w:hint="eastAsia" w:ascii="宋体" w:hAnsi="宋体" w:cs="宋体"/>
        </w:rPr>
        <w:t>，饲料药物添加剂应符合中华人民共和国农业部公告</w:t>
      </w:r>
      <w:r>
        <w:rPr>
          <w:rFonts w:ascii="宋体" w:hAnsi="宋体" w:cs="宋体"/>
        </w:rPr>
        <w:t xml:space="preserve"> </w:t>
      </w:r>
      <w:r>
        <w:rPr>
          <w:rFonts w:hint="eastAsia" w:ascii="宋体" w:hAnsi="宋体" w:cs="宋体"/>
        </w:rPr>
        <w:t>第</w:t>
      </w:r>
      <w:r>
        <w:rPr>
          <w:rFonts w:ascii="宋体" w:hAnsi="宋体" w:cs="宋体"/>
        </w:rPr>
        <w:t>168</w:t>
      </w:r>
      <w:r>
        <w:rPr>
          <w:rFonts w:hint="eastAsia" w:ascii="宋体" w:hAnsi="宋体" w:cs="宋体"/>
        </w:rPr>
        <w:t>号《饲料药物添加剂使用规范》。</w:t>
      </w:r>
    </w:p>
    <w:p>
      <w:pPr>
        <w:pStyle w:val="20"/>
        <w:tabs>
          <w:tab w:val="center" w:pos="4201"/>
          <w:tab w:val="right" w:leader="dot" w:pos="9298"/>
        </w:tabs>
        <w:spacing w:line="360" w:lineRule="exact"/>
        <w:ind w:firstLine="0" w:firstLineChars="0"/>
        <w:rPr>
          <w:rFonts w:ascii="黑体" w:hAnsi="黑体" w:eastAsia="黑体" w:cs="黑体"/>
        </w:rPr>
      </w:pPr>
      <w:r>
        <w:rPr>
          <w:rFonts w:ascii="黑体" w:hAnsi="黑体" w:eastAsia="黑体" w:cs="黑体"/>
        </w:rPr>
        <w:t xml:space="preserve">7.2 </w:t>
      </w:r>
      <w:r>
        <w:rPr>
          <w:rFonts w:hint="eastAsia" w:ascii="黑体" w:hAnsi="黑体" w:eastAsia="黑体" w:cs="黑体"/>
        </w:rPr>
        <w:t>饲料种类</w:t>
      </w:r>
    </w:p>
    <w:p>
      <w:pPr>
        <w:pStyle w:val="20"/>
        <w:tabs>
          <w:tab w:val="center" w:pos="4201"/>
          <w:tab w:val="right" w:leader="dot" w:pos="9298"/>
        </w:tabs>
        <w:spacing w:line="360" w:lineRule="exact"/>
        <w:ind w:firstLine="0" w:firstLineChars="0"/>
        <w:rPr>
          <w:rFonts w:ascii="黑体" w:hAnsi="黑体" w:eastAsia="黑体" w:cs="黑体"/>
        </w:rPr>
      </w:pPr>
      <w:r>
        <w:rPr>
          <w:rFonts w:ascii="黑体" w:hAnsi="黑体" w:eastAsia="黑体" w:cs="黑体"/>
        </w:rPr>
        <w:t xml:space="preserve">7.2.1 </w:t>
      </w:r>
      <w:r>
        <w:rPr>
          <w:rFonts w:hint="eastAsia" w:ascii="黑体" w:hAnsi="黑体" w:eastAsia="黑体" w:cs="黑体"/>
        </w:rPr>
        <w:t>草料</w:t>
      </w:r>
    </w:p>
    <w:p>
      <w:pPr>
        <w:pStyle w:val="20"/>
        <w:tabs>
          <w:tab w:val="center" w:pos="4201"/>
          <w:tab w:val="right" w:leader="dot" w:pos="9298"/>
        </w:tabs>
        <w:spacing w:line="360" w:lineRule="exact"/>
        <w:rPr>
          <w:rFonts w:hAnsi="宋体" w:cs="宋体"/>
        </w:rPr>
      </w:pPr>
      <w:r>
        <w:rPr>
          <w:rFonts w:hint="eastAsia" w:hAnsi="宋体" w:cs="宋体"/>
        </w:rPr>
        <w:t>包括青饲料、干草、秸秆等。</w:t>
      </w:r>
    </w:p>
    <w:p>
      <w:pPr>
        <w:pStyle w:val="20"/>
        <w:tabs>
          <w:tab w:val="center" w:pos="4201"/>
          <w:tab w:val="right" w:leader="dot" w:pos="9298"/>
        </w:tabs>
        <w:spacing w:line="360" w:lineRule="exact"/>
        <w:ind w:firstLine="0" w:firstLineChars="0"/>
        <w:rPr>
          <w:rFonts w:ascii="黑体" w:hAnsi="黑体" w:eastAsia="黑体" w:cs="黑体"/>
        </w:rPr>
      </w:pPr>
      <w:r>
        <w:rPr>
          <w:rFonts w:ascii="黑体" w:hAnsi="黑体" w:eastAsia="黑体" w:cs="黑体"/>
        </w:rPr>
        <w:t xml:space="preserve">7.2.2 </w:t>
      </w:r>
      <w:r>
        <w:rPr>
          <w:rFonts w:hint="eastAsia" w:ascii="黑体" w:hAnsi="黑体" w:eastAsia="黑体" w:cs="黑体"/>
        </w:rPr>
        <w:t>青贮料</w:t>
      </w:r>
    </w:p>
    <w:p>
      <w:pPr>
        <w:pStyle w:val="20"/>
        <w:tabs>
          <w:tab w:val="center" w:pos="4201"/>
          <w:tab w:val="right" w:leader="dot" w:pos="9298"/>
        </w:tabs>
        <w:spacing w:line="360" w:lineRule="exact"/>
      </w:pPr>
      <w:r>
        <w:rPr>
          <w:rFonts w:hint="eastAsia" w:hAnsi="宋体" w:cs="宋体"/>
        </w:rPr>
        <w:t>应符合</w:t>
      </w:r>
      <w:r>
        <w:rPr>
          <w:rFonts w:hAnsi="宋体" w:cs="宋体"/>
        </w:rPr>
        <w:t>NY/T 2696</w:t>
      </w:r>
      <w:r>
        <w:rPr>
          <w:rFonts w:hint="eastAsia" w:hAnsi="宋体" w:cs="宋体"/>
        </w:rPr>
        <w:t>的规定</w:t>
      </w:r>
      <w:r>
        <w:rPr>
          <w:rFonts w:hint="eastAsia"/>
        </w:rPr>
        <w:t>。</w:t>
      </w:r>
    </w:p>
    <w:p>
      <w:pPr>
        <w:pStyle w:val="20"/>
        <w:tabs>
          <w:tab w:val="center" w:pos="4201"/>
          <w:tab w:val="right" w:leader="dot" w:pos="9298"/>
        </w:tabs>
        <w:spacing w:line="360" w:lineRule="exact"/>
        <w:ind w:firstLine="0" w:firstLineChars="0"/>
        <w:rPr>
          <w:rFonts w:ascii="黑体" w:hAnsi="黑体" w:eastAsia="黑体" w:cs="黑体"/>
        </w:rPr>
      </w:pPr>
      <w:r>
        <w:rPr>
          <w:rFonts w:ascii="黑体" w:hAnsi="黑体" w:eastAsia="黑体" w:cs="黑体"/>
        </w:rPr>
        <w:t xml:space="preserve">7.2.3 </w:t>
      </w:r>
      <w:r>
        <w:rPr>
          <w:rFonts w:hint="eastAsia" w:ascii="黑体" w:hAnsi="黑体" w:eastAsia="黑体" w:cs="黑体"/>
        </w:rPr>
        <w:t>精料补充料</w:t>
      </w:r>
    </w:p>
    <w:p>
      <w:pPr>
        <w:pStyle w:val="20"/>
        <w:tabs>
          <w:tab w:val="center" w:pos="4201"/>
          <w:tab w:val="right" w:leader="dot" w:pos="9298"/>
        </w:tabs>
        <w:spacing w:line="360" w:lineRule="exact"/>
        <w:rPr>
          <w:rFonts w:hAnsi="宋体" w:cs="宋体"/>
        </w:rPr>
      </w:pPr>
      <w:r>
        <w:rPr>
          <w:rFonts w:hint="eastAsia" w:hAnsi="宋体" w:cs="宋体"/>
        </w:rPr>
        <w:t>由玉米、豆粕、糠麸等原料配合而成。</w:t>
      </w:r>
    </w:p>
    <w:p>
      <w:pPr>
        <w:pStyle w:val="20"/>
        <w:tabs>
          <w:tab w:val="center" w:pos="4201"/>
          <w:tab w:val="right" w:leader="dot" w:pos="9298"/>
        </w:tabs>
        <w:spacing w:line="360" w:lineRule="exact"/>
        <w:ind w:firstLine="0" w:firstLineChars="0"/>
        <w:rPr>
          <w:rFonts w:ascii="黑体" w:hAnsi="黑体" w:eastAsia="黑体" w:cs="黑体"/>
        </w:rPr>
      </w:pPr>
      <w:r>
        <w:rPr>
          <w:rFonts w:ascii="黑体" w:hAnsi="黑体" w:eastAsia="黑体" w:cs="黑体"/>
        </w:rPr>
        <w:t xml:space="preserve">7.3 </w:t>
      </w:r>
      <w:r>
        <w:rPr>
          <w:rFonts w:hint="eastAsia" w:ascii="黑体" w:hAnsi="黑体" w:eastAsia="黑体" w:cs="黑体"/>
        </w:rPr>
        <w:t>日粮配制</w:t>
      </w:r>
    </w:p>
    <w:p>
      <w:pPr>
        <w:pStyle w:val="20"/>
        <w:tabs>
          <w:tab w:val="center" w:pos="4201"/>
          <w:tab w:val="right" w:leader="dot" w:pos="9298"/>
        </w:tabs>
        <w:spacing w:line="360" w:lineRule="exact"/>
        <w:rPr>
          <w:rFonts w:hAnsi="宋体" w:cs="宋体"/>
        </w:rPr>
      </w:pPr>
      <w:r>
        <w:rPr>
          <w:rFonts w:hint="eastAsia" w:hAnsi="宋体" w:cs="宋体"/>
        </w:rPr>
        <w:t>以草料为主、精料为辅的原则进行合理搭配，兼顾适口性、稳定性、经济性。按照肉牛不同阶段的营养需要，精、草料进行科学搭配，满足不同阶段肉牛的生长需求。见表</w:t>
      </w:r>
      <w:r>
        <w:rPr>
          <w:rFonts w:hAnsi="宋体" w:cs="宋体"/>
        </w:rPr>
        <w:t>1</w:t>
      </w:r>
      <w:r>
        <w:rPr>
          <w:rFonts w:hint="eastAsia" w:hAnsi="宋体" w:cs="宋体"/>
        </w:rPr>
        <w:t>。</w:t>
      </w:r>
    </w:p>
    <w:p>
      <w:pPr>
        <w:spacing w:line="360" w:lineRule="exact"/>
        <w:jc w:val="center"/>
        <w:rPr>
          <w:szCs w:val="21"/>
        </w:rPr>
      </w:pPr>
      <w:r>
        <w:rPr>
          <w:rFonts w:hint="eastAsia" w:ascii="黑体" w:hAnsi="黑体" w:eastAsia="黑体" w:cs="黑体"/>
          <w:szCs w:val="21"/>
        </w:rPr>
        <w:t>表</w:t>
      </w:r>
      <w:r>
        <w:rPr>
          <w:rFonts w:ascii="黑体" w:hAnsi="黑体" w:eastAsia="黑体" w:cs="黑体"/>
          <w:szCs w:val="21"/>
        </w:rPr>
        <w:t xml:space="preserve">1  </w:t>
      </w:r>
      <w:r>
        <w:rPr>
          <w:rFonts w:hint="eastAsia" w:ascii="黑体" w:hAnsi="黑体" w:eastAsia="黑体" w:cs="黑体"/>
          <w:szCs w:val="21"/>
        </w:rPr>
        <w:t>各生长阶段肉牛日粮配方表</w:t>
      </w:r>
    </w:p>
    <w:tbl>
      <w:tblPr>
        <w:tblStyle w:val="13"/>
        <w:tblW w:w="94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630"/>
        <w:gridCol w:w="5602"/>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1198" w:type="dxa"/>
            <w:gridSpan w:val="2"/>
            <w:noWrap w:val="0"/>
            <w:vAlign w:val="center"/>
          </w:tcPr>
          <w:p>
            <w:pPr>
              <w:spacing w:line="360" w:lineRule="exact"/>
              <w:jc w:val="center"/>
              <w:rPr>
                <w:rFonts w:ascii="宋体" w:cs="宋体"/>
                <w:sz w:val="18"/>
                <w:szCs w:val="18"/>
              </w:rPr>
            </w:pPr>
            <w:r>
              <w:rPr>
                <w:rFonts w:hint="eastAsia" w:ascii="宋体" w:hAnsi="宋体" w:cs="宋体"/>
                <w:sz w:val="18"/>
                <w:szCs w:val="18"/>
              </w:rPr>
              <w:t>生长阶段</w:t>
            </w:r>
          </w:p>
        </w:tc>
        <w:tc>
          <w:tcPr>
            <w:tcW w:w="5602"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精料配方</w:t>
            </w:r>
          </w:p>
        </w:tc>
        <w:tc>
          <w:tcPr>
            <w:tcW w:w="2699"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日粮组成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1198" w:type="dxa"/>
            <w:gridSpan w:val="2"/>
            <w:noWrap w:val="0"/>
            <w:vAlign w:val="center"/>
          </w:tcPr>
          <w:p>
            <w:pPr>
              <w:spacing w:line="360" w:lineRule="exact"/>
              <w:jc w:val="center"/>
              <w:rPr>
                <w:rFonts w:ascii="宋体" w:cs="宋体"/>
                <w:sz w:val="18"/>
                <w:szCs w:val="18"/>
              </w:rPr>
            </w:pPr>
            <w:r>
              <w:rPr>
                <w:rFonts w:hint="eastAsia" w:ascii="宋体" w:hAnsi="宋体" w:cs="宋体"/>
                <w:sz w:val="18"/>
                <w:szCs w:val="18"/>
              </w:rPr>
              <w:t>犊牛</w:t>
            </w:r>
          </w:p>
        </w:tc>
        <w:tc>
          <w:tcPr>
            <w:tcW w:w="5602"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玉米</w:t>
            </w:r>
            <w:r>
              <w:rPr>
                <w:rFonts w:ascii="宋体" w:hAnsi="宋体" w:cs="宋体"/>
                <w:sz w:val="18"/>
                <w:szCs w:val="18"/>
              </w:rPr>
              <w:t>50%</w:t>
            </w:r>
            <w:r>
              <w:rPr>
                <w:rFonts w:hint="eastAsia" w:ascii="宋体" w:hAnsi="宋体" w:cs="宋体"/>
                <w:sz w:val="18"/>
                <w:szCs w:val="18"/>
              </w:rPr>
              <w:t>、麸皮</w:t>
            </w:r>
            <w:r>
              <w:rPr>
                <w:rFonts w:ascii="宋体" w:hAnsi="宋体" w:cs="宋体"/>
                <w:sz w:val="18"/>
                <w:szCs w:val="18"/>
              </w:rPr>
              <w:t>12%</w:t>
            </w:r>
            <w:r>
              <w:rPr>
                <w:rFonts w:hint="eastAsia" w:ascii="宋体" w:hAnsi="宋体" w:cs="宋体"/>
                <w:sz w:val="18"/>
                <w:szCs w:val="18"/>
              </w:rPr>
              <w:t>、豆饼</w:t>
            </w:r>
            <w:r>
              <w:rPr>
                <w:rFonts w:ascii="宋体" w:hAnsi="宋体" w:cs="宋体"/>
                <w:sz w:val="18"/>
                <w:szCs w:val="18"/>
              </w:rPr>
              <w:t>35%</w:t>
            </w:r>
            <w:r>
              <w:rPr>
                <w:rFonts w:hint="eastAsia" w:ascii="宋体" w:hAnsi="宋体" w:cs="宋体"/>
                <w:sz w:val="18"/>
                <w:szCs w:val="18"/>
              </w:rPr>
              <w:t>、磷酸氢钙</w:t>
            </w:r>
            <w:r>
              <w:rPr>
                <w:rFonts w:ascii="宋体" w:hAnsi="宋体" w:cs="宋体"/>
                <w:sz w:val="18"/>
                <w:szCs w:val="18"/>
              </w:rPr>
              <w:t>1%</w:t>
            </w:r>
            <w:r>
              <w:rPr>
                <w:rFonts w:hint="eastAsia" w:ascii="宋体" w:hAnsi="宋体" w:cs="宋体"/>
                <w:sz w:val="18"/>
                <w:szCs w:val="18"/>
              </w:rPr>
              <w:t>、碳酸钙</w:t>
            </w:r>
            <w:r>
              <w:rPr>
                <w:rFonts w:ascii="宋体" w:hAnsi="宋体" w:cs="宋体"/>
                <w:sz w:val="18"/>
                <w:szCs w:val="18"/>
              </w:rPr>
              <w:t>1%</w:t>
            </w:r>
            <w:r>
              <w:rPr>
                <w:rFonts w:hint="eastAsia" w:ascii="宋体" w:hAnsi="宋体" w:cs="宋体"/>
                <w:sz w:val="18"/>
                <w:szCs w:val="18"/>
              </w:rPr>
              <w:t>、食盐</w:t>
            </w:r>
            <w:r>
              <w:rPr>
                <w:rFonts w:ascii="宋体" w:hAnsi="宋体" w:cs="宋体"/>
                <w:sz w:val="18"/>
                <w:szCs w:val="18"/>
              </w:rPr>
              <w:t>1%</w:t>
            </w:r>
            <w:r>
              <w:rPr>
                <w:rFonts w:hint="eastAsia" w:ascii="宋体" w:hAnsi="宋体" w:cs="宋体"/>
                <w:sz w:val="18"/>
                <w:szCs w:val="18"/>
              </w:rPr>
              <w:t>。</w:t>
            </w:r>
          </w:p>
        </w:tc>
        <w:tc>
          <w:tcPr>
            <w:tcW w:w="2699"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精料占体重</w:t>
            </w:r>
            <w:r>
              <w:rPr>
                <w:rFonts w:ascii="宋体" w:hAnsi="宋体" w:cs="宋体"/>
                <w:sz w:val="18"/>
                <w:szCs w:val="18"/>
              </w:rPr>
              <w:t>1%</w:t>
            </w:r>
            <w:r>
              <w:rPr>
                <w:rFonts w:hint="eastAsia" w:ascii="宋体" w:hAnsi="宋体" w:cs="宋体"/>
                <w:sz w:val="18"/>
                <w:szCs w:val="18"/>
              </w:rPr>
              <w:t>，优质草料自由采食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568" w:type="dxa"/>
            <w:vMerge w:val="restart"/>
            <w:tcBorders>
              <w:top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怀孕</w:t>
            </w:r>
          </w:p>
          <w:p>
            <w:pPr>
              <w:spacing w:line="360" w:lineRule="exact"/>
              <w:jc w:val="center"/>
              <w:rPr>
                <w:rFonts w:ascii="宋体" w:cs="宋体"/>
                <w:sz w:val="18"/>
                <w:szCs w:val="18"/>
              </w:rPr>
            </w:pPr>
            <w:r>
              <w:rPr>
                <w:rFonts w:hint="eastAsia" w:ascii="宋体" w:hAnsi="宋体" w:cs="宋体"/>
                <w:sz w:val="18"/>
                <w:szCs w:val="18"/>
              </w:rPr>
              <w:t>母牛</w:t>
            </w:r>
          </w:p>
        </w:tc>
        <w:tc>
          <w:tcPr>
            <w:tcW w:w="630"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初期</w:t>
            </w:r>
          </w:p>
        </w:tc>
        <w:tc>
          <w:tcPr>
            <w:tcW w:w="5602"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玉米粉</w:t>
            </w:r>
            <w:r>
              <w:rPr>
                <w:rFonts w:ascii="宋体" w:hAnsi="宋体" w:cs="宋体"/>
                <w:sz w:val="18"/>
                <w:szCs w:val="18"/>
              </w:rPr>
              <w:t>60%</w:t>
            </w:r>
            <w:r>
              <w:rPr>
                <w:rFonts w:hint="eastAsia" w:ascii="宋体" w:hAnsi="宋体" w:cs="宋体"/>
                <w:sz w:val="18"/>
                <w:szCs w:val="18"/>
              </w:rPr>
              <w:t>、麸皮</w:t>
            </w:r>
            <w:r>
              <w:rPr>
                <w:rFonts w:ascii="宋体" w:hAnsi="宋体" w:cs="宋体"/>
                <w:sz w:val="18"/>
                <w:szCs w:val="18"/>
              </w:rPr>
              <w:t>15%</w:t>
            </w:r>
            <w:r>
              <w:rPr>
                <w:rFonts w:hint="eastAsia" w:ascii="宋体" w:hAnsi="宋体" w:cs="宋体"/>
                <w:sz w:val="18"/>
                <w:szCs w:val="18"/>
              </w:rPr>
              <w:t>、豆粕</w:t>
            </w:r>
            <w:r>
              <w:rPr>
                <w:rFonts w:ascii="宋体" w:hAnsi="宋体" w:cs="宋体"/>
                <w:sz w:val="18"/>
                <w:szCs w:val="18"/>
              </w:rPr>
              <w:t>20%</w:t>
            </w:r>
            <w:r>
              <w:rPr>
                <w:rFonts w:hint="eastAsia" w:ascii="宋体" w:hAnsi="宋体" w:cs="宋体"/>
                <w:sz w:val="18"/>
                <w:szCs w:val="18"/>
              </w:rPr>
              <w:t>、</w:t>
            </w:r>
            <w:r>
              <w:rPr>
                <w:rFonts w:hint="eastAsia" w:ascii="宋体" w:hAnsi="宋体"/>
                <w:sz w:val="18"/>
                <w:szCs w:val="18"/>
              </w:rPr>
              <w:t>小苏打</w:t>
            </w:r>
            <w:r>
              <w:rPr>
                <w:sz w:val="18"/>
                <w:szCs w:val="18"/>
              </w:rPr>
              <w:t>1%</w:t>
            </w:r>
            <w:r>
              <w:rPr>
                <w:rFonts w:hint="eastAsia"/>
                <w:sz w:val="18"/>
                <w:szCs w:val="18"/>
              </w:rPr>
              <w:t>、</w:t>
            </w:r>
            <w:r>
              <w:rPr>
                <w:rFonts w:hint="eastAsia" w:ascii="宋体" w:hAnsi="宋体" w:cs="宋体"/>
                <w:sz w:val="18"/>
                <w:szCs w:val="18"/>
              </w:rPr>
              <w:t>预混料</w:t>
            </w:r>
            <w:r>
              <w:rPr>
                <w:rFonts w:ascii="宋体" w:hAnsi="宋体" w:cs="宋体"/>
                <w:sz w:val="18"/>
                <w:szCs w:val="18"/>
              </w:rPr>
              <w:t>4%</w:t>
            </w:r>
          </w:p>
        </w:tc>
        <w:tc>
          <w:tcPr>
            <w:tcW w:w="2699"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精料</w:t>
            </w:r>
            <w:r>
              <w:rPr>
                <w:rFonts w:ascii="宋体" w:hAnsi="宋体" w:cs="宋体"/>
                <w:sz w:val="18"/>
                <w:szCs w:val="18"/>
              </w:rPr>
              <w:t>1.5kg+</w:t>
            </w:r>
            <w:r>
              <w:rPr>
                <w:rFonts w:hint="eastAsia" w:ascii="宋体" w:hAnsi="宋体" w:cs="宋体"/>
                <w:sz w:val="18"/>
                <w:szCs w:val="18"/>
              </w:rPr>
              <w:t>草料</w:t>
            </w:r>
            <w:r>
              <w:rPr>
                <w:rFonts w:ascii="宋体" w:hAnsi="宋体" w:cs="宋体"/>
                <w:sz w:val="18"/>
                <w:szCs w:val="18"/>
              </w:rPr>
              <w:t>15kg</w:t>
            </w:r>
            <w:r>
              <w:rPr>
                <w:rFonts w:hint="eastAsia" w:ascii="宋体" w:hAnsi="宋体" w:cs="宋体"/>
                <w:sz w:val="18"/>
                <w:szCs w:val="18"/>
              </w:rPr>
              <w:t>（建议按体重给料）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jc w:val="center"/>
        </w:trPr>
        <w:tc>
          <w:tcPr>
            <w:tcW w:w="568" w:type="dxa"/>
            <w:vMerge w:val="continue"/>
            <w:tcBorders>
              <w:top w:val="nil"/>
            </w:tcBorders>
            <w:noWrap w:val="0"/>
            <w:vAlign w:val="center"/>
          </w:tcPr>
          <w:p>
            <w:pPr>
              <w:widowControl/>
              <w:spacing w:line="360" w:lineRule="exact"/>
              <w:jc w:val="center"/>
              <w:rPr>
                <w:rFonts w:ascii="宋体" w:cs="宋体"/>
                <w:sz w:val="18"/>
                <w:szCs w:val="18"/>
              </w:rPr>
            </w:pPr>
          </w:p>
        </w:tc>
        <w:tc>
          <w:tcPr>
            <w:tcW w:w="630"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中期</w:t>
            </w:r>
          </w:p>
        </w:tc>
        <w:tc>
          <w:tcPr>
            <w:tcW w:w="5602"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玉米粉</w:t>
            </w:r>
            <w:r>
              <w:rPr>
                <w:rFonts w:ascii="宋体" w:hAnsi="宋体" w:cs="宋体"/>
                <w:sz w:val="18"/>
                <w:szCs w:val="18"/>
              </w:rPr>
              <w:t>60%</w:t>
            </w:r>
            <w:r>
              <w:rPr>
                <w:rFonts w:hint="eastAsia" w:ascii="宋体" w:hAnsi="宋体" w:cs="宋体"/>
                <w:sz w:val="18"/>
                <w:szCs w:val="18"/>
              </w:rPr>
              <w:t>、麸皮</w:t>
            </w:r>
            <w:r>
              <w:rPr>
                <w:rFonts w:ascii="宋体" w:hAnsi="宋体" w:cs="宋体"/>
                <w:sz w:val="18"/>
                <w:szCs w:val="18"/>
              </w:rPr>
              <w:t>15%</w:t>
            </w:r>
            <w:r>
              <w:rPr>
                <w:rFonts w:hint="eastAsia" w:ascii="宋体" w:hAnsi="宋体" w:cs="宋体"/>
                <w:sz w:val="18"/>
                <w:szCs w:val="18"/>
              </w:rPr>
              <w:t>、豆粕</w:t>
            </w:r>
            <w:r>
              <w:rPr>
                <w:rFonts w:ascii="宋体" w:hAnsi="宋体" w:cs="宋体"/>
                <w:sz w:val="18"/>
                <w:szCs w:val="18"/>
              </w:rPr>
              <w:t>20%</w:t>
            </w:r>
            <w:r>
              <w:rPr>
                <w:rFonts w:hint="eastAsia" w:ascii="宋体" w:hAnsi="宋体" w:cs="宋体"/>
                <w:sz w:val="18"/>
                <w:szCs w:val="18"/>
              </w:rPr>
              <w:t>、</w:t>
            </w:r>
            <w:r>
              <w:rPr>
                <w:rFonts w:hint="eastAsia" w:ascii="宋体" w:hAnsi="宋体"/>
                <w:sz w:val="18"/>
                <w:szCs w:val="18"/>
              </w:rPr>
              <w:t>小苏打</w:t>
            </w:r>
            <w:r>
              <w:rPr>
                <w:sz w:val="18"/>
                <w:szCs w:val="18"/>
              </w:rPr>
              <w:t>1%</w:t>
            </w:r>
            <w:r>
              <w:rPr>
                <w:rFonts w:hint="eastAsia"/>
                <w:sz w:val="18"/>
                <w:szCs w:val="18"/>
              </w:rPr>
              <w:t>、</w:t>
            </w:r>
            <w:r>
              <w:rPr>
                <w:rFonts w:hint="eastAsia" w:ascii="宋体" w:hAnsi="宋体" w:cs="宋体"/>
                <w:sz w:val="18"/>
                <w:szCs w:val="18"/>
              </w:rPr>
              <w:t>预混料</w:t>
            </w:r>
            <w:r>
              <w:rPr>
                <w:rFonts w:ascii="宋体" w:hAnsi="宋体" w:cs="宋体"/>
                <w:sz w:val="18"/>
                <w:szCs w:val="18"/>
              </w:rPr>
              <w:t>4%</w:t>
            </w:r>
          </w:p>
        </w:tc>
        <w:tc>
          <w:tcPr>
            <w:tcW w:w="2699"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精料</w:t>
            </w:r>
            <w:r>
              <w:rPr>
                <w:rFonts w:ascii="宋体" w:hAnsi="宋体" w:cs="宋体"/>
                <w:sz w:val="18"/>
                <w:szCs w:val="18"/>
              </w:rPr>
              <w:t>2kg+</w:t>
            </w:r>
            <w:r>
              <w:rPr>
                <w:rFonts w:hint="eastAsia" w:ascii="宋体" w:hAnsi="宋体" w:cs="宋体"/>
                <w:sz w:val="18"/>
                <w:szCs w:val="18"/>
              </w:rPr>
              <w:t>草料</w:t>
            </w:r>
            <w:r>
              <w:rPr>
                <w:rFonts w:ascii="宋体" w:hAnsi="宋体" w:cs="宋体"/>
                <w:sz w:val="18"/>
                <w:szCs w:val="18"/>
              </w:rPr>
              <w:t>20kg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568" w:type="dxa"/>
            <w:vMerge w:val="continue"/>
            <w:tcBorders>
              <w:top w:val="nil"/>
            </w:tcBorders>
            <w:noWrap w:val="0"/>
            <w:vAlign w:val="center"/>
          </w:tcPr>
          <w:p>
            <w:pPr>
              <w:widowControl/>
              <w:spacing w:line="360" w:lineRule="exact"/>
              <w:jc w:val="center"/>
              <w:rPr>
                <w:rFonts w:ascii="宋体" w:cs="宋体"/>
                <w:sz w:val="18"/>
                <w:szCs w:val="18"/>
              </w:rPr>
            </w:pPr>
          </w:p>
        </w:tc>
        <w:tc>
          <w:tcPr>
            <w:tcW w:w="630"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后期</w:t>
            </w:r>
          </w:p>
        </w:tc>
        <w:tc>
          <w:tcPr>
            <w:tcW w:w="5602"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玉米粉</w:t>
            </w:r>
            <w:r>
              <w:rPr>
                <w:rFonts w:ascii="宋体" w:hAnsi="宋体" w:cs="宋体"/>
                <w:sz w:val="18"/>
                <w:szCs w:val="18"/>
              </w:rPr>
              <w:t>58%</w:t>
            </w:r>
            <w:r>
              <w:rPr>
                <w:rFonts w:hint="eastAsia" w:ascii="宋体" w:hAnsi="宋体" w:cs="宋体"/>
                <w:sz w:val="18"/>
                <w:szCs w:val="18"/>
              </w:rPr>
              <w:t>、麸皮</w:t>
            </w:r>
            <w:r>
              <w:rPr>
                <w:rFonts w:ascii="宋体" w:hAnsi="宋体" w:cs="宋体"/>
                <w:sz w:val="18"/>
                <w:szCs w:val="18"/>
              </w:rPr>
              <w:t>15%</w:t>
            </w:r>
            <w:r>
              <w:rPr>
                <w:rFonts w:hint="eastAsia" w:ascii="宋体" w:hAnsi="宋体" w:cs="宋体"/>
                <w:sz w:val="18"/>
                <w:szCs w:val="18"/>
              </w:rPr>
              <w:t>、豆粕</w:t>
            </w:r>
            <w:r>
              <w:rPr>
                <w:rFonts w:ascii="宋体" w:hAnsi="宋体" w:cs="宋体"/>
                <w:sz w:val="18"/>
                <w:szCs w:val="18"/>
              </w:rPr>
              <w:t>21%</w:t>
            </w:r>
            <w:r>
              <w:rPr>
                <w:rFonts w:hint="eastAsia" w:ascii="宋体" w:hAnsi="宋体" w:cs="宋体"/>
                <w:sz w:val="18"/>
                <w:szCs w:val="18"/>
              </w:rPr>
              <w:t>、</w:t>
            </w:r>
            <w:r>
              <w:rPr>
                <w:rFonts w:hint="eastAsia" w:ascii="宋体" w:hAnsi="宋体"/>
                <w:sz w:val="18"/>
                <w:szCs w:val="18"/>
              </w:rPr>
              <w:t>小苏打</w:t>
            </w:r>
            <w:r>
              <w:rPr>
                <w:sz w:val="18"/>
                <w:szCs w:val="18"/>
              </w:rPr>
              <w:t>1%</w:t>
            </w:r>
            <w:r>
              <w:rPr>
                <w:rFonts w:hint="eastAsia"/>
                <w:sz w:val="18"/>
                <w:szCs w:val="18"/>
              </w:rPr>
              <w:t>、</w:t>
            </w:r>
            <w:r>
              <w:rPr>
                <w:rFonts w:hint="eastAsia" w:ascii="宋体" w:hAnsi="宋体" w:cs="宋体"/>
                <w:sz w:val="18"/>
                <w:szCs w:val="18"/>
              </w:rPr>
              <w:t>预混料</w:t>
            </w:r>
            <w:r>
              <w:rPr>
                <w:rFonts w:ascii="宋体" w:hAnsi="宋体" w:cs="宋体"/>
                <w:sz w:val="18"/>
                <w:szCs w:val="18"/>
              </w:rPr>
              <w:t>4%</w:t>
            </w:r>
          </w:p>
        </w:tc>
        <w:tc>
          <w:tcPr>
            <w:tcW w:w="2699"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精料</w:t>
            </w:r>
            <w:r>
              <w:rPr>
                <w:rFonts w:ascii="宋体" w:hAnsi="宋体" w:cs="宋体"/>
                <w:sz w:val="18"/>
                <w:szCs w:val="18"/>
              </w:rPr>
              <w:t>2.5kg+</w:t>
            </w:r>
            <w:r>
              <w:rPr>
                <w:rFonts w:hint="eastAsia" w:ascii="宋体" w:hAnsi="宋体" w:cs="宋体"/>
                <w:sz w:val="18"/>
                <w:szCs w:val="18"/>
              </w:rPr>
              <w:t>草料</w:t>
            </w:r>
            <w:r>
              <w:rPr>
                <w:rFonts w:ascii="宋体" w:hAnsi="宋体" w:cs="宋体"/>
                <w:sz w:val="18"/>
                <w:szCs w:val="18"/>
              </w:rPr>
              <w:t>20kg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1198" w:type="dxa"/>
            <w:gridSpan w:val="2"/>
            <w:noWrap w:val="0"/>
            <w:vAlign w:val="center"/>
          </w:tcPr>
          <w:p>
            <w:pPr>
              <w:spacing w:line="360" w:lineRule="exact"/>
              <w:jc w:val="center"/>
              <w:rPr>
                <w:rFonts w:ascii="宋体" w:cs="宋体"/>
                <w:sz w:val="18"/>
                <w:szCs w:val="18"/>
              </w:rPr>
            </w:pPr>
            <w:r>
              <w:rPr>
                <w:rFonts w:hint="eastAsia" w:ascii="宋体" w:hAnsi="宋体" w:cs="宋体"/>
                <w:sz w:val="18"/>
                <w:szCs w:val="18"/>
              </w:rPr>
              <w:t>种公牛</w:t>
            </w:r>
          </w:p>
        </w:tc>
        <w:tc>
          <w:tcPr>
            <w:tcW w:w="5602"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玉米</w:t>
            </w:r>
            <w:r>
              <w:rPr>
                <w:rFonts w:ascii="宋体" w:hAnsi="宋体" w:cs="宋体"/>
                <w:sz w:val="18"/>
                <w:szCs w:val="18"/>
              </w:rPr>
              <w:t>40%</w:t>
            </w:r>
            <w:r>
              <w:rPr>
                <w:rFonts w:hint="eastAsia" w:ascii="宋体" w:hAnsi="宋体" w:cs="宋体"/>
                <w:sz w:val="18"/>
                <w:szCs w:val="18"/>
              </w:rPr>
              <w:t>、糠麸类</w:t>
            </w:r>
            <w:r>
              <w:rPr>
                <w:rFonts w:ascii="宋体" w:hAnsi="宋体" w:cs="宋体"/>
                <w:sz w:val="18"/>
                <w:szCs w:val="18"/>
              </w:rPr>
              <w:t>35%</w:t>
            </w:r>
            <w:r>
              <w:rPr>
                <w:rFonts w:hint="eastAsia" w:ascii="宋体" w:hAnsi="宋体" w:cs="宋体"/>
                <w:sz w:val="18"/>
                <w:szCs w:val="18"/>
              </w:rPr>
              <w:t>、豆饼</w:t>
            </w:r>
            <w:r>
              <w:rPr>
                <w:rFonts w:ascii="宋体" w:hAnsi="宋体" w:cs="宋体"/>
                <w:sz w:val="18"/>
                <w:szCs w:val="18"/>
              </w:rPr>
              <w:t>20%</w:t>
            </w:r>
            <w:r>
              <w:rPr>
                <w:rFonts w:hint="eastAsia" w:ascii="宋体" w:hAnsi="宋体" w:cs="宋体"/>
                <w:sz w:val="18"/>
                <w:szCs w:val="18"/>
              </w:rPr>
              <w:t>、</w:t>
            </w:r>
            <w:r>
              <w:rPr>
                <w:rFonts w:hint="eastAsia" w:ascii="宋体" w:hAnsi="宋体"/>
                <w:sz w:val="18"/>
                <w:szCs w:val="18"/>
              </w:rPr>
              <w:t>小苏打</w:t>
            </w:r>
            <w:r>
              <w:rPr>
                <w:sz w:val="18"/>
                <w:szCs w:val="18"/>
              </w:rPr>
              <w:t>1%</w:t>
            </w:r>
            <w:r>
              <w:rPr>
                <w:rFonts w:hint="eastAsia"/>
                <w:sz w:val="18"/>
                <w:szCs w:val="18"/>
              </w:rPr>
              <w:t>、</w:t>
            </w:r>
            <w:r>
              <w:rPr>
                <w:rFonts w:hint="eastAsia" w:ascii="宋体" w:hAnsi="宋体" w:cs="宋体"/>
                <w:sz w:val="18"/>
                <w:szCs w:val="18"/>
              </w:rPr>
              <w:t>预混料</w:t>
            </w:r>
            <w:r>
              <w:rPr>
                <w:rFonts w:ascii="宋体" w:hAnsi="宋体" w:cs="宋体"/>
                <w:sz w:val="18"/>
                <w:szCs w:val="18"/>
              </w:rPr>
              <w:t>4%</w:t>
            </w:r>
          </w:p>
        </w:tc>
        <w:tc>
          <w:tcPr>
            <w:tcW w:w="2699"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精料</w:t>
            </w:r>
            <w:r>
              <w:rPr>
                <w:rFonts w:ascii="宋体" w:hAnsi="宋体" w:cs="宋体"/>
                <w:sz w:val="18"/>
                <w:szCs w:val="18"/>
              </w:rPr>
              <w:t>2kg+</w:t>
            </w:r>
            <w:r>
              <w:rPr>
                <w:rFonts w:hint="eastAsia" w:ascii="宋体" w:hAnsi="宋体" w:cs="宋体"/>
                <w:sz w:val="18"/>
                <w:szCs w:val="18"/>
              </w:rPr>
              <w:t>草料</w:t>
            </w:r>
            <w:r>
              <w:rPr>
                <w:rFonts w:ascii="宋体" w:hAnsi="宋体" w:cs="宋体"/>
                <w:sz w:val="18"/>
                <w:szCs w:val="18"/>
              </w:rPr>
              <w:t>20kg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1198" w:type="dxa"/>
            <w:gridSpan w:val="2"/>
            <w:noWrap w:val="0"/>
            <w:vAlign w:val="center"/>
          </w:tcPr>
          <w:p>
            <w:pPr>
              <w:spacing w:line="360" w:lineRule="exact"/>
              <w:jc w:val="center"/>
              <w:rPr>
                <w:rFonts w:ascii="宋体" w:cs="宋体"/>
                <w:sz w:val="18"/>
                <w:szCs w:val="18"/>
              </w:rPr>
            </w:pPr>
            <w:r>
              <w:rPr>
                <w:rFonts w:hint="eastAsia" w:ascii="宋体" w:hAnsi="宋体" w:cs="宋体"/>
                <w:sz w:val="18"/>
                <w:szCs w:val="18"/>
              </w:rPr>
              <w:t>空怀母牛</w:t>
            </w:r>
          </w:p>
        </w:tc>
        <w:tc>
          <w:tcPr>
            <w:tcW w:w="5602"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玉米</w:t>
            </w:r>
            <w:r>
              <w:rPr>
                <w:rFonts w:ascii="宋体" w:hAnsi="宋体" w:cs="宋体"/>
                <w:sz w:val="18"/>
                <w:szCs w:val="18"/>
              </w:rPr>
              <w:t>57%</w:t>
            </w:r>
            <w:r>
              <w:rPr>
                <w:rFonts w:hint="eastAsia" w:ascii="宋体" w:hAnsi="宋体" w:cs="宋体"/>
                <w:sz w:val="18"/>
                <w:szCs w:val="18"/>
              </w:rPr>
              <w:t>、糠麸类</w:t>
            </w:r>
            <w:r>
              <w:rPr>
                <w:rFonts w:ascii="宋体" w:hAnsi="宋体" w:cs="宋体"/>
                <w:sz w:val="18"/>
                <w:szCs w:val="18"/>
              </w:rPr>
              <w:t>25%</w:t>
            </w:r>
            <w:r>
              <w:rPr>
                <w:rFonts w:hint="eastAsia" w:ascii="宋体" w:hAnsi="宋体" w:cs="宋体"/>
                <w:sz w:val="18"/>
                <w:szCs w:val="18"/>
              </w:rPr>
              <w:t>、菜籽饼</w:t>
            </w:r>
            <w:r>
              <w:rPr>
                <w:rFonts w:ascii="宋体" w:hAnsi="宋体" w:cs="宋体"/>
                <w:sz w:val="18"/>
                <w:szCs w:val="18"/>
              </w:rPr>
              <w:t>13%</w:t>
            </w:r>
            <w:r>
              <w:rPr>
                <w:rFonts w:hint="eastAsia" w:ascii="宋体" w:hAnsi="宋体" w:cs="宋体"/>
                <w:sz w:val="18"/>
                <w:szCs w:val="18"/>
              </w:rPr>
              <w:t>、</w:t>
            </w:r>
            <w:r>
              <w:rPr>
                <w:rFonts w:hint="eastAsia" w:ascii="宋体" w:hAnsi="宋体"/>
                <w:sz w:val="18"/>
                <w:szCs w:val="18"/>
              </w:rPr>
              <w:t>小苏打</w:t>
            </w:r>
            <w:r>
              <w:rPr>
                <w:sz w:val="18"/>
                <w:szCs w:val="18"/>
              </w:rPr>
              <w:t>1%</w:t>
            </w:r>
            <w:r>
              <w:rPr>
                <w:rFonts w:hint="eastAsia"/>
                <w:sz w:val="18"/>
                <w:szCs w:val="18"/>
              </w:rPr>
              <w:t>、</w:t>
            </w:r>
            <w:r>
              <w:rPr>
                <w:rFonts w:hint="eastAsia" w:ascii="宋体" w:hAnsi="宋体" w:cs="宋体"/>
                <w:sz w:val="18"/>
                <w:szCs w:val="18"/>
              </w:rPr>
              <w:t>预混料</w:t>
            </w:r>
            <w:r>
              <w:rPr>
                <w:rFonts w:ascii="宋体" w:hAnsi="宋体" w:cs="宋体"/>
                <w:sz w:val="18"/>
                <w:szCs w:val="18"/>
              </w:rPr>
              <w:t>4%</w:t>
            </w:r>
          </w:p>
        </w:tc>
        <w:tc>
          <w:tcPr>
            <w:tcW w:w="2699" w:type="dxa"/>
            <w:tcBorders>
              <w:left w:val="nil"/>
            </w:tcBorders>
            <w:noWrap w:val="0"/>
            <w:vAlign w:val="center"/>
          </w:tcPr>
          <w:p>
            <w:pPr>
              <w:spacing w:line="360" w:lineRule="exact"/>
              <w:jc w:val="center"/>
              <w:rPr>
                <w:rFonts w:ascii="宋体" w:cs="宋体"/>
                <w:sz w:val="18"/>
                <w:szCs w:val="18"/>
              </w:rPr>
            </w:pPr>
            <w:r>
              <w:rPr>
                <w:rFonts w:hint="eastAsia" w:ascii="宋体" w:hAnsi="宋体" w:cs="宋体"/>
                <w:sz w:val="18"/>
                <w:szCs w:val="18"/>
              </w:rPr>
              <w:t>精料</w:t>
            </w:r>
            <w:r>
              <w:rPr>
                <w:rFonts w:ascii="宋体" w:hAnsi="宋体" w:cs="宋体"/>
                <w:sz w:val="18"/>
                <w:szCs w:val="18"/>
              </w:rPr>
              <w:t>1kg+</w:t>
            </w:r>
            <w:r>
              <w:rPr>
                <w:rFonts w:hint="eastAsia" w:ascii="宋体" w:hAnsi="宋体" w:cs="宋体"/>
                <w:sz w:val="18"/>
                <w:szCs w:val="18"/>
              </w:rPr>
              <w:t>草料</w:t>
            </w:r>
            <w:r>
              <w:rPr>
                <w:rFonts w:ascii="宋体" w:hAnsi="宋体" w:cs="宋体"/>
                <w:sz w:val="18"/>
                <w:szCs w:val="18"/>
              </w:rPr>
              <w:t>20kg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1198" w:type="dxa"/>
            <w:gridSpan w:val="2"/>
            <w:noWrap w:val="0"/>
            <w:vAlign w:val="center"/>
          </w:tcPr>
          <w:p>
            <w:pPr>
              <w:spacing w:line="360" w:lineRule="exact"/>
              <w:jc w:val="center"/>
              <w:rPr>
                <w:rFonts w:ascii="宋体"/>
                <w:sz w:val="18"/>
                <w:szCs w:val="18"/>
              </w:rPr>
            </w:pPr>
            <w:r>
              <w:rPr>
                <w:rFonts w:hint="eastAsia" w:ascii="宋体" w:hAnsi="宋体"/>
                <w:sz w:val="18"/>
                <w:szCs w:val="18"/>
              </w:rPr>
              <w:t>哺乳母牛</w:t>
            </w:r>
          </w:p>
        </w:tc>
        <w:tc>
          <w:tcPr>
            <w:tcW w:w="5602" w:type="dxa"/>
            <w:tcBorders>
              <w:left w:val="nil"/>
            </w:tcBorders>
            <w:noWrap w:val="0"/>
            <w:vAlign w:val="center"/>
          </w:tcPr>
          <w:p>
            <w:pPr>
              <w:spacing w:line="360" w:lineRule="exact"/>
              <w:jc w:val="center"/>
              <w:rPr>
                <w:rFonts w:ascii="宋体"/>
                <w:sz w:val="18"/>
                <w:szCs w:val="18"/>
              </w:rPr>
            </w:pPr>
            <w:r>
              <w:rPr>
                <w:rFonts w:hint="eastAsia"/>
                <w:sz w:val="18"/>
                <w:szCs w:val="18"/>
              </w:rPr>
              <w:t>玉米</w:t>
            </w:r>
            <w:r>
              <w:rPr>
                <w:rFonts w:ascii="宋体" w:hAnsi="宋体"/>
                <w:sz w:val="18"/>
                <w:szCs w:val="18"/>
              </w:rPr>
              <w:t>60</w:t>
            </w:r>
            <w:r>
              <w:rPr>
                <w:sz w:val="18"/>
                <w:szCs w:val="18"/>
              </w:rPr>
              <w:t>%</w:t>
            </w:r>
            <w:r>
              <w:rPr>
                <w:rFonts w:hint="eastAsia" w:ascii="宋体" w:hAnsi="宋体"/>
                <w:sz w:val="18"/>
                <w:szCs w:val="18"/>
              </w:rPr>
              <w:t>、糠麸类</w:t>
            </w:r>
            <w:r>
              <w:rPr>
                <w:rFonts w:ascii="宋体" w:hAnsi="宋体"/>
                <w:sz w:val="18"/>
                <w:szCs w:val="18"/>
              </w:rPr>
              <w:t>15</w:t>
            </w:r>
            <w:r>
              <w:rPr>
                <w:sz w:val="18"/>
                <w:szCs w:val="18"/>
              </w:rPr>
              <w:t>%</w:t>
            </w:r>
            <w:r>
              <w:rPr>
                <w:rFonts w:hint="eastAsia" w:ascii="宋体" w:hAnsi="宋体"/>
                <w:sz w:val="18"/>
                <w:szCs w:val="18"/>
              </w:rPr>
              <w:t>、豆饼</w:t>
            </w:r>
            <w:r>
              <w:rPr>
                <w:rFonts w:ascii="宋体" w:hAnsi="宋体"/>
                <w:sz w:val="18"/>
                <w:szCs w:val="18"/>
              </w:rPr>
              <w:t>20</w:t>
            </w:r>
            <w:r>
              <w:rPr>
                <w:sz w:val="18"/>
                <w:szCs w:val="18"/>
              </w:rPr>
              <w:t>%</w:t>
            </w:r>
            <w:r>
              <w:rPr>
                <w:rFonts w:hint="eastAsia" w:ascii="宋体" w:hAnsi="宋体"/>
                <w:sz w:val="18"/>
                <w:szCs w:val="18"/>
              </w:rPr>
              <w:t>、小苏打</w:t>
            </w:r>
            <w:r>
              <w:rPr>
                <w:sz w:val="18"/>
                <w:szCs w:val="18"/>
              </w:rPr>
              <w:t>1%</w:t>
            </w:r>
            <w:r>
              <w:rPr>
                <w:rFonts w:hint="eastAsia" w:ascii="宋体" w:hAnsi="宋体"/>
                <w:sz w:val="18"/>
                <w:szCs w:val="18"/>
              </w:rPr>
              <w:t>、</w:t>
            </w:r>
            <w:r>
              <w:rPr>
                <w:rFonts w:hint="eastAsia" w:ascii="宋体" w:hAnsi="宋体" w:cs="宋体"/>
                <w:sz w:val="18"/>
                <w:szCs w:val="18"/>
              </w:rPr>
              <w:t>预混料</w:t>
            </w:r>
            <w:r>
              <w:rPr>
                <w:rFonts w:ascii="宋体" w:hAnsi="宋体" w:cs="宋体"/>
                <w:sz w:val="18"/>
                <w:szCs w:val="18"/>
              </w:rPr>
              <w:t>4%</w:t>
            </w:r>
          </w:p>
        </w:tc>
        <w:tc>
          <w:tcPr>
            <w:tcW w:w="2699" w:type="dxa"/>
            <w:tcBorders>
              <w:left w:val="nil"/>
            </w:tcBorders>
            <w:noWrap w:val="0"/>
            <w:vAlign w:val="center"/>
          </w:tcPr>
          <w:p>
            <w:pPr>
              <w:spacing w:line="360" w:lineRule="exact"/>
              <w:jc w:val="center"/>
              <w:rPr>
                <w:rFonts w:ascii="宋体"/>
                <w:sz w:val="18"/>
                <w:szCs w:val="18"/>
              </w:rPr>
            </w:pPr>
            <w:r>
              <w:rPr>
                <w:rFonts w:hint="eastAsia" w:ascii="宋体" w:hAnsi="宋体"/>
                <w:sz w:val="18"/>
                <w:szCs w:val="18"/>
              </w:rPr>
              <w:t>精料</w:t>
            </w:r>
            <w:r>
              <w:rPr>
                <w:sz w:val="18"/>
                <w:szCs w:val="18"/>
              </w:rPr>
              <w:t>1.5kg+</w:t>
            </w:r>
            <w:r>
              <w:rPr>
                <w:rFonts w:hint="eastAsia" w:ascii="宋体" w:hAnsi="宋体"/>
                <w:sz w:val="18"/>
                <w:szCs w:val="18"/>
              </w:rPr>
              <w:t>草料</w:t>
            </w:r>
            <w:r>
              <w:rPr>
                <w:sz w:val="18"/>
                <w:szCs w:val="18"/>
              </w:rPr>
              <w:t>20kg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1198" w:type="dxa"/>
            <w:gridSpan w:val="2"/>
            <w:noWrap w:val="0"/>
            <w:vAlign w:val="center"/>
          </w:tcPr>
          <w:p>
            <w:pPr>
              <w:spacing w:line="360" w:lineRule="exact"/>
              <w:jc w:val="center"/>
              <w:rPr>
                <w:rFonts w:ascii="宋体"/>
                <w:sz w:val="18"/>
                <w:szCs w:val="18"/>
              </w:rPr>
            </w:pPr>
            <w:r>
              <w:rPr>
                <w:rFonts w:hint="eastAsia" w:ascii="宋体" w:hAnsi="宋体"/>
                <w:sz w:val="18"/>
                <w:szCs w:val="18"/>
              </w:rPr>
              <w:t>育肥牛</w:t>
            </w:r>
          </w:p>
        </w:tc>
        <w:tc>
          <w:tcPr>
            <w:tcW w:w="5602" w:type="dxa"/>
            <w:tcBorders>
              <w:left w:val="nil"/>
            </w:tcBorders>
            <w:noWrap w:val="0"/>
            <w:vAlign w:val="center"/>
          </w:tcPr>
          <w:p>
            <w:pPr>
              <w:spacing w:line="360" w:lineRule="exact"/>
              <w:jc w:val="center"/>
              <w:rPr>
                <w:rFonts w:ascii="宋体"/>
                <w:sz w:val="18"/>
                <w:szCs w:val="18"/>
              </w:rPr>
            </w:pPr>
            <w:r>
              <w:rPr>
                <w:rFonts w:hint="eastAsia"/>
                <w:sz w:val="18"/>
                <w:szCs w:val="18"/>
              </w:rPr>
              <w:t>玉米</w:t>
            </w:r>
            <w:r>
              <w:rPr>
                <w:rFonts w:ascii="宋体" w:hAnsi="宋体"/>
                <w:sz w:val="18"/>
                <w:szCs w:val="18"/>
              </w:rPr>
              <w:t>61</w:t>
            </w:r>
            <w:r>
              <w:rPr>
                <w:sz w:val="18"/>
                <w:szCs w:val="18"/>
              </w:rPr>
              <w:t>%</w:t>
            </w:r>
            <w:r>
              <w:rPr>
                <w:rFonts w:hint="eastAsia" w:ascii="宋体" w:hAnsi="宋体"/>
                <w:sz w:val="18"/>
                <w:szCs w:val="18"/>
              </w:rPr>
              <w:t>、豆粕</w:t>
            </w:r>
            <w:r>
              <w:rPr>
                <w:sz w:val="18"/>
                <w:szCs w:val="18"/>
              </w:rPr>
              <w:t>10%</w:t>
            </w:r>
            <w:r>
              <w:rPr>
                <w:rFonts w:hint="eastAsia" w:ascii="宋体" w:hAnsi="宋体"/>
                <w:sz w:val="18"/>
                <w:szCs w:val="18"/>
              </w:rPr>
              <w:t>、菜籽</w:t>
            </w:r>
            <w:r>
              <w:rPr>
                <w:rFonts w:hint="eastAsia"/>
                <w:sz w:val="18"/>
                <w:szCs w:val="18"/>
              </w:rPr>
              <w:t>饼</w:t>
            </w:r>
            <w:r>
              <w:rPr>
                <w:rFonts w:ascii="宋体" w:hAnsi="宋体"/>
                <w:sz w:val="18"/>
                <w:szCs w:val="18"/>
              </w:rPr>
              <w:t>10</w:t>
            </w:r>
            <w:r>
              <w:rPr>
                <w:sz w:val="18"/>
                <w:szCs w:val="18"/>
              </w:rPr>
              <w:t>%</w:t>
            </w:r>
            <w:r>
              <w:rPr>
                <w:rFonts w:hint="eastAsia" w:ascii="宋体" w:hAnsi="宋体"/>
                <w:sz w:val="18"/>
                <w:szCs w:val="18"/>
              </w:rPr>
              <w:t>、米糠</w:t>
            </w:r>
            <w:r>
              <w:rPr>
                <w:sz w:val="18"/>
                <w:szCs w:val="18"/>
              </w:rPr>
              <w:t>13%</w:t>
            </w:r>
            <w:r>
              <w:rPr>
                <w:rFonts w:hint="eastAsia" w:ascii="宋体" w:hAnsi="宋体"/>
                <w:sz w:val="18"/>
                <w:szCs w:val="18"/>
              </w:rPr>
              <w:t>、小苏打</w:t>
            </w:r>
            <w:r>
              <w:rPr>
                <w:sz w:val="18"/>
                <w:szCs w:val="18"/>
              </w:rPr>
              <w:t>2%</w:t>
            </w:r>
            <w:r>
              <w:rPr>
                <w:rFonts w:hint="eastAsia" w:ascii="宋体" w:hAnsi="宋体"/>
                <w:sz w:val="18"/>
                <w:szCs w:val="18"/>
              </w:rPr>
              <w:t>、</w:t>
            </w:r>
            <w:r>
              <w:rPr>
                <w:rFonts w:hint="eastAsia" w:ascii="宋体" w:hAnsi="宋体" w:cs="宋体"/>
                <w:sz w:val="18"/>
                <w:szCs w:val="18"/>
              </w:rPr>
              <w:t>预混料</w:t>
            </w:r>
            <w:r>
              <w:rPr>
                <w:rFonts w:ascii="宋体" w:hAnsi="宋体" w:cs="宋体"/>
                <w:sz w:val="18"/>
                <w:szCs w:val="18"/>
              </w:rPr>
              <w:t>4%</w:t>
            </w:r>
          </w:p>
        </w:tc>
        <w:tc>
          <w:tcPr>
            <w:tcW w:w="2699" w:type="dxa"/>
            <w:tcBorders>
              <w:left w:val="nil"/>
            </w:tcBorders>
            <w:noWrap w:val="0"/>
            <w:vAlign w:val="center"/>
          </w:tcPr>
          <w:p>
            <w:pPr>
              <w:spacing w:line="360" w:lineRule="exact"/>
              <w:jc w:val="center"/>
              <w:rPr>
                <w:rFonts w:ascii="宋体"/>
                <w:sz w:val="18"/>
                <w:szCs w:val="18"/>
              </w:rPr>
            </w:pPr>
            <w:r>
              <w:rPr>
                <w:rFonts w:hint="eastAsia" w:ascii="宋体" w:hAnsi="宋体"/>
                <w:sz w:val="18"/>
                <w:szCs w:val="18"/>
              </w:rPr>
              <w:t>精料</w:t>
            </w:r>
            <w:r>
              <w:rPr>
                <w:sz w:val="18"/>
                <w:szCs w:val="18"/>
              </w:rPr>
              <w:t>1.5</w:t>
            </w:r>
            <w:r>
              <w:rPr>
                <w:rFonts w:hint="eastAsia" w:ascii="宋体" w:hAnsi="宋体"/>
                <w:sz w:val="18"/>
                <w:szCs w:val="18"/>
              </w:rPr>
              <w:t>～</w:t>
            </w:r>
            <w:r>
              <w:rPr>
                <w:sz w:val="18"/>
                <w:szCs w:val="18"/>
              </w:rPr>
              <w:t>2.5kg+</w:t>
            </w:r>
            <w:r>
              <w:rPr>
                <w:rFonts w:hint="eastAsia" w:ascii="宋体" w:hAnsi="宋体"/>
                <w:sz w:val="18"/>
                <w:szCs w:val="18"/>
              </w:rPr>
              <w:t>草料</w:t>
            </w:r>
            <w:r>
              <w:rPr>
                <w:sz w:val="18"/>
                <w:szCs w:val="18"/>
              </w:rPr>
              <w:t>20</w:t>
            </w:r>
            <w:r>
              <w:rPr>
                <w:rFonts w:hint="eastAsia" w:ascii="宋体" w:hAnsi="宋体"/>
                <w:sz w:val="18"/>
                <w:szCs w:val="18"/>
              </w:rPr>
              <w:t>～</w:t>
            </w:r>
            <w:r>
              <w:rPr>
                <w:sz w:val="18"/>
                <w:szCs w:val="18"/>
              </w:rPr>
              <w:t>30kg</w:t>
            </w:r>
          </w:p>
        </w:tc>
      </w:tr>
    </w:tbl>
    <w:p>
      <w:pPr>
        <w:snapToGrid w:val="0"/>
        <w:spacing w:line="312" w:lineRule="auto"/>
        <w:rPr>
          <w:rFonts w:hint="eastAsia" w:ascii="宋体" w:hAnsi="宋体" w:cs="宋体"/>
          <w:color w:val="4F81BD"/>
          <w:kern w:val="0"/>
          <w:szCs w:val="20"/>
        </w:rPr>
      </w:pPr>
      <w:r>
        <w:rPr>
          <w:rFonts w:hint="eastAsia" w:ascii="宋体" w:hAnsi="宋体" w:cs="宋体"/>
          <w:spacing w:val="8"/>
          <w:sz w:val="28"/>
          <w:szCs w:val="28"/>
        </w:rPr>
        <w:t xml:space="preserve">  </w:t>
      </w:r>
      <w:r>
        <w:rPr>
          <w:rFonts w:hint="eastAsia" w:ascii="宋体" w:hAnsi="宋体" w:cs="宋体"/>
          <w:color w:val="4F81BD"/>
          <w:spacing w:val="8"/>
          <w:sz w:val="28"/>
          <w:szCs w:val="28"/>
        </w:rPr>
        <w:t>说明：</w:t>
      </w:r>
      <w:r>
        <w:rPr>
          <w:rFonts w:hint="eastAsia" w:ascii="宋体" w:hAnsi="宋体" w:cs="宋体"/>
          <w:color w:val="4F81BD"/>
          <w:kern w:val="0"/>
          <w:szCs w:val="20"/>
        </w:rPr>
        <w:t>查阅相关资料、现场实地调研、起草组团队成员集体研究、养殖场现场复核、与相关专业人员座谈、专家论证评审等方式确定。</w:t>
      </w:r>
      <w:r>
        <w:rPr>
          <w:rFonts w:hint="eastAsia" w:ascii="宋体" w:hAnsi="宋体" w:cs="宋体"/>
          <w:color w:val="4F81BD"/>
          <w:spacing w:val="8"/>
          <w:sz w:val="28"/>
          <w:szCs w:val="28"/>
        </w:rPr>
        <w:t xml:space="preserve">                                               </w:t>
      </w:r>
    </w:p>
    <w:p>
      <w:pPr>
        <w:pStyle w:val="24"/>
        <w:numPr>
          <w:ilvl w:val="0"/>
          <w:numId w:val="0"/>
        </w:numPr>
        <w:spacing w:line="360" w:lineRule="exact"/>
      </w:pPr>
      <w:r>
        <w:t xml:space="preserve">8 </w:t>
      </w:r>
      <w:r>
        <w:rPr>
          <w:rFonts w:hint="eastAsia"/>
        </w:rPr>
        <w:t>饲养管理</w:t>
      </w:r>
    </w:p>
    <w:p>
      <w:pPr>
        <w:pStyle w:val="20"/>
        <w:spacing w:line="360" w:lineRule="exact"/>
        <w:ind w:firstLine="0" w:firstLineChars="0"/>
        <w:rPr>
          <w:rFonts w:ascii="黑体" w:hAnsi="黑体" w:eastAsia="黑体" w:cs="黑体"/>
        </w:rPr>
      </w:pPr>
      <w:r>
        <w:rPr>
          <w:rFonts w:ascii="黑体" w:hAnsi="黑体" w:eastAsia="黑体" w:cs="黑体"/>
        </w:rPr>
        <w:t xml:space="preserve">8.1 </w:t>
      </w:r>
      <w:r>
        <w:rPr>
          <w:rFonts w:hint="eastAsia" w:ascii="黑体" w:hAnsi="黑体" w:eastAsia="黑体" w:cs="黑体"/>
        </w:rPr>
        <w:t>饲养方式</w:t>
      </w:r>
    </w:p>
    <w:p>
      <w:pPr>
        <w:pStyle w:val="20"/>
        <w:spacing w:line="360" w:lineRule="exact"/>
        <w:ind w:firstLine="0" w:firstLineChars="0"/>
      </w:pPr>
      <w:r>
        <w:rPr>
          <w:rFonts w:ascii="黑体" w:hAnsi="黑体" w:eastAsia="黑体" w:cs="黑体"/>
        </w:rPr>
        <w:t xml:space="preserve">8.1.1 </w:t>
      </w:r>
      <w:r>
        <w:rPr>
          <w:rFonts w:hint="eastAsia" w:ascii="黑体" w:hAnsi="黑体" w:eastAsia="黑体" w:cs="黑体"/>
        </w:rPr>
        <w:t>犊牛</w:t>
      </w:r>
    </w:p>
    <w:p>
      <w:pPr>
        <w:pStyle w:val="20"/>
        <w:spacing w:line="360" w:lineRule="exact"/>
        <w:ind w:firstLine="420"/>
        <w:rPr>
          <w:rFonts w:hAnsi="宋体" w:cs="宋体"/>
        </w:rPr>
      </w:pPr>
      <w:r>
        <w:rPr>
          <w:rFonts w:hint="eastAsia" w:hAnsi="宋体" w:cs="宋体"/>
        </w:rPr>
        <w:t>采用舍饲方式。</w:t>
      </w:r>
    </w:p>
    <w:p>
      <w:pPr>
        <w:pStyle w:val="20"/>
        <w:spacing w:line="360" w:lineRule="exact"/>
        <w:ind w:firstLine="0" w:firstLineChars="0"/>
        <w:rPr>
          <w:rFonts w:ascii="黑体" w:hAnsi="黑体" w:eastAsia="黑体" w:cs="黑体"/>
        </w:rPr>
      </w:pPr>
      <w:r>
        <w:rPr>
          <w:rFonts w:ascii="黑体" w:hAnsi="黑体" w:eastAsia="黑体" w:cs="黑体"/>
        </w:rPr>
        <w:t xml:space="preserve">8.1.2 </w:t>
      </w:r>
      <w:r>
        <w:rPr>
          <w:rFonts w:hint="eastAsia" w:ascii="黑体" w:hAnsi="黑体" w:eastAsia="黑体" w:cs="黑体"/>
        </w:rPr>
        <w:t>空怀母牛</w:t>
      </w:r>
    </w:p>
    <w:p>
      <w:pPr>
        <w:pStyle w:val="20"/>
        <w:spacing w:line="360" w:lineRule="exact"/>
        <w:ind w:firstLine="420"/>
      </w:pPr>
      <w:r>
        <w:rPr>
          <w:rFonts w:hint="eastAsia"/>
          <w:lang w:eastAsia="zh-CN"/>
        </w:rPr>
        <w:t>半</w:t>
      </w:r>
      <w:r>
        <w:rPr>
          <w:rFonts w:hint="eastAsia"/>
        </w:rPr>
        <w:t>舍饲</w:t>
      </w:r>
      <w:r>
        <w:rPr>
          <w:rFonts w:hint="eastAsia"/>
          <w:lang w:eastAsia="zh-CN"/>
        </w:rPr>
        <w:t>饲养</w:t>
      </w:r>
      <w:r>
        <w:rPr>
          <w:rFonts w:hint="eastAsia"/>
        </w:rPr>
        <w:t>，每天饲喂精料</w:t>
      </w:r>
      <w:r>
        <w:rPr>
          <w:rFonts w:hint="eastAsia"/>
          <w:lang w:val="en-US" w:eastAsia="zh-CN"/>
        </w:rPr>
        <w:t>2</w:t>
      </w:r>
      <w:r>
        <w:t>kg</w:t>
      </w:r>
      <w:r>
        <w:rPr>
          <w:rFonts w:hint="eastAsia"/>
        </w:rPr>
        <w:t>，草料</w:t>
      </w:r>
      <w:r>
        <w:rPr>
          <w:rFonts w:hint="eastAsia"/>
          <w:lang w:val="en-US" w:eastAsia="zh-CN"/>
        </w:rPr>
        <w:t>1</w:t>
      </w:r>
      <w:r>
        <w:t>0kg</w:t>
      </w:r>
      <w:r>
        <w:rPr>
          <w:rFonts w:hint="eastAsia"/>
        </w:rPr>
        <w:t>。</w:t>
      </w:r>
    </w:p>
    <w:p>
      <w:pPr>
        <w:pStyle w:val="20"/>
        <w:spacing w:line="360" w:lineRule="exact"/>
        <w:ind w:firstLine="0" w:firstLineChars="0"/>
        <w:rPr>
          <w:rFonts w:ascii="黑体" w:hAnsi="黑体" w:eastAsia="黑体" w:cs="黑体"/>
        </w:rPr>
      </w:pPr>
      <w:r>
        <w:rPr>
          <w:rFonts w:ascii="黑体" w:hAnsi="黑体" w:eastAsia="黑体" w:cs="黑体"/>
        </w:rPr>
        <w:t xml:space="preserve">8.1.3 </w:t>
      </w:r>
      <w:r>
        <w:rPr>
          <w:rFonts w:hint="eastAsia" w:ascii="黑体" w:hAnsi="黑体" w:eastAsia="黑体" w:cs="黑体"/>
        </w:rPr>
        <w:t>妊娠母牛</w:t>
      </w:r>
    </w:p>
    <w:p>
      <w:pPr>
        <w:pStyle w:val="20"/>
        <w:spacing w:line="360" w:lineRule="exact"/>
        <w:ind w:firstLine="420"/>
      </w:pPr>
      <w:r>
        <w:rPr>
          <w:rFonts w:hint="eastAsia"/>
        </w:rPr>
        <w:t>全天舍饲，每天饲喂两次，时间分别为早</w:t>
      </w:r>
      <w:r>
        <w:t>6</w:t>
      </w:r>
      <w:r>
        <w:rPr>
          <w:rFonts w:hint="eastAsia"/>
        </w:rPr>
        <w:t>点和晚</w:t>
      </w:r>
      <w:r>
        <w:t>6</w:t>
      </w:r>
      <w:r>
        <w:rPr>
          <w:rFonts w:hint="eastAsia"/>
        </w:rPr>
        <w:t>点。妊娠后期加强饲养管理，提高日粮营养水平，精料水平比怀孕初期提高</w:t>
      </w:r>
      <w:r>
        <w:t>20%</w:t>
      </w:r>
      <w:r>
        <w:rPr>
          <w:rFonts w:ascii="Times New Roman"/>
        </w:rPr>
        <w:t>~</w:t>
      </w:r>
      <w:r>
        <w:t>30%</w:t>
      </w:r>
      <w:r>
        <w:rPr>
          <w:rFonts w:hint="eastAsia"/>
        </w:rPr>
        <w:t>。临产前</w:t>
      </w:r>
      <w:r>
        <w:t>7d</w:t>
      </w:r>
      <w:r>
        <w:rPr>
          <w:rFonts w:hint="eastAsia"/>
        </w:rPr>
        <w:t>转入产犊舍单独饲养，精心护理，做好接产准备。</w:t>
      </w:r>
    </w:p>
    <w:p>
      <w:pPr>
        <w:pStyle w:val="20"/>
        <w:spacing w:line="360" w:lineRule="exact"/>
        <w:ind w:firstLine="0" w:firstLineChars="0"/>
        <w:rPr>
          <w:rFonts w:ascii="黑体" w:hAnsi="黑体" w:eastAsia="黑体" w:cs="黑体"/>
        </w:rPr>
      </w:pPr>
      <w:r>
        <w:rPr>
          <w:rFonts w:ascii="黑体" w:hAnsi="黑体" w:eastAsia="黑体" w:cs="黑体"/>
        </w:rPr>
        <w:t xml:space="preserve">8.1.4 </w:t>
      </w:r>
      <w:r>
        <w:rPr>
          <w:rFonts w:hint="eastAsia" w:ascii="黑体" w:hAnsi="黑体" w:eastAsia="黑体" w:cs="黑体"/>
        </w:rPr>
        <w:t>哺乳母牛</w:t>
      </w:r>
    </w:p>
    <w:p>
      <w:pPr>
        <w:pStyle w:val="20"/>
        <w:spacing w:line="360" w:lineRule="exact"/>
        <w:ind w:firstLine="420"/>
      </w:pPr>
      <w:r>
        <w:rPr>
          <w:rFonts w:hint="eastAsia"/>
        </w:rPr>
        <w:t>全天舍饲，体弱母牛产后</w:t>
      </w:r>
      <w:r>
        <w:t>3d</w:t>
      </w:r>
      <w:r>
        <w:rPr>
          <w:rFonts w:hint="eastAsia"/>
        </w:rPr>
        <w:t>内只喂优质干草，</w:t>
      </w:r>
      <w:r>
        <w:t>4d</w:t>
      </w:r>
      <w:r>
        <w:rPr>
          <w:rFonts w:hint="eastAsia"/>
        </w:rPr>
        <w:t>后可喂给适量的精饲料和多汁饲料，并根据乳房及消化系统的恢复状况，精料逐渐增加至正常量；若母牛产后乳房正常，体质健康、粪便正常，在产犊后的第一天就可饲喂多汁料和精料，到</w:t>
      </w:r>
      <w:r>
        <w:t>6</w:t>
      </w:r>
      <w:r>
        <w:rPr>
          <w:rFonts w:ascii="Times New Roman"/>
        </w:rPr>
        <w:t>~</w:t>
      </w:r>
      <w:r>
        <w:t>7d</w:t>
      </w:r>
      <w:r>
        <w:rPr>
          <w:rFonts w:hint="eastAsia"/>
        </w:rPr>
        <w:t>即可增至正常喂量。放牧前，要用粗饲料、半干贮及青贮饲料预饲一定时间，夏季为</w:t>
      </w:r>
      <w:r>
        <w:t>7d</w:t>
      </w:r>
      <w:r>
        <w:rPr>
          <w:rFonts w:ascii="Times New Roman"/>
        </w:rPr>
        <w:t>~</w:t>
      </w:r>
      <w:r>
        <w:t>8d</w:t>
      </w:r>
      <w:r>
        <w:rPr>
          <w:rFonts w:hint="eastAsia"/>
        </w:rPr>
        <w:t>，冬季为</w:t>
      </w:r>
      <w:r>
        <w:t>10d</w:t>
      </w:r>
      <w:r>
        <w:rPr>
          <w:rFonts w:ascii="Times New Roman"/>
        </w:rPr>
        <w:t>~</w:t>
      </w:r>
      <w:r>
        <w:t>14d</w:t>
      </w:r>
      <w:r>
        <w:rPr>
          <w:rFonts w:hint="eastAsia"/>
        </w:rPr>
        <w:t>，由开始的每天</w:t>
      </w:r>
      <w:r>
        <w:t>2</w:t>
      </w:r>
      <w:r>
        <w:rPr>
          <w:rFonts w:ascii="Times New Roman"/>
        </w:rPr>
        <w:t>~</w:t>
      </w:r>
      <w:r>
        <w:t>3h</w:t>
      </w:r>
      <w:r>
        <w:rPr>
          <w:rFonts w:hint="eastAsia"/>
        </w:rPr>
        <w:t>逐渐增加正常时长。</w:t>
      </w:r>
    </w:p>
    <w:p>
      <w:pPr>
        <w:pStyle w:val="20"/>
        <w:spacing w:line="360" w:lineRule="exact"/>
        <w:ind w:firstLine="0" w:firstLineChars="0"/>
        <w:rPr>
          <w:rFonts w:ascii="黑体" w:hAnsi="黑体" w:eastAsia="黑体" w:cs="黑体"/>
        </w:rPr>
      </w:pPr>
      <w:r>
        <w:rPr>
          <w:rFonts w:ascii="黑体" w:hAnsi="黑体" w:eastAsia="黑体" w:cs="黑体"/>
        </w:rPr>
        <w:t xml:space="preserve">8.1.5 </w:t>
      </w:r>
      <w:r>
        <w:rPr>
          <w:rFonts w:hint="eastAsia" w:ascii="黑体" w:hAnsi="黑体" w:eastAsia="黑体" w:cs="黑体"/>
        </w:rPr>
        <w:t>架子牛</w:t>
      </w:r>
    </w:p>
    <w:p>
      <w:pPr>
        <w:pStyle w:val="20"/>
        <w:spacing w:line="360" w:lineRule="exact"/>
        <w:ind w:firstLine="0" w:firstLineChars="0"/>
        <w:rPr>
          <w:rFonts w:hAnsi="宋体" w:cs="宋体"/>
        </w:rPr>
      </w:pPr>
      <w:r>
        <w:t xml:space="preserve">   </w:t>
      </w:r>
      <w:r>
        <w:rPr>
          <w:rFonts w:hint="eastAsia" w:hAnsi="宋体" w:cs="宋体"/>
        </w:rPr>
        <w:t>每天放牧后，按体重</w:t>
      </w:r>
      <w:r>
        <w:rPr>
          <w:rFonts w:hAnsi="宋体" w:cs="宋体"/>
        </w:rPr>
        <w:t>0.4%</w:t>
      </w:r>
      <w:r>
        <w:rPr>
          <w:rFonts w:hint="eastAsia" w:hAnsi="宋体" w:cs="宋体"/>
        </w:rPr>
        <w:t>补饲精料，草料</w:t>
      </w:r>
      <w:r>
        <w:rPr>
          <w:rFonts w:hAnsi="宋体" w:cs="宋体"/>
        </w:rPr>
        <w:t>10kg</w:t>
      </w:r>
      <w:r>
        <w:rPr>
          <w:rFonts w:hint="eastAsia" w:hAnsi="宋体" w:cs="宋体"/>
        </w:rPr>
        <w:t>。牧场草充足时可不补料。</w:t>
      </w:r>
    </w:p>
    <w:p>
      <w:pPr>
        <w:pStyle w:val="20"/>
        <w:spacing w:line="360" w:lineRule="exact"/>
        <w:ind w:firstLine="0" w:firstLineChars="0"/>
        <w:rPr>
          <w:rFonts w:ascii="黑体" w:hAnsi="黑体" w:eastAsia="黑体" w:cs="黑体"/>
        </w:rPr>
      </w:pPr>
      <w:r>
        <w:rPr>
          <w:rFonts w:ascii="黑体" w:hAnsi="黑体" w:eastAsia="黑体" w:cs="黑体"/>
        </w:rPr>
        <w:t xml:space="preserve">8.1.6 </w:t>
      </w:r>
      <w:r>
        <w:rPr>
          <w:rFonts w:hint="eastAsia" w:ascii="黑体" w:hAnsi="黑体" w:eastAsia="黑体" w:cs="黑体"/>
        </w:rPr>
        <w:t>育肥牛</w:t>
      </w:r>
    </w:p>
    <w:p>
      <w:pPr>
        <w:pStyle w:val="20"/>
        <w:spacing w:line="360" w:lineRule="exact"/>
        <w:ind w:firstLine="420"/>
        <w:rPr>
          <w:rFonts w:hAnsi="宋体" w:cs="宋体"/>
        </w:rPr>
      </w:pPr>
      <w:r>
        <w:rPr>
          <w:rFonts w:hint="eastAsia" w:hAnsi="宋体" w:cs="宋体"/>
        </w:rPr>
        <w:t>全天舍饲，每天每头精料的饲喂量为体重</w:t>
      </w:r>
      <w:r>
        <w:rPr>
          <w:rFonts w:hAnsi="宋体" w:cs="宋体"/>
        </w:rPr>
        <w:t>0.8%</w:t>
      </w:r>
      <w:r>
        <w:rPr>
          <w:rFonts w:hint="eastAsia" w:hAnsi="宋体" w:cs="宋体"/>
        </w:rPr>
        <w:t>，分两次给料，分别为早</w:t>
      </w:r>
      <w:r>
        <w:rPr>
          <w:rFonts w:hAnsi="宋体" w:cs="宋体"/>
        </w:rPr>
        <w:t>6</w:t>
      </w:r>
      <w:r>
        <w:rPr>
          <w:rFonts w:hint="eastAsia" w:hAnsi="宋体" w:cs="宋体"/>
        </w:rPr>
        <w:t>点和</w:t>
      </w:r>
      <w:r>
        <w:rPr>
          <w:rFonts w:hAnsi="宋体" w:cs="宋体"/>
        </w:rPr>
        <w:t>8</w:t>
      </w:r>
      <w:r>
        <w:rPr>
          <w:rFonts w:hint="eastAsia" w:hAnsi="宋体" w:cs="宋体"/>
        </w:rPr>
        <w:t>点，草料自由采食。</w:t>
      </w:r>
    </w:p>
    <w:p>
      <w:pPr>
        <w:pStyle w:val="20"/>
        <w:spacing w:line="360" w:lineRule="exact"/>
        <w:ind w:firstLine="0" w:firstLineChars="0"/>
        <w:rPr>
          <w:rFonts w:ascii="黑体" w:hAnsi="黑体" w:eastAsia="黑体" w:cs="黑体"/>
        </w:rPr>
      </w:pPr>
      <w:r>
        <w:rPr>
          <w:rFonts w:ascii="黑体" w:hAnsi="黑体" w:eastAsia="黑体" w:cs="黑体"/>
        </w:rPr>
        <w:t xml:space="preserve">8.1.7 </w:t>
      </w:r>
      <w:r>
        <w:rPr>
          <w:rFonts w:hint="eastAsia" w:ascii="黑体" w:hAnsi="黑体" w:eastAsia="黑体" w:cs="黑体"/>
        </w:rPr>
        <w:t>种公牛</w:t>
      </w:r>
    </w:p>
    <w:p>
      <w:pPr>
        <w:pStyle w:val="20"/>
        <w:spacing w:line="360" w:lineRule="exact"/>
        <w:ind w:firstLine="420"/>
      </w:pPr>
      <w:r>
        <w:rPr>
          <w:rFonts w:hint="eastAsia" w:hAnsi="宋体" w:cs="宋体"/>
        </w:rPr>
        <w:t>每天保持</w:t>
      </w:r>
      <w:r>
        <w:rPr>
          <w:rFonts w:hAnsi="宋体" w:cs="宋体"/>
        </w:rPr>
        <w:t>4h</w:t>
      </w:r>
      <w:r>
        <w:rPr>
          <w:rFonts w:hint="eastAsia" w:hAnsi="宋体" w:cs="宋体"/>
        </w:rPr>
        <w:t>以上的活动量，分两次活动，上午、下午各</w:t>
      </w:r>
      <w:r>
        <w:rPr>
          <w:rFonts w:hAnsi="宋体" w:cs="宋体"/>
        </w:rPr>
        <w:t>1</w:t>
      </w:r>
      <w:r>
        <w:rPr>
          <w:rFonts w:hint="eastAsia" w:hAnsi="宋体" w:cs="宋体"/>
        </w:rPr>
        <w:t>次。配种旺季补充适量鸡蛋等动物蛋白质（禁用动物源饲料）、维生素和无机盐，饲料多样化，营养全面。适口性好；非配种期按肉牛日粮配方表进行定量给精料，草料自由采用。</w:t>
      </w:r>
    </w:p>
    <w:p>
      <w:pPr>
        <w:pStyle w:val="20"/>
        <w:spacing w:line="360" w:lineRule="exact"/>
        <w:ind w:firstLine="0" w:firstLineChars="0"/>
        <w:rPr>
          <w:rFonts w:ascii="黑体" w:hAnsi="黑体" w:eastAsia="黑体" w:cs="黑体"/>
        </w:rPr>
      </w:pPr>
      <w:r>
        <w:rPr>
          <w:rFonts w:ascii="黑体" w:hAnsi="黑体" w:eastAsia="黑体" w:cs="黑体"/>
        </w:rPr>
        <w:t xml:space="preserve">8.2 </w:t>
      </w:r>
      <w:r>
        <w:rPr>
          <w:rFonts w:hint="eastAsia" w:ascii="黑体" w:hAnsi="黑体" w:eastAsia="黑体" w:cs="黑体"/>
        </w:rPr>
        <w:t>饮水</w:t>
      </w:r>
    </w:p>
    <w:p>
      <w:pPr>
        <w:pStyle w:val="20"/>
        <w:spacing w:line="360" w:lineRule="exact"/>
        <w:ind w:firstLine="420"/>
        <w:rPr>
          <w:rFonts w:hAnsi="宋体" w:cs="宋体"/>
        </w:rPr>
      </w:pPr>
      <w:r>
        <w:rPr>
          <w:rFonts w:hint="eastAsia" w:hAnsi="宋体" w:cs="宋体"/>
        </w:rPr>
        <w:t>舍内饮水采用碗式自动饮水器，户外采用饮水槽。饮水水质应符合</w:t>
      </w:r>
      <w:r>
        <w:rPr>
          <w:rFonts w:hAnsi="宋体" w:cs="宋体"/>
        </w:rPr>
        <w:t>NY 5027</w:t>
      </w:r>
      <w:r>
        <w:rPr>
          <w:rFonts w:hint="eastAsia" w:hAnsi="宋体" w:cs="宋体"/>
        </w:rPr>
        <w:t>的规定，定期清洗消毒饮水设备，不喂冰冻水。</w:t>
      </w:r>
    </w:p>
    <w:p>
      <w:pPr>
        <w:pStyle w:val="20"/>
        <w:spacing w:line="360" w:lineRule="exact"/>
        <w:ind w:firstLine="0" w:firstLineChars="0"/>
        <w:rPr>
          <w:rFonts w:ascii="黑体" w:hAnsi="黑体" w:eastAsia="黑体" w:cs="黑体"/>
        </w:rPr>
      </w:pPr>
      <w:r>
        <w:rPr>
          <w:rFonts w:ascii="黑体" w:hAnsi="黑体" w:eastAsia="黑体" w:cs="黑体"/>
        </w:rPr>
        <w:t xml:space="preserve">8.3 </w:t>
      </w:r>
      <w:r>
        <w:rPr>
          <w:rFonts w:hint="eastAsia" w:ascii="黑体" w:hAnsi="黑体" w:eastAsia="黑体" w:cs="黑体"/>
        </w:rPr>
        <w:t>放牧</w:t>
      </w:r>
    </w:p>
    <w:p>
      <w:pPr>
        <w:pStyle w:val="20"/>
        <w:spacing w:line="360" w:lineRule="exact"/>
        <w:ind w:firstLine="420"/>
      </w:pPr>
      <w:r>
        <w:rPr>
          <w:rFonts w:hint="eastAsia" w:hAnsi="宋体" w:cs="宋体"/>
        </w:rPr>
        <w:t>冬季和春初放牧应晚出早归，遇雨雪寒冷等不良天气时停止放牧；春季放牧前应补饲精料和一定量的干草，防止牛只采食水份含量高的青草导致腹泻；夏季宜早晚放牧，以防中暑，遇大露水天早上放牧时间应推迟；秋季放牧应早出晚归。</w:t>
      </w:r>
    </w:p>
    <w:p>
      <w:pPr>
        <w:pStyle w:val="20"/>
        <w:spacing w:line="360" w:lineRule="exact"/>
        <w:ind w:firstLine="0" w:firstLineChars="0"/>
        <w:rPr>
          <w:rFonts w:ascii="黑体" w:hAnsi="黑体" w:eastAsia="黑体" w:cs="黑体"/>
        </w:rPr>
      </w:pPr>
      <w:r>
        <w:rPr>
          <w:rFonts w:ascii="黑体" w:hAnsi="黑体" w:eastAsia="黑体" w:cs="黑体"/>
        </w:rPr>
        <w:t xml:space="preserve">8.4 </w:t>
      </w:r>
      <w:r>
        <w:rPr>
          <w:rFonts w:hint="eastAsia" w:ascii="黑体" w:hAnsi="黑体" w:eastAsia="黑体" w:cs="黑体"/>
        </w:rPr>
        <w:t>出栏</w:t>
      </w:r>
    </w:p>
    <w:p>
      <w:pPr>
        <w:pStyle w:val="20"/>
        <w:spacing w:line="360" w:lineRule="exact"/>
        <w:ind w:firstLine="420"/>
        <w:rPr>
          <w:rFonts w:hAnsi="宋体" w:cs="宋体"/>
        </w:rPr>
      </w:pPr>
      <w:r>
        <w:rPr>
          <w:rFonts w:hint="eastAsia" w:hAnsi="宋体" w:cs="宋体"/>
        </w:rPr>
        <w:t>肉牛月龄达</w:t>
      </w:r>
      <w:r>
        <w:rPr>
          <w:rFonts w:hAnsi="宋体" w:cs="宋体"/>
        </w:rPr>
        <w:t>25</w:t>
      </w:r>
      <w:r>
        <w:rPr>
          <w:rFonts w:hint="eastAsia" w:hAnsi="宋体" w:cs="宋体"/>
        </w:rPr>
        <w:t>个月以上，或体重达</w:t>
      </w:r>
      <w:r>
        <w:rPr>
          <w:rFonts w:hAnsi="宋体" w:cs="宋体"/>
        </w:rPr>
        <w:t>500kg</w:t>
      </w:r>
      <w:r>
        <w:rPr>
          <w:rFonts w:hint="eastAsia" w:hAnsi="宋体" w:cs="宋体"/>
        </w:rPr>
        <w:t>以上可出栏。</w:t>
      </w:r>
    </w:p>
    <w:p>
      <w:pPr>
        <w:pStyle w:val="21"/>
        <w:spacing w:line="400" w:lineRule="exact"/>
        <w:ind w:firstLine="560" w:firstLineChars="200"/>
        <w:jc w:val="both"/>
        <w:rPr>
          <w:rFonts w:ascii="宋体" w:hAnsi="宋体" w:eastAsia="宋体" w:cs="宋体"/>
          <w:color w:val="4F81BD"/>
          <w:sz w:val="28"/>
          <w:szCs w:val="28"/>
        </w:rPr>
      </w:pPr>
      <w:r>
        <w:rPr>
          <w:rFonts w:hint="eastAsia" w:ascii="宋体" w:hAnsi="宋体" w:eastAsia="宋体" w:cs="宋体"/>
          <w:color w:val="4F81BD"/>
          <w:sz w:val="28"/>
          <w:szCs w:val="28"/>
        </w:rPr>
        <w:t>说明：查阅相关资料、现场实地调研、起草组团队成员集体研究、养殖场现场复核、与相关专业人员座谈、专家论证评审等方式确定。</w:t>
      </w:r>
    </w:p>
    <w:p>
      <w:pPr>
        <w:pStyle w:val="20"/>
        <w:spacing w:line="360" w:lineRule="exact"/>
        <w:ind w:firstLine="0" w:firstLineChars="0"/>
        <w:rPr>
          <w:rFonts w:ascii="黑体" w:hAnsi="黑体" w:eastAsia="黑体" w:cs="黑体"/>
        </w:rPr>
      </w:pPr>
      <w:r>
        <w:rPr>
          <w:rFonts w:ascii="黑体" w:hAnsi="黑体" w:eastAsia="黑体" w:cs="黑体"/>
        </w:rPr>
        <w:t xml:space="preserve">9 </w:t>
      </w:r>
      <w:r>
        <w:rPr>
          <w:rFonts w:hint="eastAsia" w:ascii="黑体" w:hAnsi="黑体" w:eastAsia="黑体" w:cs="黑体"/>
        </w:rPr>
        <w:t>疫病防控</w:t>
      </w:r>
    </w:p>
    <w:p>
      <w:pPr>
        <w:pStyle w:val="20"/>
        <w:spacing w:line="360" w:lineRule="exact"/>
        <w:ind w:firstLine="0" w:firstLineChars="0"/>
        <w:rPr>
          <w:rFonts w:ascii="黑体" w:hAnsi="黑体" w:eastAsia="黑体" w:cs="黑体"/>
        </w:rPr>
      </w:pPr>
    </w:p>
    <w:p>
      <w:pPr>
        <w:pStyle w:val="20"/>
        <w:spacing w:line="360" w:lineRule="exact"/>
        <w:ind w:firstLine="0" w:firstLineChars="0"/>
        <w:rPr>
          <w:rFonts w:ascii="黑体" w:hAnsi="黑体" w:eastAsia="黑体" w:cs="黑体"/>
        </w:rPr>
      </w:pPr>
      <w:r>
        <w:rPr>
          <w:rFonts w:ascii="黑体" w:hAnsi="黑体" w:eastAsia="黑体" w:cs="黑体"/>
        </w:rPr>
        <w:t xml:space="preserve">9.1 </w:t>
      </w:r>
      <w:r>
        <w:rPr>
          <w:rFonts w:hint="eastAsia" w:ascii="黑体" w:hAnsi="黑体" w:eastAsia="黑体" w:cs="黑体"/>
        </w:rPr>
        <w:t>免疫</w:t>
      </w:r>
    </w:p>
    <w:p>
      <w:pPr>
        <w:pStyle w:val="20"/>
        <w:spacing w:line="360" w:lineRule="exact"/>
        <w:ind w:firstLine="0" w:firstLineChars="0"/>
        <w:rPr>
          <w:rFonts w:hAnsi="宋体" w:cs="宋体"/>
          <w:szCs w:val="21"/>
        </w:rPr>
      </w:pPr>
      <w:r>
        <w:rPr>
          <w:rFonts w:hAnsi="宋体" w:cs="宋体"/>
          <w:szCs w:val="21"/>
        </w:rPr>
        <w:t xml:space="preserve">9.1.1 </w:t>
      </w:r>
      <w:r>
        <w:rPr>
          <w:rFonts w:hint="eastAsia" w:hAnsi="宋体" w:cs="宋体"/>
          <w:szCs w:val="21"/>
        </w:rPr>
        <w:t>应根据《中华人民共和国动物防疫法》及其配套法规的要求，不得使用过期、来源不明、非法生产、标签标示脱落和保存不当的疫苗。</w:t>
      </w:r>
    </w:p>
    <w:p>
      <w:pPr>
        <w:pStyle w:val="20"/>
        <w:spacing w:line="360" w:lineRule="exact"/>
        <w:ind w:firstLine="0" w:firstLineChars="0"/>
        <w:rPr>
          <w:rFonts w:hAnsi="宋体" w:cs="宋体"/>
          <w:szCs w:val="21"/>
        </w:rPr>
      </w:pPr>
      <w:r>
        <w:rPr>
          <w:rFonts w:hAnsi="宋体" w:cs="宋体"/>
          <w:szCs w:val="21"/>
        </w:rPr>
        <w:t xml:space="preserve">9.1.2 </w:t>
      </w:r>
      <w:r>
        <w:rPr>
          <w:rFonts w:hint="eastAsia" w:hAnsi="宋体" w:cs="宋体"/>
          <w:szCs w:val="21"/>
        </w:rPr>
        <w:t>所用疫苗应符合《中华人民共和国兽用生物制品质量标准》的规定。</w:t>
      </w:r>
    </w:p>
    <w:p>
      <w:pPr>
        <w:pStyle w:val="20"/>
        <w:tabs>
          <w:tab w:val="center" w:pos="4201"/>
          <w:tab w:val="right" w:leader="dot" w:pos="9298"/>
        </w:tabs>
        <w:spacing w:line="360" w:lineRule="exact"/>
        <w:ind w:firstLine="0" w:firstLineChars="0"/>
        <w:rPr>
          <w:b/>
          <w:bCs/>
        </w:rPr>
      </w:pPr>
      <w:r>
        <w:t xml:space="preserve">9.1.3 </w:t>
      </w:r>
      <w:r>
        <w:rPr>
          <w:rFonts w:hint="eastAsia" w:hAnsi="宋体" w:cs="宋体"/>
          <w:szCs w:val="21"/>
        </w:rPr>
        <w:t>定期开展免疫监测工作，并按</w:t>
      </w:r>
      <w:r>
        <w:rPr>
          <w:rFonts w:hint="eastAsia" w:hAnsi="宋体" w:cs="宋体"/>
          <w:szCs w:val="21"/>
          <w:lang w:eastAsia="zh-CN"/>
        </w:rPr>
        <w:t>表</w:t>
      </w:r>
      <w:r>
        <w:rPr>
          <w:rFonts w:hint="eastAsia" w:hAnsi="宋体" w:cs="宋体"/>
          <w:szCs w:val="21"/>
          <w:lang w:val="en-US" w:eastAsia="zh-CN"/>
        </w:rPr>
        <w:t>2免疫程序</w:t>
      </w:r>
      <w:r>
        <w:rPr>
          <w:rFonts w:hint="eastAsia" w:hAnsi="宋体" w:cs="宋体"/>
          <w:szCs w:val="21"/>
        </w:rPr>
        <w:t>实施</w:t>
      </w:r>
      <w:r>
        <w:rPr>
          <w:rFonts w:hint="eastAsia"/>
        </w:rPr>
        <w:t>免疫</w:t>
      </w:r>
      <w:r>
        <w:rPr>
          <w:rFonts w:hint="eastAsia" w:hAnsi="宋体" w:cs="宋体"/>
          <w:szCs w:val="21"/>
        </w:rPr>
        <w:t>。</w:t>
      </w:r>
    </w:p>
    <w:p>
      <w:pPr>
        <w:spacing w:line="360" w:lineRule="exact"/>
        <w:jc w:val="center"/>
        <w:rPr>
          <w:rFonts w:ascii="黑体" w:hAnsi="黑体" w:eastAsia="黑体" w:cs="黑体"/>
          <w:szCs w:val="21"/>
        </w:rPr>
      </w:pPr>
      <w:r>
        <w:rPr>
          <w:rFonts w:hint="eastAsia" w:ascii="黑体" w:hAnsi="黑体" w:eastAsia="黑体" w:cs="黑体"/>
          <w:szCs w:val="21"/>
        </w:rPr>
        <w:t>表</w:t>
      </w:r>
      <w:r>
        <w:rPr>
          <w:rFonts w:ascii="黑体" w:hAnsi="黑体" w:eastAsia="黑体" w:cs="黑体"/>
          <w:szCs w:val="21"/>
        </w:rPr>
        <w:t xml:space="preserve">2 </w:t>
      </w:r>
      <w:r>
        <w:rPr>
          <w:rFonts w:hint="eastAsia" w:ascii="黑体" w:hAnsi="黑体" w:eastAsia="黑体" w:cs="黑体"/>
          <w:szCs w:val="21"/>
        </w:rPr>
        <w:t>肉牛场免疫程序</w:t>
      </w:r>
    </w:p>
    <w:tbl>
      <w:tblPr>
        <w:tblStyle w:val="13"/>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2610"/>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33"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年龄</w:t>
            </w:r>
          </w:p>
        </w:tc>
        <w:tc>
          <w:tcPr>
            <w:tcW w:w="2610"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疫苗（菌苗）</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接种方法</w:t>
            </w:r>
          </w:p>
        </w:tc>
        <w:tc>
          <w:tcPr>
            <w:tcW w:w="2322" w:type="dxa"/>
            <w:noWrap w:val="0"/>
            <w:vAlign w:val="center"/>
          </w:tcPr>
          <w:p>
            <w:pPr>
              <w:spacing w:line="360" w:lineRule="exact"/>
              <w:ind w:firstLine="90" w:firstLineChars="50"/>
              <w:jc w:val="center"/>
              <w:rPr>
                <w:rFonts w:ascii="黑体" w:hAnsi="黑体" w:eastAsia="黑体" w:cs="黑体"/>
                <w:sz w:val="18"/>
                <w:szCs w:val="21"/>
              </w:rPr>
            </w:pPr>
            <w:r>
              <w:rPr>
                <w:rFonts w:hint="eastAsia" w:ascii="宋体" w:hAnsi="宋体"/>
                <w:sz w:val="18"/>
                <w:szCs w:val="18"/>
              </w:rPr>
              <w:t>备</w:t>
            </w:r>
            <w:r>
              <w:rPr>
                <w:rFonts w:ascii="宋体" w:hAnsi="宋体"/>
                <w:sz w:val="18"/>
                <w:szCs w:val="18"/>
              </w:rPr>
              <w:t xml:space="preserve"> </w:t>
            </w:r>
            <w:r>
              <w:rPr>
                <w:rFonts w:hint="eastAsia" w:ascii="宋体" w:hAnsi="宋体"/>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2033" w:type="dxa"/>
            <w:noWrap w:val="0"/>
            <w:vAlign w:val="center"/>
          </w:tcPr>
          <w:p>
            <w:pPr>
              <w:spacing w:line="360" w:lineRule="exact"/>
              <w:jc w:val="center"/>
              <w:rPr>
                <w:rFonts w:ascii="黑体" w:hAnsi="黑体" w:eastAsia="黑体" w:cs="黑体"/>
                <w:sz w:val="18"/>
                <w:szCs w:val="21"/>
                <w:highlight w:val="yellow"/>
              </w:rPr>
            </w:pPr>
            <w:r>
              <w:rPr>
                <w:rFonts w:ascii="宋体" w:hAnsi="宋体"/>
                <w:sz w:val="18"/>
                <w:szCs w:val="18"/>
              </w:rPr>
              <w:t>1</w:t>
            </w:r>
            <w:r>
              <w:rPr>
                <w:rFonts w:hint="eastAsia" w:ascii="宋体" w:hAnsi="宋体"/>
                <w:sz w:val="18"/>
                <w:szCs w:val="18"/>
              </w:rPr>
              <w:t>月龄</w:t>
            </w:r>
          </w:p>
        </w:tc>
        <w:tc>
          <w:tcPr>
            <w:tcW w:w="2610" w:type="dxa"/>
            <w:noWrap w:val="0"/>
            <w:vAlign w:val="center"/>
          </w:tcPr>
          <w:p>
            <w:pPr>
              <w:spacing w:line="360" w:lineRule="exact"/>
              <w:jc w:val="center"/>
              <w:rPr>
                <w:rFonts w:ascii="宋体"/>
                <w:sz w:val="18"/>
                <w:szCs w:val="18"/>
              </w:rPr>
            </w:pPr>
            <w:r>
              <w:rPr>
                <w:rFonts w:hint="eastAsia" w:ascii="宋体" w:hAnsi="宋体"/>
                <w:sz w:val="18"/>
                <w:szCs w:val="18"/>
              </w:rPr>
              <w:t>第Ⅱ号炭疽芽胞苗</w:t>
            </w:r>
          </w:p>
          <w:p>
            <w:pPr>
              <w:spacing w:line="360" w:lineRule="exact"/>
              <w:jc w:val="center"/>
              <w:rPr>
                <w:rFonts w:ascii="黑体" w:hAnsi="黑体" w:eastAsia="黑体" w:cs="黑体"/>
                <w:sz w:val="18"/>
                <w:szCs w:val="21"/>
              </w:rPr>
            </w:pPr>
            <w:r>
              <w:rPr>
                <w:rFonts w:hint="eastAsia" w:ascii="宋体" w:hAnsi="宋体"/>
                <w:sz w:val="18"/>
                <w:szCs w:val="18"/>
              </w:rPr>
              <w:t>（或无毒炭疽芽胞苗）</w:t>
            </w:r>
          </w:p>
        </w:tc>
        <w:tc>
          <w:tcPr>
            <w:tcW w:w="2322" w:type="dxa"/>
            <w:noWrap w:val="0"/>
            <w:vAlign w:val="center"/>
          </w:tcPr>
          <w:p>
            <w:pPr>
              <w:spacing w:line="360" w:lineRule="exact"/>
              <w:jc w:val="center"/>
              <w:rPr>
                <w:rFonts w:ascii="宋体"/>
                <w:sz w:val="18"/>
                <w:szCs w:val="18"/>
              </w:rPr>
            </w:pPr>
            <w:r>
              <w:rPr>
                <w:rFonts w:hint="eastAsia" w:ascii="宋体" w:hAnsi="宋体"/>
                <w:sz w:val="18"/>
                <w:szCs w:val="18"/>
              </w:rPr>
              <w:t>皮下注射</w:t>
            </w:r>
            <w:r>
              <w:rPr>
                <w:rFonts w:ascii="宋体" w:hAnsi="宋体"/>
                <w:sz w:val="18"/>
                <w:szCs w:val="18"/>
              </w:rPr>
              <w:t>1ml</w:t>
            </w:r>
          </w:p>
          <w:p>
            <w:pPr>
              <w:spacing w:line="360" w:lineRule="exact"/>
              <w:jc w:val="center"/>
              <w:rPr>
                <w:rFonts w:ascii="黑体" w:hAnsi="黑体" w:eastAsia="黑体" w:cs="黑体"/>
                <w:sz w:val="18"/>
                <w:szCs w:val="21"/>
              </w:rPr>
            </w:pPr>
            <w:r>
              <w:rPr>
                <w:rFonts w:hint="eastAsia" w:ascii="宋体" w:hAnsi="宋体"/>
                <w:sz w:val="18"/>
                <w:szCs w:val="18"/>
              </w:rPr>
              <w:t>（皮下注射</w:t>
            </w:r>
            <w:r>
              <w:rPr>
                <w:rFonts w:ascii="宋体" w:hAnsi="宋体"/>
                <w:sz w:val="18"/>
                <w:szCs w:val="18"/>
              </w:rPr>
              <w:t>0.5ml</w:t>
            </w:r>
            <w:r>
              <w:rPr>
                <w:rFonts w:hint="eastAsia" w:ascii="宋体" w:hAnsi="宋体"/>
                <w:sz w:val="18"/>
                <w:szCs w:val="18"/>
              </w:rPr>
              <w:t>）</w:t>
            </w:r>
          </w:p>
        </w:tc>
        <w:tc>
          <w:tcPr>
            <w:tcW w:w="2322" w:type="dxa"/>
            <w:noWrap w:val="0"/>
            <w:vAlign w:val="center"/>
          </w:tcPr>
          <w:p>
            <w:pPr>
              <w:spacing w:line="360" w:lineRule="exact"/>
              <w:jc w:val="center"/>
              <w:rPr>
                <w:rFonts w:ascii="宋体"/>
                <w:sz w:val="18"/>
                <w:szCs w:val="18"/>
              </w:rPr>
            </w:pPr>
            <w:r>
              <w:rPr>
                <w:rFonts w:hint="eastAsia" w:ascii="宋体" w:hAnsi="宋体"/>
                <w:sz w:val="18"/>
                <w:szCs w:val="18"/>
              </w:rPr>
              <w:t>免疫期</w:t>
            </w:r>
            <w:r>
              <w:rPr>
                <w:rFonts w:ascii="宋体"/>
                <w:sz w:val="18"/>
                <w:szCs w:val="18"/>
              </w:rPr>
              <w:t>1</w:t>
            </w:r>
            <w:r>
              <w:rPr>
                <w:rFonts w:hint="eastAsia" w:ascii="宋体" w:hAnsi="宋体"/>
                <w:sz w:val="18"/>
                <w:szCs w:val="18"/>
              </w:rPr>
              <w:t>年</w:t>
            </w:r>
          </w:p>
          <w:p>
            <w:pPr>
              <w:spacing w:line="360" w:lineRule="exact"/>
              <w:jc w:val="center"/>
              <w:rPr>
                <w:rFonts w:ascii="黑体" w:hAnsi="黑体" w:eastAsia="黑体" w:cs="黑体"/>
                <w:sz w:val="18"/>
                <w:szCs w:val="21"/>
              </w:rPr>
            </w:pPr>
            <w:r>
              <w:rPr>
                <w:rFonts w:hint="eastAsia" w:ascii="宋体" w:hAnsi="宋体"/>
                <w:sz w:val="18"/>
                <w:szCs w:val="18"/>
              </w:rPr>
              <w:t>免疫期</w:t>
            </w:r>
            <w:r>
              <w:rPr>
                <w:rFonts w:ascii="宋体"/>
                <w:sz w:val="18"/>
                <w:szCs w:val="18"/>
              </w:rPr>
              <w:t>1</w:t>
            </w:r>
            <w:r>
              <w:rPr>
                <w:rFonts w:hint="eastAsia" w:ascii="宋体" w:hAnsi="宋体"/>
                <w:sz w:val="18"/>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3" w:type="dxa"/>
            <w:vMerge w:val="restart"/>
            <w:noWrap w:val="0"/>
            <w:vAlign w:val="top"/>
          </w:tcPr>
          <w:p>
            <w:pPr>
              <w:spacing w:line="360" w:lineRule="exact"/>
              <w:jc w:val="center"/>
              <w:rPr>
                <w:rFonts w:ascii="宋体" w:cs="宋体"/>
                <w:sz w:val="18"/>
                <w:szCs w:val="18"/>
              </w:rPr>
            </w:pPr>
          </w:p>
          <w:p>
            <w:pPr>
              <w:spacing w:line="360" w:lineRule="exact"/>
              <w:jc w:val="center"/>
              <w:rPr>
                <w:rFonts w:ascii="黑体" w:hAnsi="黑体" w:eastAsia="黑体" w:cs="黑体"/>
                <w:sz w:val="18"/>
                <w:szCs w:val="21"/>
                <w:highlight w:val="yellow"/>
              </w:rPr>
            </w:pPr>
            <w:r>
              <w:rPr>
                <w:rFonts w:ascii="宋体" w:hAnsi="宋体" w:cs="宋体"/>
                <w:sz w:val="18"/>
                <w:szCs w:val="18"/>
              </w:rPr>
              <w:t>6</w:t>
            </w:r>
            <w:r>
              <w:rPr>
                <w:rFonts w:hint="eastAsia" w:ascii="宋体" w:hAnsi="宋体" w:cs="宋体"/>
                <w:sz w:val="18"/>
                <w:szCs w:val="18"/>
              </w:rPr>
              <w:t>月龄</w:t>
            </w:r>
          </w:p>
        </w:tc>
        <w:tc>
          <w:tcPr>
            <w:tcW w:w="2610"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牛出血性败血症氢氧化铝苗</w:t>
            </w:r>
          </w:p>
        </w:tc>
        <w:tc>
          <w:tcPr>
            <w:tcW w:w="2322"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皮下注射</w:t>
            </w:r>
            <w:r>
              <w:rPr>
                <w:rFonts w:ascii="宋体" w:hAnsi="宋体"/>
                <w:sz w:val="18"/>
                <w:szCs w:val="18"/>
              </w:rPr>
              <w:t xml:space="preserve">5ml </w:t>
            </w:r>
          </w:p>
        </w:tc>
        <w:tc>
          <w:tcPr>
            <w:tcW w:w="2322" w:type="dxa"/>
            <w:noWrap w:val="0"/>
            <w:vAlign w:val="top"/>
          </w:tcPr>
          <w:p>
            <w:pPr>
              <w:spacing w:line="360" w:lineRule="exact"/>
              <w:jc w:val="center"/>
              <w:rPr>
                <w:rFonts w:ascii="黑体" w:hAnsi="黑体" w:eastAsia="黑体" w:cs="黑体"/>
                <w:sz w:val="18"/>
                <w:szCs w:val="21"/>
              </w:rPr>
            </w:pPr>
            <w:r>
              <w:rPr>
                <w:rFonts w:ascii="宋体" w:hAnsi="宋体"/>
                <w:sz w:val="18"/>
                <w:szCs w:val="18"/>
              </w:rPr>
              <w:t xml:space="preserve"> </w:t>
            </w:r>
            <w:r>
              <w:rPr>
                <w:rFonts w:hint="eastAsia" w:ascii="宋体" w:hAnsi="宋体"/>
                <w:sz w:val="18"/>
                <w:szCs w:val="18"/>
              </w:rPr>
              <w:t>免疫期</w:t>
            </w:r>
            <w:r>
              <w:rPr>
                <w:rFonts w:ascii="宋体"/>
                <w:sz w:val="18"/>
                <w:szCs w:val="18"/>
              </w:rPr>
              <w:t>6</w:t>
            </w:r>
            <w:r>
              <w:rPr>
                <w:rFonts w:hint="eastAsia" w:ascii="宋体" w:hAnsi="宋体"/>
                <w:sz w:val="18"/>
                <w:szCs w:val="18"/>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2033" w:type="dxa"/>
            <w:vMerge w:val="continue"/>
            <w:noWrap w:val="0"/>
            <w:vAlign w:val="center"/>
          </w:tcPr>
          <w:p>
            <w:pPr>
              <w:spacing w:line="360" w:lineRule="exact"/>
              <w:jc w:val="center"/>
              <w:rPr>
                <w:rFonts w:ascii="黑体" w:hAnsi="黑体" w:eastAsia="黑体" w:cs="黑体"/>
                <w:sz w:val="18"/>
                <w:szCs w:val="21"/>
                <w:highlight w:val="yellow"/>
              </w:rPr>
            </w:pPr>
          </w:p>
        </w:tc>
        <w:tc>
          <w:tcPr>
            <w:tcW w:w="2610"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布氏杆菌</w:t>
            </w:r>
            <w:r>
              <w:rPr>
                <w:rFonts w:ascii="宋体" w:hAnsi="宋体"/>
                <w:sz w:val="18"/>
                <w:szCs w:val="18"/>
              </w:rPr>
              <w:t>19</w:t>
            </w:r>
            <w:r>
              <w:rPr>
                <w:rFonts w:hint="eastAsia" w:ascii="宋体" w:hAnsi="宋体"/>
                <w:sz w:val="18"/>
                <w:szCs w:val="18"/>
              </w:rPr>
              <w:t>号苗</w:t>
            </w:r>
          </w:p>
        </w:tc>
        <w:tc>
          <w:tcPr>
            <w:tcW w:w="2322"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皮下注射</w:t>
            </w:r>
            <w:r>
              <w:rPr>
                <w:rFonts w:ascii="宋体"/>
                <w:sz w:val="18"/>
                <w:szCs w:val="18"/>
              </w:rPr>
              <w:t>5ml</w:t>
            </w:r>
          </w:p>
        </w:tc>
        <w:tc>
          <w:tcPr>
            <w:tcW w:w="2322" w:type="dxa"/>
            <w:noWrap w:val="0"/>
            <w:vAlign w:val="top"/>
          </w:tcPr>
          <w:p>
            <w:pPr>
              <w:spacing w:line="360" w:lineRule="exact"/>
              <w:jc w:val="center"/>
              <w:rPr>
                <w:rFonts w:ascii="黑体" w:hAnsi="黑体" w:eastAsia="黑体" w:cs="黑体"/>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2033" w:type="dxa"/>
            <w:vMerge w:val="continue"/>
            <w:noWrap w:val="0"/>
            <w:vAlign w:val="center"/>
          </w:tcPr>
          <w:p>
            <w:pPr>
              <w:spacing w:line="360" w:lineRule="exact"/>
              <w:jc w:val="center"/>
              <w:rPr>
                <w:rFonts w:ascii="黑体" w:hAnsi="黑体" w:eastAsia="黑体" w:cs="黑体"/>
                <w:sz w:val="18"/>
                <w:szCs w:val="21"/>
                <w:highlight w:val="yellow"/>
              </w:rPr>
            </w:pPr>
          </w:p>
        </w:tc>
        <w:tc>
          <w:tcPr>
            <w:tcW w:w="2610"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牛传染性鼻气管炎灭活苗</w:t>
            </w:r>
          </w:p>
        </w:tc>
        <w:tc>
          <w:tcPr>
            <w:tcW w:w="2322" w:type="dxa"/>
            <w:noWrap w:val="0"/>
            <w:vAlign w:val="center"/>
          </w:tcPr>
          <w:p>
            <w:pPr>
              <w:spacing w:line="360" w:lineRule="exact"/>
              <w:jc w:val="center"/>
              <w:rPr>
                <w:rFonts w:ascii="黑体" w:hAnsi="黑体" w:eastAsia="黑体" w:cs="黑体"/>
                <w:sz w:val="18"/>
                <w:szCs w:val="21"/>
              </w:rPr>
            </w:pP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免疫期</w:t>
            </w:r>
            <w:r>
              <w:rPr>
                <w:rFonts w:ascii="宋体" w:hAnsi="宋体"/>
                <w:sz w:val="18"/>
                <w:szCs w:val="18"/>
              </w:rPr>
              <w:t>6</w:t>
            </w:r>
            <w:r>
              <w:rPr>
                <w:rFonts w:hint="eastAsia" w:ascii="宋体" w:hAnsi="宋体"/>
                <w:sz w:val="18"/>
                <w:szCs w:val="18"/>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3" w:type="dxa"/>
            <w:vMerge w:val="restart"/>
            <w:noWrap w:val="0"/>
            <w:vAlign w:val="center"/>
          </w:tcPr>
          <w:p>
            <w:pPr>
              <w:spacing w:line="360" w:lineRule="exact"/>
              <w:jc w:val="center"/>
              <w:rPr>
                <w:rFonts w:ascii="黑体" w:hAnsi="黑体" w:eastAsia="黑体" w:cs="黑体"/>
                <w:sz w:val="18"/>
                <w:szCs w:val="21"/>
              </w:rPr>
            </w:pPr>
            <w:r>
              <w:rPr>
                <w:rFonts w:ascii="宋体" w:hAnsi="宋体"/>
                <w:sz w:val="18"/>
                <w:szCs w:val="18"/>
              </w:rPr>
              <w:t>12</w:t>
            </w:r>
            <w:r>
              <w:rPr>
                <w:rFonts w:hint="eastAsia" w:ascii="宋体" w:hAnsi="宋体"/>
                <w:sz w:val="18"/>
                <w:szCs w:val="18"/>
              </w:rPr>
              <w:t>月龄</w:t>
            </w:r>
            <w:r>
              <w:rPr>
                <w:rFonts w:ascii="宋体" w:hAnsi="宋体"/>
                <w:sz w:val="18"/>
                <w:szCs w:val="18"/>
              </w:rPr>
              <w:t xml:space="preserve"> </w:t>
            </w:r>
          </w:p>
        </w:tc>
        <w:tc>
          <w:tcPr>
            <w:tcW w:w="2610" w:type="dxa"/>
            <w:noWrap w:val="0"/>
            <w:vAlign w:val="center"/>
          </w:tcPr>
          <w:p>
            <w:pPr>
              <w:spacing w:line="360" w:lineRule="exact"/>
              <w:jc w:val="center"/>
              <w:rPr>
                <w:rFonts w:ascii="宋体"/>
                <w:sz w:val="18"/>
                <w:szCs w:val="18"/>
              </w:rPr>
            </w:pPr>
            <w:r>
              <w:rPr>
                <w:rFonts w:hint="eastAsia" w:ascii="宋体" w:hAnsi="宋体"/>
                <w:sz w:val="18"/>
                <w:szCs w:val="18"/>
              </w:rPr>
              <w:t>第Ⅱ号炭疽芽胞苗</w:t>
            </w:r>
            <w:r>
              <w:rPr>
                <w:rFonts w:ascii="宋体" w:hAnsi="宋体"/>
                <w:sz w:val="18"/>
                <w:szCs w:val="18"/>
              </w:rPr>
              <w:t xml:space="preserve"> </w:t>
            </w:r>
          </w:p>
          <w:p>
            <w:pPr>
              <w:spacing w:line="360" w:lineRule="exact"/>
              <w:jc w:val="center"/>
              <w:rPr>
                <w:rFonts w:ascii="黑体" w:hAnsi="黑体" w:eastAsia="黑体" w:cs="黑体"/>
                <w:sz w:val="18"/>
                <w:szCs w:val="21"/>
              </w:rPr>
            </w:pPr>
            <w:r>
              <w:rPr>
                <w:rFonts w:hint="eastAsia" w:ascii="宋体" w:hAnsi="宋体"/>
                <w:sz w:val="18"/>
                <w:szCs w:val="18"/>
              </w:rPr>
              <w:t>（或无毒炭疽芽胞苗）</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皮下注射</w:t>
            </w:r>
            <w:r>
              <w:rPr>
                <w:rFonts w:ascii="宋体"/>
                <w:sz w:val="18"/>
                <w:szCs w:val="18"/>
              </w:rPr>
              <w:t>1ml</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免疫期</w:t>
            </w:r>
            <w:r>
              <w:rPr>
                <w:rFonts w:ascii="宋体"/>
                <w:sz w:val="18"/>
                <w:szCs w:val="18"/>
              </w:rPr>
              <w:t>1</w:t>
            </w:r>
            <w:r>
              <w:rPr>
                <w:rFonts w:hint="eastAsia" w:ascii="宋体" w:hAnsi="宋体"/>
                <w:sz w:val="18"/>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2033" w:type="dxa"/>
            <w:vMerge w:val="continue"/>
            <w:noWrap w:val="0"/>
            <w:vAlign w:val="center"/>
          </w:tcPr>
          <w:p>
            <w:pPr>
              <w:spacing w:line="360" w:lineRule="exact"/>
              <w:jc w:val="center"/>
              <w:rPr>
                <w:rFonts w:ascii="黑体" w:hAnsi="黑体" w:eastAsia="黑体" w:cs="黑体"/>
                <w:sz w:val="18"/>
                <w:szCs w:val="21"/>
              </w:rPr>
            </w:pPr>
          </w:p>
        </w:tc>
        <w:tc>
          <w:tcPr>
            <w:tcW w:w="2610" w:type="dxa"/>
            <w:noWrap w:val="0"/>
            <w:vAlign w:val="center"/>
          </w:tcPr>
          <w:p>
            <w:pPr>
              <w:spacing w:line="360" w:lineRule="exact"/>
              <w:jc w:val="center"/>
              <w:rPr>
                <w:rFonts w:ascii="黑体" w:hAnsi="黑体" w:eastAsia="黑体" w:cs="黑体"/>
                <w:sz w:val="18"/>
                <w:szCs w:val="21"/>
              </w:rPr>
            </w:pPr>
            <w:r>
              <w:rPr>
                <w:rFonts w:ascii="宋体" w:hAnsi="宋体"/>
                <w:sz w:val="18"/>
                <w:szCs w:val="18"/>
              </w:rPr>
              <w:t xml:space="preserve"> </w:t>
            </w:r>
            <w:r>
              <w:rPr>
                <w:rFonts w:hint="eastAsia" w:ascii="宋体" w:hAnsi="宋体"/>
                <w:sz w:val="18"/>
                <w:szCs w:val="18"/>
              </w:rPr>
              <w:t>口蹄疫弱毒苗</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皮下或肌肉注射</w:t>
            </w:r>
            <w:r>
              <w:rPr>
                <w:rFonts w:ascii="宋体" w:hAnsi="宋体"/>
                <w:sz w:val="18"/>
                <w:szCs w:val="18"/>
              </w:rPr>
              <w:t xml:space="preserve">1ml </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免疫期</w:t>
            </w:r>
            <w:r>
              <w:rPr>
                <w:rFonts w:ascii="宋体"/>
                <w:sz w:val="18"/>
                <w:szCs w:val="18"/>
              </w:rPr>
              <w:t>1</w:t>
            </w:r>
            <w:r>
              <w:rPr>
                <w:rFonts w:hint="eastAsia" w:ascii="宋体" w:hAnsi="宋体"/>
                <w:sz w:val="18"/>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33" w:type="dxa"/>
            <w:vMerge w:val="restart"/>
            <w:noWrap w:val="0"/>
            <w:vAlign w:val="center"/>
          </w:tcPr>
          <w:p>
            <w:pPr>
              <w:spacing w:line="360" w:lineRule="exact"/>
              <w:jc w:val="center"/>
              <w:rPr>
                <w:rFonts w:ascii="黑体" w:hAnsi="黑体" w:eastAsia="黑体" w:cs="黑体"/>
                <w:sz w:val="18"/>
                <w:szCs w:val="21"/>
              </w:rPr>
            </w:pPr>
            <w:r>
              <w:rPr>
                <w:rFonts w:ascii="宋体" w:hAnsi="宋体"/>
                <w:sz w:val="18"/>
                <w:szCs w:val="18"/>
              </w:rPr>
              <w:t xml:space="preserve"> 18</w:t>
            </w:r>
            <w:r>
              <w:rPr>
                <w:rFonts w:hint="eastAsia" w:ascii="宋体" w:hAnsi="宋体"/>
                <w:sz w:val="18"/>
                <w:szCs w:val="18"/>
              </w:rPr>
              <w:t>月龄</w:t>
            </w:r>
          </w:p>
        </w:tc>
        <w:tc>
          <w:tcPr>
            <w:tcW w:w="2610"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布氏杆菌</w:t>
            </w:r>
            <w:r>
              <w:rPr>
                <w:rFonts w:ascii="宋体" w:hAnsi="宋体"/>
                <w:sz w:val="18"/>
                <w:szCs w:val="18"/>
              </w:rPr>
              <w:t>19</w:t>
            </w:r>
            <w:r>
              <w:rPr>
                <w:rFonts w:hint="eastAsia" w:ascii="宋体" w:hAnsi="宋体"/>
                <w:sz w:val="18"/>
                <w:szCs w:val="18"/>
              </w:rPr>
              <w:t>号苗</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皮下注射</w:t>
            </w:r>
            <w:r>
              <w:rPr>
                <w:rFonts w:ascii="宋体"/>
                <w:sz w:val="18"/>
                <w:szCs w:val="18"/>
              </w:rPr>
              <w:t xml:space="preserve">5ml </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免疫</w:t>
            </w:r>
            <w:r>
              <w:rPr>
                <w:rFonts w:ascii="宋体"/>
                <w:sz w:val="18"/>
                <w:szCs w:val="18"/>
              </w:rPr>
              <w:t xml:space="preserve">6 </w:t>
            </w:r>
            <w:r>
              <w:rPr>
                <w:rFonts w:hint="eastAsia" w:ascii="宋体" w:hAnsi="宋体"/>
                <w:sz w:val="18"/>
                <w:szCs w:val="18"/>
              </w:rPr>
              <w:t>～</w:t>
            </w:r>
            <w:r>
              <w:rPr>
                <w:rFonts w:ascii="宋体"/>
                <w:sz w:val="18"/>
                <w:szCs w:val="18"/>
              </w:rPr>
              <w:t>7</w:t>
            </w:r>
            <w:r>
              <w:rPr>
                <w:rFonts w:hint="eastAsia" w:ascii="宋体" w:hAnsi="宋体"/>
                <w:sz w:val="18"/>
                <w:szCs w:val="18"/>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3" w:type="dxa"/>
            <w:vMerge w:val="continue"/>
            <w:noWrap w:val="0"/>
            <w:vAlign w:val="center"/>
          </w:tcPr>
          <w:p>
            <w:pPr>
              <w:spacing w:line="360" w:lineRule="exact"/>
              <w:jc w:val="center"/>
              <w:rPr>
                <w:rFonts w:ascii="黑体" w:hAnsi="黑体" w:eastAsia="黑体" w:cs="黑体"/>
                <w:sz w:val="18"/>
                <w:szCs w:val="21"/>
              </w:rPr>
            </w:pPr>
          </w:p>
        </w:tc>
        <w:tc>
          <w:tcPr>
            <w:tcW w:w="2610"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口蹄疫弱毒苗</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皮下或肌肉注射</w:t>
            </w:r>
            <w:r>
              <w:rPr>
                <w:rFonts w:ascii="宋体" w:hAnsi="宋体"/>
                <w:sz w:val="18"/>
                <w:szCs w:val="18"/>
              </w:rPr>
              <w:t>1ml</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免疫期</w:t>
            </w:r>
            <w:r>
              <w:rPr>
                <w:rFonts w:ascii="宋体"/>
                <w:sz w:val="18"/>
                <w:szCs w:val="18"/>
              </w:rPr>
              <w:t>6</w:t>
            </w:r>
            <w:r>
              <w:rPr>
                <w:rFonts w:hint="eastAsia" w:ascii="宋体" w:hAnsi="宋体"/>
                <w:sz w:val="18"/>
                <w:szCs w:val="18"/>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3" w:type="dxa"/>
            <w:vMerge w:val="restart"/>
            <w:noWrap w:val="0"/>
            <w:vAlign w:val="center"/>
          </w:tcPr>
          <w:p>
            <w:pPr>
              <w:spacing w:line="360" w:lineRule="exact"/>
              <w:jc w:val="center"/>
              <w:rPr>
                <w:rFonts w:ascii="黑体" w:hAnsi="黑体" w:eastAsia="黑体" w:cs="黑体"/>
                <w:sz w:val="18"/>
                <w:szCs w:val="21"/>
              </w:rPr>
            </w:pPr>
            <w:r>
              <w:rPr>
                <w:rFonts w:ascii="宋体" w:hAnsi="宋体"/>
                <w:sz w:val="18"/>
                <w:szCs w:val="18"/>
              </w:rPr>
              <w:t>24</w:t>
            </w:r>
            <w:r>
              <w:rPr>
                <w:rFonts w:hint="eastAsia" w:ascii="宋体" w:hAnsi="宋体"/>
                <w:sz w:val="18"/>
                <w:szCs w:val="18"/>
              </w:rPr>
              <w:t>月龄</w:t>
            </w:r>
          </w:p>
        </w:tc>
        <w:tc>
          <w:tcPr>
            <w:tcW w:w="2610" w:type="dxa"/>
            <w:noWrap w:val="0"/>
            <w:vAlign w:val="center"/>
          </w:tcPr>
          <w:p>
            <w:pPr>
              <w:spacing w:line="360" w:lineRule="exact"/>
              <w:jc w:val="center"/>
              <w:rPr>
                <w:rFonts w:ascii="宋体"/>
                <w:sz w:val="18"/>
                <w:szCs w:val="18"/>
              </w:rPr>
            </w:pPr>
            <w:r>
              <w:rPr>
                <w:rFonts w:hint="eastAsia" w:ascii="宋体" w:hAnsi="宋体"/>
                <w:sz w:val="18"/>
                <w:szCs w:val="18"/>
              </w:rPr>
              <w:t>第Ⅱ号炭疽芽胞苗</w:t>
            </w:r>
          </w:p>
          <w:p>
            <w:pPr>
              <w:spacing w:line="360" w:lineRule="exact"/>
              <w:jc w:val="center"/>
              <w:rPr>
                <w:rFonts w:ascii="黑体" w:hAnsi="黑体" w:eastAsia="黑体" w:cs="黑体"/>
                <w:sz w:val="18"/>
                <w:szCs w:val="21"/>
              </w:rPr>
            </w:pPr>
            <w:r>
              <w:rPr>
                <w:rFonts w:hint="eastAsia" w:ascii="宋体" w:hAnsi="宋体"/>
                <w:sz w:val="18"/>
                <w:szCs w:val="18"/>
              </w:rPr>
              <w:t>（或无毒炭疽芽胞苗）</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皮下注射</w:t>
            </w:r>
            <w:r>
              <w:rPr>
                <w:rFonts w:ascii="宋体"/>
                <w:sz w:val="18"/>
                <w:szCs w:val="18"/>
              </w:rPr>
              <w:t>1ml</w:t>
            </w:r>
          </w:p>
        </w:tc>
        <w:tc>
          <w:tcPr>
            <w:tcW w:w="2322" w:type="dxa"/>
            <w:noWrap w:val="0"/>
            <w:vAlign w:val="center"/>
          </w:tcPr>
          <w:p>
            <w:pPr>
              <w:spacing w:line="360" w:lineRule="exact"/>
              <w:jc w:val="center"/>
              <w:rPr>
                <w:rFonts w:ascii="宋体"/>
                <w:sz w:val="18"/>
                <w:szCs w:val="18"/>
              </w:rPr>
            </w:pPr>
            <w:r>
              <w:rPr>
                <w:rFonts w:hint="eastAsia" w:ascii="宋体" w:hAnsi="宋体"/>
                <w:sz w:val="18"/>
                <w:szCs w:val="18"/>
              </w:rPr>
              <w:t>免疫期</w:t>
            </w:r>
            <w:r>
              <w:rPr>
                <w:rFonts w:ascii="宋体"/>
                <w:sz w:val="18"/>
                <w:szCs w:val="18"/>
              </w:rPr>
              <w:t>1</w:t>
            </w:r>
            <w:r>
              <w:rPr>
                <w:rFonts w:hint="eastAsia" w:ascii="宋体" w:hAnsi="宋体"/>
                <w:sz w:val="18"/>
                <w:szCs w:val="18"/>
              </w:rPr>
              <w:t>年</w:t>
            </w:r>
          </w:p>
          <w:p>
            <w:pPr>
              <w:spacing w:line="360" w:lineRule="exact"/>
              <w:jc w:val="center"/>
              <w:rPr>
                <w:rFonts w:ascii="黑体" w:hAnsi="黑体" w:eastAsia="黑体" w:cs="黑体"/>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033" w:type="dxa"/>
            <w:vMerge w:val="continue"/>
            <w:noWrap w:val="0"/>
            <w:vAlign w:val="center"/>
          </w:tcPr>
          <w:p>
            <w:pPr>
              <w:spacing w:line="360" w:lineRule="exact"/>
              <w:jc w:val="center"/>
              <w:rPr>
                <w:rFonts w:ascii="黑体" w:hAnsi="黑体" w:eastAsia="黑体" w:cs="黑体"/>
                <w:sz w:val="18"/>
                <w:szCs w:val="21"/>
              </w:rPr>
            </w:pPr>
          </w:p>
        </w:tc>
        <w:tc>
          <w:tcPr>
            <w:tcW w:w="2610"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口蹄疫弱毒苗</w:t>
            </w:r>
          </w:p>
        </w:tc>
        <w:tc>
          <w:tcPr>
            <w:tcW w:w="2322"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皮下或肌肉注射</w:t>
            </w:r>
            <w:r>
              <w:rPr>
                <w:rFonts w:ascii="宋体" w:hAnsi="宋体"/>
                <w:sz w:val="18"/>
                <w:szCs w:val="18"/>
              </w:rPr>
              <w:t>2ml</w:t>
            </w:r>
          </w:p>
        </w:tc>
        <w:tc>
          <w:tcPr>
            <w:tcW w:w="2322"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免疫期</w:t>
            </w:r>
            <w:r>
              <w:rPr>
                <w:rFonts w:ascii="宋体"/>
                <w:sz w:val="18"/>
                <w:szCs w:val="18"/>
              </w:rPr>
              <w:t>6</w:t>
            </w:r>
            <w:r>
              <w:rPr>
                <w:rFonts w:hint="eastAsia" w:ascii="宋体" w:hAnsi="宋体"/>
                <w:sz w:val="18"/>
                <w:szCs w:val="18"/>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2033" w:type="dxa"/>
            <w:vMerge w:val="restart"/>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成年牛</w:t>
            </w:r>
          </w:p>
        </w:tc>
        <w:tc>
          <w:tcPr>
            <w:tcW w:w="2610" w:type="dxa"/>
            <w:noWrap w:val="0"/>
            <w:vAlign w:val="top"/>
          </w:tcPr>
          <w:p>
            <w:pPr>
              <w:spacing w:line="360" w:lineRule="exact"/>
              <w:ind w:left="1080" w:hanging="1080" w:hangingChars="600"/>
              <w:jc w:val="center"/>
              <w:rPr>
                <w:rFonts w:ascii="黑体" w:hAnsi="黑体" w:eastAsia="黑体" w:cs="黑体"/>
                <w:sz w:val="18"/>
                <w:szCs w:val="21"/>
              </w:rPr>
            </w:pPr>
            <w:r>
              <w:rPr>
                <w:rFonts w:hint="eastAsia" w:ascii="宋体" w:hAnsi="宋体"/>
                <w:sz w:val="18"/>
                <w:szCs w:val="18"/>
              </w:rPr>
              <w:t>魏氏梭菌灭活苗</w:t>
            </w:r>
          </w:p>
        </w:tc>
        <w:tc>
          <w:tcPr>
            <w:tcW w:w="2322"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皮下注射</w:t>
            </w:r>
            <w:r>
              <w:rPr>
                <w:rFonts w:ascii="宋体" w:hAnsi="宋体"/>
                <w:sz w:val="18"/>
                <w:szCs w:val="18"/>
              </w:rPr>
              <w:t>5ml</w:t>
            </w:r>
          </w:p>
        </w:tc>
        <w:tc>
          <w:tcPr>
            <w:tcW w:w="2322"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免疫期</w:t>
            </w:r>
            <w:r>
              <w:rPr>
                <w:rFonts w:ascii="宋体"/>
                <w:sz w:val="18"/>
                <w:szCs w:val="18"/>
              </w:rPr>
              <w:t>6</w:t>
            </w:r>
            <w:r>
              <w:rPr>
                <w:rFonts w:hint="eastAsia" w:ascii="宋体" w:hAnsi="宋体"/>
                <w:sz w:val="18"/>
                <w:szCs w:val="1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3" w:type="dxa"/>
            <w:vMerge w:val="continue"/>
            <w:noWrap w:val="0"/>
            <w:vAlign w:val="center"/>
          </w:tcPr>
          <w:p>
            <w:pPr>
              <w:spacing w:line="360" w:lineRule="exact"/>
              <w:jc w:val="center"/>
              <w:rPr>
                <w:rFonts w:ascii="黑体" w:hAnsi="黑体" w:eastAsia="黑体" w:cs="黑体"/>
                <w:sz w:val="18"/>
                <w:szCs w:val="21"/>
              </w:rPr>
            </w:pPr>
          </w:p>
        </w:tc>
        <w:tc>
          <w:tcPr>
            <w:tcW w:w="2610"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牛出败氢氧化铝菌苗</w:t>
            </w:r>
            <w:r>
              <w:rPr>
                <w:rFonts w:ascii="宋体" w:hAnsi="宋体"/>
                <w:sz w:val="18"/>
                <w:szCs w:val="18"/>
              </w:rPr>
              <w:t xml:space="preserve">                      </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肌肉注射</w:t>
            </w:r>
            <w:r>
              <w:rPr>
                <w:rFonts w:ascii="宋体" w:hAnsi="宋体"/>
                <w:sz w:val="18"/>
                <w:szCs w:val="18"/>
              </w:rPr>
              <w:t xml:space="preserve">6ml </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每年春季或秋季定期</w:t>
            </w:r>
            <w:r>
              <w:rPr>
                <w:rFonts w:ascii="宋体"/>
                <w:sz w:val="18"/>
                <w:szCs w:val="18"/>
              </w:rPr>
              <w:t>1</w:t>
            </w:r>
            <w:r>
              <w:rPr>
                <w:rFonts w:hint="eastAsia" w:ascii="宋体" w:hAnsi="宋体"/>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2033" w:type="dxa"/>
            <w:vMerge w:val="continue"/>
            <w:noWrap w:val="0"/>
            <w:vAlign w:val="center"/>
          </w:tcPr>
          <w:p>
            <w:pPr>
              <w:spacing w:line="360" w:lineRule="exact"/>
              <w:jc w:val="center"/>
              <w:rPr>
                <w:rFonts w:ascii="黑体" w:hAnsi="黑体" w:eastAsia="黑体" w:cs="黑体"/>
                <w:sz w:val="18"/>
                <w:szCs w:val="21"/>
              </w:rPr>
            </w:pPr>
          </w:p>
        </w:tc>
        <w:tc>
          <w:tcPr>
            <w:tcW w:w="2610"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口蹄疫弱毒苗</w:t>
            </w:r>
          </w:p>
        </w:tc>
        <w:tc>
          <w:tcPr>
            <w:tcW w:w="2322"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肌肉注射</w:t>
            </w:r>
            <w:r>
              <w:rPr>
                <w:rFonts w:ascii="宋体" w:hAnsi="宋体"/>
                <w:sz w:val="18"/>
                <w:szCs w:val="18"/>
              </w:rPr>
              <w:t>2ml</w:t>
            </w:r>
          </w:p>
        </w:tc>
        <w:tc>
          <w:tcPr>
            <w:tcW w:w="2322"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每年春、秋各</w:t>
            </w:r>
            <w:r>
              <w:rPr>
                <w:rFonts w:ascii="宋体"/>
                <w:sz w:val="18"/>
                <w:szCs w:val="18"/>
              </w:rPr>
              <w:t>1</w:t>
            </w:r>
            <w:r>
              <w:rPr>
                <w:rFonts w:hint="eastAsia" w:ascii="宋体" w:hAnsi="宋体"/>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3" w:type="dxa"/>
            <w:vMerge w:val="continue"/>
            <w:noWrap w:val="0"/>
            <w:vAlign w:val="center"/>
          </w:tcPr>
          <w:p>
            <w:pPr>
              <w:spacing w:line="360" w:lineRule="exact"/>
              <w:jc w:val="center"/>
              <w:rPr>
                <w:rFonts w:ascii="黑体" w:hAnsi="黑体" w:eastAsia="黑体" w:cs="黑体"/>
                <w:sz w:val="18"/>
                <w:szCs w:val="21"/>
              </w:rPr>
            </w:pPr>
          </w:p>
        </w:tc>
        <w:tc>
          <w:tcPr>
            <w:tcW w:w="2610"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牛传染性鼻气管炎灭活苗</w:t>
            </w:r>
            <w:r>
              <w:rPr>
                <w:rFonts w:ascii="宋体" w:hAnsi="宋体"/>
                <w:sz w:val="18"/>
                <w:szCs w:val="18"/>
              </w:rPr>
              <w:t xml:space="preserve">               </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皮下注射</w:t>
            </w:r>
            <w:r>
              <w:rPr>
                <w:rFonts w:ascii="宋体" w:hAnsi="宋体"/>
                <w:sz w:val="18"/>
                <w:szCs w:val="18"/>
              </w:rPr>
              <w:t xml:space="preserve">5 ml    </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每年春、秋各</w:t>
            </w:r>
            <w:r>
              <w:rPr>
                <w:rFonts w:ascii="宋体"/>
                <w:sz w:val="18"/>
                <w:szCs w:val="18"/>
              </w:rPr>
              <w:t>1</w:t>
            </w:r>
            <w:r>
              <w:rPr>
                <w:rFonts w:hint="eastAsia" w:ascii="宋体" w:hAnsi="宋体"/>
                <w:sz w:val="18"/>
                <w:szCs w:val="1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2033" w:type="dxa"/>
            <w:vMerge w:val="restart"/>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妊娠母牛</w:t>
            </w:r>
          </w:p>
        </w:tc>
        <w:tc>
          <w:tcPr>
            <w:tcW w:w="2610"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犊牛副伤寒苗</w:t>
            </w:r>
          </w:p>
        </w:tc>
        <w:tc>
          <w:tcPr>
            <w:tcW w:w="2322"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见疫苗生产标签</w:t>
            </w:r>
          </w:p>
        </w:tc>
        <w:tc>
          <w:tcPr>
            <w:tcW w:w="2322" w:type="dxa"/>
            <w:noWrap w:val="0"/>
            <w:vAlign w:val="top"/>
          </w:tcPr>
          <w:p>
            <w:pPr>
              <w:spacing w:line="360" w:lineRule="exact"/>
              <w:jc w:val="center"/>
              <w:rPr>
                <w:rFonts w:ascii="黑体" w:hAnsi="黑体" w:eastAsia="黑体" w:cs="黑体"/>
                <w:sz w:val="18"/>
                <w:szCs w:val="21"/>
              </w:rPr>
            </w:pPr>
            <w:r>
              <w:rPr>
                <w:rFonts w:hint="eastAsia" w:ascii="宋体" w:hAnsi="宋体"/>
                <w:sz w:val="18"/>
                <w:szCs w:val="18"/>
              </w:rPr>
              <w:t>分娩前</w:t>
            </w:r>
            <w:r>
              <w:rPr>
                <w:rFonts w:ascii="宋体" w:hAnsi="宋体"/>
                <w:sz w:val="18"/>
                <w:szCs w:val="18"/>
              </w:rPr>
              <w:t>4</w:t>
            </w:r>
            <w:r>
              <w:rPr>
                <w:rFonts w:hint="eastAsia" w:ascii="宋体" w:hAnsi="宋体"/>
                <w:sz w:val="18"/>
                <w:szCs w:val="18"/>
              </w:rPr>
              <w:t>周注射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3" w:type="dxa"/>
            <w:vMerge w:val="continue"/>
            <w:noWrap w:val="0"/>
            <w:vAlign w:val="center"/>
          </w:tcPr>
          <w:p>
            <w:pPr>
              <w:spacing w:line="360" w:lineRule="exact"/>
              <w:jc w:val="center"/>
              <w:rPr>
                <w:rFonts w:ascii="黑体" w:hAnsi="黑体" w:eastAsia="黑体" w:cs="黑体"/>
                <w:sz w:val="18"/>
                <w:szCs w:val="21"/>
              </w:rPr>
            </w:pPr>
          </w:p>
        </w:tc>
        <w:tc>
          <w:tcPr>
            <w:tcW w:w="2610"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犊牛大肠杆菌苗</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见疫苗生产标签</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分娩前</w:t>
            </w:r>
            <w:r>
              <w:rPr>
                <w:rFonts w:ascii="宋体" w:hAnsi="宋体"/>
                <w:sz w:val="18"/>
                <w:szCs w:val="18"/>
              </w:rPr>
              <w:t>2</w:t>
            </w:r>
            <w:r>
              <w:rPr>
                <w:rFonts w:hint="eastAsia" w:ascii="宋体" w:hAnsi="宋体"/>
                <w:sz w:val="18"/>
                <w:szCs w:val="18"/>
              </w:rPr>
              <w:t>～</w:t>
            </w:r>
            <w:r>
              <w:rPr>
                <w:rFonts w:ascii="宋体"/>
                <w:sz w:val="18"/>
                <w:szCs w:val="18"/>
              </w:rPr>
              <w:t>4</w:t>
            </w:r>
            <w:r>
              <w:rPr>
                <w:rFonts w:hint="eastAsia" w:ascii="宋体" w:hAnsi="宋体"/>
                <w:sz w:val="18"/>
                <w:szCs w:val="18"/>
              </w:rPr>
              <w:t>周注射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3" w:type="dxa"/>
            <w:vMerge w:val="continue"/>
            <w:noWrap w:val="0"/>
            <w:vAlign w:val="center"/>
          </w:tcPr>
          <w:p>
            <w:pPr>
              <w:spacing w:line="360" w:lineRule="exact"/>
              <w:jc w:val="center"/>
              <w:rPr>
                <w:rFonts w:ascii="黑体" w:hAnsi="黑体" w:eastAsia="黑体" w:cs="黑体"/>
                <w:sz w:val="18"/>
                <w:szCs w:val="21"/>
              </w:rPr>
            </w:pPr>
          </w:p>
        </w:tc>
        <w:tc>
          <w:tcPr>
            <w:tcW w:w="2610"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牛传染性鼻气管炎苗</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见疫苗生产标签</w:t>
            </w:r>
          </w:p>
        </w:tc>
        <w:tc>
          <w:tcPr>
            <w:tcW w:w="2322" w:type="dxa"/>
            <w:noWrap w:val="0"/>
            <w:vAlign w:val="center"/>
          </w:tcPr>
          <w:p>
            <w:pPr>
              <w:spacing w:line="360" w:lineRule="exact"/>
              <w:jc w:val="center"/>
              <w:rPr>
                <w:rFonts w:ascii="黑体" w:hAnsi="黑体" w:eastAsia="黑体" w:cs="黑体"/>
                <w:sz w:val="18"/>
                <w:szCs w:val="21"/>
              </w:rPr>
            </w:pPr>
            <w:r>
              <w:rPr>
                <w:rFonts w:hint="eastAsia" w:ascii="宋体" w:hAnsi="宋体"/>
                <w:sz w:val="18"/>
                <w:szCs w:val="18"/>
              </w:rPr>
              <w:t>分娩前</w:t>
            </w:r>
            <w:r>
              <w:rPr>
                <w:rFonts w:ascii="宋体" w:hAnsi="宋体"/>
                <w:sz w:val="18"/>
                <w:szCs w:val="18"/>
              </w:rPr>
              <w:t>8</w:t>
            </w:r>
            <w:r>
              <w:rPr>
                <w:rFonts w:hint="eastAsia" w:ascii="宋体" w:hAnsi="宋体"/>
                <w:sz w:val="18"/>
                <w:szCs w:val="18"/>
              </w:rPr>
              <w:t>周注射</w:t>
            </w:r>
          </w:p>
        </w:tc>
      </w:tr>
    </w:tbl>
    <w:p>
      <w:pPr>
        <w:pStyle w:val="20"/>
        <w:spacing w:line="360" w:lineRule="exact"/>
        <w:ind w:firstLine="0" w:firstLineChars="0"/>
        <w:rPr>
          <w:rFonts w:ascii="黑体" w:hAnsi="黑体" w:eastAsia="黑体" w:cs="黑体"/>
        </w:rPr>
      </w:pPr>
      <w:r>
        <w:rPr>
          <w:rFonts w:hAnsi="宋体"/>
          <w:sz w:val="18"/>
          <w:szCs w:val="18"/>
        </w:rPr>
        <w:t xml:space="preserve"> </w:t>
      </w:r>
      <w:r>
        <w:rPr>
          <w:rFonts w:ascii="黑体" w:hAnsi="黑体" w:eastAsia="黑体" w:cs="黑体"/>
        </w:rPr>
        <w:t xml:space="preserve">9.2 </w:t>
      </w:r>
      <w:r>
        <w:rPr>
          <w:rFonts w:hint="eastAsia" w:ascii="黑体" w:hAnsi="黑体" w:eastAsia="黑体" w:cs="黑体"/>
        </w:rPr>
        <w:t>防疫</w:t>
      </w:r>
    </w:p>
    <w:p>
      <w:pPr>
        <w:pStyle w:val="20"/>
        <w:spacing w:line="360" w:lineRule="exact"/>
        <w:ind w:firstLine="420"/>
      </w:pPr>
      <w:r>
        <w:rPr>
          <w:rFonts w:hint="eastAsia"/>
        </w:rPr>
        <w:t>防疫应符合</w:t>
      </w:r>
      <w:r>
        <w:t>NY/T 5339</w:t>
      </w:r>
      <w:r>
        <w:rPr>
          <w:rFonts w:hint="eastAsia"/>
        </w:rPr>
        <w:t>的规定。防疫器械在防疫后应彻底消毒，及时给牛注射疫苗，并按规定加注标识。</w:t>
      </w:r>
    </w:p>
    <w:p>
      <w:pPr>
        <w:pStyle w:val="20"/>
        <w:spacing w:line="360" w:lineRule="exact"/>
        <w:ind w:firstLine="0" w:firstLineChars="0"/>
        <w:rPr>
          <w:rFonts w:ascii="黑体" w:hAnsi="黑体" w:eastAsia="黑体" w:cs="黑体"/>
        </w:rPr>
      </w:pPr>
      <w:r>
        <w:rPr>
          <w:rFonts w:hAnsi="宋体"/>
          <w:sz w:val="18"/>
          <w:szCs w:val="18"/>
        </w:rPr>
        <w:t xml:space="preserve"> </w:t>
      </w:r>
      <w:r>
        <w:rPr>
          <w:rFonts w:ascii="黑体" w:hAnsi="黑体" w:eastAsia="黑体" w:cs="黑体"/>
        </w:rPr>
        <w:t xml:space="preserve">9.3 </w:t>
      </w:r>
      <w:r>
        <w:rPr>
          <w:rFonts w:hint="eastAsia" w:ascii="黑体" w:hAnsi="黑体" w:eastAsia="黑体" w:cs="黑体"/>
        </w:rPr>
        <w:t>消毒</w:t>
      </w:r>
    </w:p>
    <w:p>
      <w:pPr>
        <w:pStyle w:val="20"/>
        <w:spacing w:line="360" w:lineRule="exact"/>
        <w:ind w:firstLine="420"/>
        <w:rPr>
          <w:rFonts w:hAnsi="宋体" w:cs="宋体"/>
        </w:rPr>
      </w:pPr>
      <w:r>
        <w:rPr>
          <w:rFonts w:hint="eastAsia" w:hAnsi="宋体" w:cs="宋体"/>
        </w:rPr>
        <w:t>应保持牛舍内外清洁卫生，食槽、水槽、用具等应定期清洗、消毒，入场大门口应设置消毒室，牛舍门口应设置消毒池。</w:t>
      </w:r>
    </w:p>
    <w:p>
      <w:pPr>
        <w:pStyle w:val="20"/>
        <w:spacing w:line="360" w:lineRule="exact"/>
        <w:ind w:firstLine="0" w:firstLineChars="0"/>
        <w:rPr>
          <w:rFonts w:ascii="黑体" w:hAnsi="黑体" w:eastAsia="黑体" w:cs="黑体"/>
        </w:rPr>
      </w:pPr>
      <w:r>
        <w:rPr>
          <w:rFonts w:ascii="黑体" w:hAnsi="黑体" w:eastAsia="黑体" w:cs="黑体"/>
        </w:rPr>
        <w:t xml:space="preserve">9.4 </w:t>
      </w:r>
      <w:r>
        <w:rPr>
          <w:rFonts w:hint="eastAsia" w:ascii="黑体" w:hAnsi="黑体" w:eastAsia="黑体" w:cs="黑体"/>
        </w:rPr>
        <w:t>驱虫</w:t>
      </w:r>
    </w:p>
    <w:p>
      <w:pPr>
        <w:pStyle w:val="20"/>
        <w:spacing w:line="360" w:lineRule="exact"/>
        <w:ind w:firstLine="0" w:firstLineChars="0"/>
        <w:rPr>
          <w:rFonts w:hAnsi="宋体" w:cs="宋体"/>
        </w:rPr>
      </w:pPr>
      <w:r>
        <w:t xml:space="preserve">9.3.1 </w:t>
      </w:r>
      <w:r>
        <w:rPr>
          <w:rFonts w:hint="eastAsia" w:hAnsi="宋体" w:cs="宋体"/>
        </w:rPr>
        <w:t>定期驱虫，春秋各一次。若寄生虫污染严重，应每月或每季度预防驱虫一次。</w:t>
      </w:r>
    </w:p>
    <w:p>
      <w:pPr>
        <w:pStyle w:val="20"/>
        <w:spacing w:line="360" w:lineRule="exact"/>
        <w:ind w:firstLine="0" w:firstLineChars="0"/>
        <w:rPr>
          <w:sz w:val="18"/>
          <w:szCs w:val="18"/>
        </w:rPr>
      </w:pPr>
      <w:r>
        <w:t xml:space="preserve">9.3.2 </w:t>
      </w:r>
      <w:r>
        <w:rPr>
          <w:rFonts w:hint="eastAsia" w:hAnsi="宋体" w:cs="宋体"/>
        </w:rPr>
        <w:t>选择广谱、毒副作用小、高效安全的驱虫药，并交替使用。在大群驱虫时，先进行小群试验性驱虫，经观察无异常情况后，再进行大群驱虫。兽药使用符合</w:t>
      </w:r>
      <w:r>
        <w:rPr>
          <w:rFonts w:hAnsi="宋体" w:cs="宋体"/>
        </w:rPr>
        <w:t>NY/T 5030</w:t>
      </w:r>
      <w:r>
        <w:rPr>
          <w:rFonts w:hint="eastAsia" w:hAnsi="宋体" w:cs="宋体"/>
        </w:rPr>
        <w:t>和《兽药质量标准》的要求。</w:t>
      </w:r>
      <w:r>
        <w:rPr>
          <w:rFonts w:hAnsi="宋体"/>
          <w:sz w:val="18"/>
          <w:szCs w:val="18"/>
        </w:rPr>
        <w:t xml:space="preserve">      </w:t>
      </w:r>
    </w:p>
    <w:p>
      <w:pPr>
        <w:pStyle w:val="20"/>
        <w:spacing w:line="360" w:lineRule="exact"/>
        <w:ind w:firstLine="0" w:firstLineChars="0"/>
        <w:rPr>
          <w:rFonts w:ascii="黑体" w:hAnsi="黑体" w:eastAsia="黑体" w:cs="黑体"/>
        </w:rPr>
      </w:pPr>
      <w:r>
        <w:rPr>
          <w:rFonts w:ascii="黑体" w:hAnsi="黑体" w:eastAsia="黑体" w:cs="黑体"/>
        </w:rPr>
        <w:t xml:space="preserve">9.5 </w:t>
      </w:r>
      <w:r>
        <w:rPr>
          <w:rFonts w:hint="eastAsia" w:ascii="黑体" w:hAnsi="黑体" w:eastAsia="黑体" w:cs="黑体"/>
        </w:rPr>
        <w:t>隔离</w:t>
      </w:r>
    </w:p>
    <w:p>
      <w:pPr>
        <w:pStyle w:val="20"/>
        <w:spacing w:line="360" w:lineRule="exact"/>
        <w:ind w:firstLine="420"/>
        <w:rPr>
          <w:rFonts w:hAnsi="宋体" w:cs="宋体"/>
        </w:rPr>
      </w:pPr>
      <w:r>
        <w:rPr>
          <w:rFonts w:hint="eastAsia" w:hAnsi="宋体" w:cs="宋体"/>
        </w:rPr>
        <w:t>日常管理中经常观察牛群的健康状态，发现病牛或可疑病牛及时隔离观察、确诊、治疗。被隔离的病牛彻底治愈，经确认健康方可合群饲养。疑为重大动物疫病的按规定处理。</w:t>
      </w:r>
    </w:p>
    <w:p>
      <w:pPr>
        <w:pStyle w:val="20"/>
        <w:spacing w:line="360" w:lineRule="exact"/>
        <w:ind w:firstLine="0" w:firstLineChars="0"/>
        <w:rPr>
          <w:rFonts w:ascii="黑体" w:hAnsi="黑体" w:eastAsia="黑体" w:cs="黑体"/>
        </w:rPr>
      </w:pPr>
      <w:r>
        <w:rPr>
          <w:rFonts w:ascii="黑体" w:hAnsi="黑体" w:eastAsia="黑体" w:cs="黑体"/>
        </w:rPr>
        <w:t xml:space="preserve">9.6 </w:t>
      </w:r>
      <w:r>
        <w:rPr>
          <w:rFonts w:hint="eastAsia" w:ascii="黑体" w:hAnsi="黑体" w:eastAsia="黑体" w:cs="黑体"/>
        </w:rPr>
        <w:t>灭蚊灭鼠</w:t>
      </w:r>
    </w:p>
    <w:p>
      <w:pPr>
        <w:pStyle w:val="20"/>
        <w:spacing w:line="360" w:lineRule="exact"/>
        <w:ind w:firstLine="420"/>
      </w:pPr>
      <w:r>
        <w:rPr>
          <w:rFonts w:hint="eastAsia" w:hAnsi="宋体" w:cs="宋体"/>
        </w:rPr>
        <w:t>夏季应及时杀灭牛舍内蚊蝇，消除水坑等蚊蝇孳生地，定期定点投放灭鼠药，及时收集死鼠和残余鼠药，并深埋处理。</w:t>
      </w:r>
    </w:p>
    <w:p>
      <w:pPr>
        <w:pStyle w:val="20"/>
        <w:spacing w:line="360" w:lineRule="exact"/>
        <w:ind w:firstLine="0" w:firstLineChars="0"/>
        <w:rPr>
          <w:rFonts w:ascii="黑体" w:hAnsi="黑体" w:eastAsia="黑体" w:cs="黑体"/>
        </w:rPr>
      </w:pPr>
      <w:r>
        <w:rPr>
          <w:rFonts w:ascii="黑体" w:hAnsi="黑体" w:eastAsia="黑体" w:cs="黑体"/>
        </w:rPr>
        <w:t xml:space="preserve">9.7 </w:t>
      </w:r>
      <w:r>
        <w:rPr>
          <w:rFonts w:hint="eastAsia" w:ascii="黑体" w:hAnsi="黑体" w:eastAsia="黑体" w:cs="黑体"/>
        </w:rPr>
        <w:t>无害化处理</w:t>
      </w:r>
    </w:p>
    <w:p>
      <w:pPr>
        <w:pStyle w:val="20"/>
        <w:spacing w:line="360" w:lineRule="exact"/>
        <w:ind w:firstLine="0" w:firstLineChars="0"/>
        <w:rPr>
          <w:rFonts w:ascii="黑体" w:hAnsi="黑体" w:eastAsia="黑体" w:cs="黑体"/>
        </w:rPr>
      </w:pPr>
      <w:r>
        <w:rPr>
          <w:rFonts w:ascii="黑体" w:hAnsi="黑体" w:eastAsia="黑体" w:cs="黑体"/>
        </w:rPr>
        <w:t xml:space="preserve">9.7.1 </w:t>
      </w:r>
      <w:r>
        <w:rPr>
          <w:rFonts w:hint="eastAsia" w:ascii="黑体" w:hAnsi="黑体" w:eastAsia="黑体" w:cs="黑体"/>
        </w:rPr>
        <w:t>病死牛处理</w:t>
      </w:r>
    </w:p>
    <w:p>
      <w:pPr>
        <w:pStyle w:val="20"/>
        <w:spacing w:line="360" w:lineRule="exact"/>
        <w:ind w:firstLine="420"/>
        <w:rPr>
          <w:rFonts w:hAnsi="宋体" w:cs="宋体"/>
        </w:rPr>
      </w:pPr>
      <w:r>
        <w:rPr>
          <w:rFonts w:hint="eastAsia" w:hAnsi="宋体" w:cs="宋体"/>
        </w:rPr>
        <w:t>病死或死因不明的牛，应按《病死及病害动物无害化处理技术规范》规定进行处理。</w:t>
      </w:r>
    </w:p>
    <w:p>
      <w:pPr>
        <w:pStyle w:val="20"/>
        <w:spacing w:line="360" w:lineRule="exact"/>
        <w:ind w:firstLine="0" w:firstLineChars="0"/>
        <w:rPr>
          <w:rFonts w:ascii="黑体" w:hAnsi="黑体" w:eastAsia="黑体" w:cs="黑体"/>
        </w:rPr>
      </w:pPr>
      <w:r>
        <w:rPr>
          <w:rFonts w:ascii="黑体" w:hAnsi="黑体" w:eastAsia="黑体" w:cs="黑体"/>
        </w:rPr>
        <w:t xml:space="preserve">9.7.2 </w:t>
      </w:r>
      <w:r>
        <w:rPr>
          <w:rFonts w:hint="eastAsia" w:ascii="黑体" w:hAnsi="黑体" w:eastAsia="黑体" w:cs="黑体"/>
        </w:rPr>
        <w:t>粪污处理</w:t>
      </w:r>
    </w:p>
    <w:p>
      <w:pPr>
        <w:pStyle w:val="20"/>
        <w:spacing w:line="360" w:lineRule="exact"/>
        <w:ind w:firstLine="420"/>
        <w:rPr>
          <w:rFonts w:hAnsi="宋体" w:cs="宋体"/>
        </w:rPr>
      </w:pPr>
      <w:r>
        <w:rPr>
          <w:rFonts w:hint="eastAsia" w:hAnsi="宋体" w:cs="宋体"/>
        </w:rPr>
        <w:t>牛场中粪污处理应符合</w:t>
      </w:r>
      <w:r>
        <w:rPr>
          <w:rFonts w:hAnsi="宋体" w:cs="宋体"/>
        </w:rPr>
        <w:t>GB 18596</w:t>
      </w:r>
      <w:r>
        <w:rPr>
          <w:rFonts w:hint="eastAsia" w:hAnsi="宋体" w:cs="宋体"/>
        </w:rPr>
        <w:t>的规定。</w:t>
      </w:r>
    </w:p>
    <w:p>
      <w:pPr>
        <w:spacing w:line="360" w:lineRule="exact"/>
        <w:rPr>
          <w:rFonts w:ascii="黑体" w:hAnsi="黑体" w:eastAsia="黑体" w:cs="黑体"/>
          <w:kern w:val="0"/>
          <w:szCs w:val="20"/>
        </w:rPr>
      </w:pPr>
      <w:r>
        <w:rPr>
          <w:rFonts w:ascii="黑体" w:hAnsi="黑体" w:eastAsia="黑体" w:cs="黑体"/>
          <w:kern w:val="0"/>
          <w:szCs w:val="20"/>
        </w:rPr>
        <w:t xml:space="preserve">9.8 </w:t>
      </w:r>
      <w:r>
        <w:rPr>
          <w:rFonts w:hint="eastAsia" w:ascii="黑体" w:hAnsi="黑体" w:eastAsia="黑体" w:cs="黑体"/>
          <w:kern w:val="0"/>
          <w:szCs w:val="20"/>
        </w:rPr>
        <w:t>疫情报告</w:t>
      </w:r>
    </w:p>
    <w:p>
      <w:pPr>
        <w:spacing w:line="360" w:lineRule="exact"/>
        <w:ind w:firstLine="420" w:firstLineChars="200"/>
        <w:rPr>
          <w:rFonts w:ascii="宋体" w:cs="宋体"/>
          <w:kern w:val="0"/>
          <w:szCs w:val="20"/>
        </w:rPr>
      </w:pPr>
      <w:r>
        <w:rPr>
          <w:rFonts w:hint="eastAsia" w:ascii="宋体" w:hAnsi="宋体" w:cs="宋体"/>
          <w:kern w:val="0"/>
          <w:szCs w:val="20"/>
        </w:rPr>
        <w:t>发生疫情应及时上报动物防疫部门，防疫卫生应符合</w:t>
      </w:r>
      <w:r>
        <w:rPr>
          <w:rFonts w:ascii="宋体" w:hAnsi="宋体" w:cs="宋体"/>
          <w:kern w:val="0"/>
          <w:szCs w:val="20"/>
        </w:rPr>
        <w:t>NY/T 5339</w:t>
      </w:r>
      <w:r>
        <w:rPr>
          <w:rFonts w:hint="eastAsia" w:ascii="宋体" w:hAnsi="宋体" w:cs="宋体"/>
          <w:kern w:val="0"/>
          <w:szCs w:val="20"/>
        </w:rPr>
        <w:t>的要求。</w:t>
      </w:r>
    </w:p>
    <w:p>
      <w:pPr>
        <w:spacing w:line="360" w:lineRule="exact"/>
        <w:rPr>
          <w:rFonts w:ascii="黑体" w:hAnsi="黑体" w:eastAsia="黑体" w:cs="黑体"/>
          <w:kern w:val="0"/>
          <w:szCs w:val="20"/>
        </w:rPr>
      </w:pPr>
      <w:r>
        <w:rPr>
          <w:rFonts w:ascii="黑体" w:hAnsi="黑体" w:eastAsia="黑体" w:cs="黑体"/>
          <w:kern w:val="0"/>
          <w:szCs w:val="20"/>
        </w:rPr>
        <w:t xml:space="preserve">9.9 </w:t>
      </w:r>
      <w:r>
        <w:rPr>
          <w:rFonts w:hint="eastAsia" w:ascii="黑体" w:hAnsi="黑体" w:eastAsia="黑体" w:cs="黑体"/>
          <w:kern w:val="0"/>
          <w:szCs w:val="20"/>
        </w:rPr>
        <w:t>休药期</w:t>
      </w:r>
    </w:p>
    <w:p>
      <w:pPr>
        <w:spacing w:line="360" w:lineRule="exact"/>
        <w:ind w:firstLine="420" w:firstLineChars="200"/>
        <w:rPr>
          <w:rFonts w:hint="eastAsia" w:ascii="宋体" w:hAnsi="宋体"/>
          <w:sz w:val="18"/>
          <w:szCs w:val="18"/>
        </w:rPr>
      </w:pPr>
      <w:r>
        <w:rPr>
          <w:rFonts w:hint="eastAsia" w:ascii="宋体" w:hAnsi="宋体" w:cs="宋体"/>
          <w:kern w:val="0"/>
          <w:szCs w:val="20"/>
        </w:rPr>
        <w:t>肉牛休药期应符合</w:t>
      </w:r>
      <w:r>
        <w:rPr>
          <w:rFonts w:hint="eastAsia" w:ascii="宋体" w:hAnsi="宋体" w:cs="宋体"/>
        </w:rPr>
        <w:t>《兽药停药期规定》</w:t>
      </w:r>
      <w:r>
        <w:rPr>
          <w:rFonts w:hint="eastAsia" w:ascii="宋体" w:hAnsi="宋体" w:cs="宋体"/>
          <w:kern w:val="0"/>
          <w:szCs w:val="20"/>
        </w:rPr>
        <w:t>的规定。</w:t>
      </w:r>
      <w:r>
        <w:rPr>
          <w:rFonts w:ascii="宋体" w:hAnsi="宋体"/>
          <w:sz w:val="18"/>
          <w:szCs w:val="18"/>
        </w:rPr>
        <w:t xml:space="preserve"> </w:t>
      </w:r>
    </w:p>
    <w:p>
      <w:pPr>
        <w:snapToGrid w:val="0"/>
        <w:spacing w:line="312" w:lineRule="auto"/>
        <w:rPr>
          <w:rFonts w:hint="eastAsia" w:ascii="宋体" w:hAnsi="宋体"/>
          <w:color w:val="4F81BD"/>
          <w:szCs w:val="21"/>
        </w:rPr>
      </w:pPr>
      <w:r>
        <w:rPr>
          <w:rFonts w:hint="eastAsia" w:ascii="宋体" w:hAnsi="宋体" w:cs="宋体"/>
          <w:spacing w:val="8"/>
          <w:sz w:val="28"/>
          <w:szCs w:val="28"/>
        </w:rPr>
        <w:t xml:space="preserve"> </w:t>
      </w:r>
      <w:r>
        <w:rPr>
          <w:rFonts w:hint="eastAsia" w:ascii="宋体" w:hAnsi="宋体" w:cs="宋体"/>
          <w:color w:val="4F81BD"/>
          <w:spacing w:val="8"/>
          <w:sz w:val="28"/>
          <w:szCs w:val="28"/>
        </w:rPr>
        <w:t xml:space="preserve"> 说明：查阅相关资料、现场实地调研、起草组团队成员集体研究、养殖场现场复核、与相关专业人员座谈、专家论证评审等方式确定。</w:t>
      </w:r>
    </w:p>
    <w:p>
      <w:pPr>
        <w:spacing w:line="360" w:lineRule="exact"/>
        <w:rPr>
          <w:rFonts w:ascii="宋体"/>
          <w:kern w:val="0"/>
          <w:szCs w:val="20"/>
        </w:rPr>
      </w:pPr>
    </w:p>
    <w:p>
      <w:pPr>
        <w:spacing w:line="360" w:lineRule="exact"/>
        <w:rPr>
          <w:rFonts w:ascii="黑体" w:hAnsi="黑体" w:eastAsia="黑体" w:cs="黑体"/>
        </w:rPr>
      </w:pPr>
      <w:r>
        <w:rPr>
          <w:rFonts w:ascii="黑体" w:hAnsi="黑体" w:eastAsia="黑体" w:cs="黑体"/>
        </w:rPr>
        <w:t xml:space="preserve">10 </w:t>
      </w:r>
      <w:r>
        <w:rPr>
          <w:rFonts w:hint="eastAsia" w:ascii="黑体" w:hAnsi="黑体" w:eastAsia="黑体" w:cs="黑体"/>
        </w:rPr>
        <w:t>资料管理</w:t>
      </w:r>
    </w:p>
    <w:p>
      <w:pPr>
        <w:spacing w:line="360" w:lineRule="exact"/>
      </w:pPr>
    </w:p>
    <w:p>
      <w:pPr>
        <w:pStyle w:val="20"/>
        <w:spacing w:line="360" w:lineRule="exact"/>
        <w:ind w:firstLine="0" w:firstLineChars="0"/>
        <w:rPr>
          <w:rFonts w:ascii="黑体" w:hAnsi="黑体" w:eastAsia="黑体" w:cs="黑体"/>
        </w:rPr>
      </w:pPr>
      <w:r>
        <w:rPr>
          <w:rFonts w:ascii="黑体" w:hAnsi="黑体" w:eastAsia="黑体" w:cs="黑体"/>
        </w:rPr>
        <w:t xml:space="preserve">10.1 </w:t>
      </w:r>
      <w:r>
        <w:rPr>
          <w:rFonts w:hint="eastAsia" w:ascii="黑体" w:hAnsi="黑体" w:eastAsia="黑体" w:cs="黑体"/>
        </w:rPr>
        <w:t>养殖备案登记</w:t>
      </w:r>
    </w:p>
    <w:p>
      <w:pPr>
        <w:pStyle w:val="20"/>
        <w:spacing w:line="360" w:lineRule="exact"/>
        <w:ind w:firstLine="420"/>
      </w:pPr>
      <w:r>
        <w:rPr>
          <w:rFonts w:hint="eastAsia"/>
        </w:rPr>
        <w:t>牛场应做好养殖场档案备案登记管理工作。</w:t>
      </w:r>
    </w:p>
    <w:p>
      <w:pPr>
        <w:pStyle w:val="20"/>
        <w:spacing w:line="360" w:lineRule="exact"/>
        <w:ind w:firstLine="0" w:firstLineChars="0"/>
        <w:rPr>
          <w:rFonts w:ascii="黑体" w:hAnsi="黑体" w:eastAsia="黑体" w:cs="黑体"/>
        </w:rPr>
      </w:pPr>
      <w:r>
        <w:rPr>
          <w:rFonts w:ascii="黑体" w:hAnsi="黑体" w:eastAsia="黑体" w:cs="黑体"/>
        </w:rPr>
        <w:t xml:space="preserve">10.2 </w:t>
      </w:r>
      <w:r>
        <w:rPr>
          <w:rFonts w:hint="eastAsia" w:ascii="黑体" w:hAnsi="黑体" w:eastAsia="黑体" w:cs="黑体"/>
        </w:rPr>
        <w:t>记录信息及保存期限</w:t>
      </w:r>
    </w:p>
    <w:p>
      <w:pPr>
        <w:pStyle w:val="20"/>
        <w:spacing w:line="360" w:lineRule="exact"/>
        <w:ind w:firstLine="420"/>
      </w:pPr>
      <w:r>
        <w:rPr>
          <w:rFonts w:hint="eastAsia"/>
        </w:rPr>
        <w:t>所有工作记录表格信息量应符合国家相关规定，并保存</w:t>
      </w:r>
      <w:r>
        <w:t>5</w:t>
      </w:r>
      <w:r>
        <w:rPr>
          <w:rFonts w:hint="eastAsia"/>
        </w:rPr>
        <w:t>年以上。到期档案处理按程序报批销毁。</w:t>
      </w:r>
    </w:p>
    <w:p>
      <w:pPr>
        <w:adjustRightInd w:val="0"/>
        <w:snapToGrid w:val="0"/>
        <w:spacing w:line="360" w:lineRule="exact"/>
        <w:rPr>
          <w:rFonts w:hint="eastAsia" w:ascii="宋体"/>
          <w:kern w:val="0"/>
          <w:szCs w:val="20"/>
        </w:rPr>
      </w:pPr>
      <w:r>
        <w:rPr>
          <w:rFonts w:hint="eastAsia" w:ascii="宋体"/>
          <w:kern w:val="0"/>
          <w:szCs w:val="20"/>
        </w:rPr>
        <w:t xml:space="preserve">                     </w:t>
      </w:r>
    </w:p>
    <w:p>
      <w:pPr>
        <w:pStyle w:val="10"/>
        <w:spacing w:before="0" w:beforeAutospacing="0" w:after="0" w:afterAutospacing="0" w:line="240" w:lineRule="atLeast"/>
        <w:ind w:firstLine="594" w:firstLineChars="200"/>
        <w:rPr>
          <w:rFonts w:hint="eastAsia" w:cs="仿宋_GB2312"/>
          <w:b/>
          <w:spacing w:val="8"/>
          <w:sz w:val="28"/>
          <w:szCs w:val="28"/>
        </w:rPr>
      </w:pPr>
      <w:r>
        <w:rPr>
          <w:rFonts w:hint="eastAsia" w:cs="仿宋_GB2312"/>
          <w:b/>
          <w:spacing w:val="8"/>
          <w:sz w:val="28"/>
          <w:szCs w:val="28"/>
          <w:lang w:eastAsia="zh-CN"/>
        </w:rPr>
        <w:t>八</w:t>
      </w:r>
      <w:r>
        <w:rPr>
          <w:rFonts w:hint="eastAsia" w:cs="仿宋_GB2312"/>
          <w:b/>
          <w:spacing w:val="8"/>
          <w:sz w:val="28"/>
          <w:szCs w:val="28"/>
        </w:rPr>
        <w:t>、主要试验（或验证）的测试报告、相关技术和经济影响论证</w:t>
      </w:r>
      <w:bookmarkEnd w:id="0"/>
    </w:p>
    <w:p>
      <w:pPr>
        <w:widowControl/>
        <w:spacing w:line="500" w:lineRule="exact"/>
        <w:ind w:firstLine="592" w:firstLineChars="200"/>
        <w:jc w:val="left"/>
        <w:rPr>
          <w:rFonts w:hint="eastAsia" w:ascii="宋体" w:hAnsi="宋体" w:cs="仿宋_GB2312"/>
          <w:color w:val="4F81BD"/>
          <w:spacing w:val="8"/>
          <w:sz w:val="28"/>
          <w:szCs w:val="28"/>
        </w:rPr>
      </w:pPr>
      <w:r>
        <w:rPr>
          <w:rFonts w:hint="eastAsia" w:ascii="宋体" w:hAnsi="宋体" w:cs="仿宋_GB2312"/>
          <w:color w:val="4F81BD"/>
          <w:spacing w:val="8"/>
          <w:sz w:val="28"/>
          <w:szCs w:val="28"/>
        </w:rPr>
        <w:t>1、示范饲养试验：自2019年以来，起草单位在德江、思南、印江、石阡、松桃等县标准化示范肉牛场饲养15000头肉牛，按照本技术标准进行饲养试验，结果表明：肉牛体重显著增加、育肥效果较好，平均日增重0.8kg～1.5kg月。</w:t>
      </w:r>
    </w:p>
    <w:p>
      <w:pPr>
        <w:spacing w:line="500" w:lineRule="exact"/>
        <w:ind w:firstLine="592" w:firstLineChars="200"/>
        <w:rPr>
          <w:rFonts w:hint="eastAsia" w:ascii="宋体" w:hAnsi="宋体" w:cs="仿宋_GB2312"/>
          <w:color w:val="4F81BD"/>
          <w:spacing w:val="8"/>
          <w:sz w:val="28"/>
          <w:szCs w:val="28"/>
        </w:rPr>
      </w:pPr>
      <w:r>
        <w:rPr>
          <w:rFonts w:hint="eastAsia" w:ascii="宋体" w:hAnsi="宋体" w:cs="仿宋_GB2312"/>
          <w:color w:val="4F81BD"/>
          <w:spacing w:val="8"/>
          <w:sz w:val="28"/>
          <w:szCs w:val="28"/>
        </w:rPr>
        <w:t>2、不同品种肉牛体重和体尺性状的影响：</w:t>
      </w:r>
      <w:r>
        <w:rPr>
          <w:rFonts w:ascii="宋体" w:hAnsi="宋体" w:cs="仿宋_GB2312"/>
          <w:color w:val="4F81BD"/>
          <w:spacing w:val="8"/>
          <w:sz w:val="28"/>
          <w:szCs w:val="28"/>
        </w:rPr>
        <w:t>2018</w:t>
      </w:r>
      <w:r>
        <w:rPr>
          <w:rFonts w:hint="eastAsia" w:ascii="宋体" w:hAnsi="宋体" w:cs="仿宋_GB2312"/>
          <w:color w:val="4F81BD"/>
          <w:spacing w:val="8"/>
          <w:sz w:val="28"/>
          <w:szCs w:val="28"/>
        </w:rPr>
        <w:t>年</w:t>
      </w:r>
      <w:r>
        <w:rPr>
          <w:rFonts w:ascii="宋体" w:hAnsi="宋体" w:cs="仿宋_GB2312"/>
          <w:color w:val="4F81BD"/>
          <w:spacing w:val="8"/>
          <w:sz w:val="28"/>
          <w:szCs w:val="28"/>
        </w:rPr>
        <w:t>7</w:t>
      </w:r>
      <w:r>
        <w:rPr>
          <w:rFonts w:hint="eastAsia" w:ascii="宋体" w:hAnsi="宋体" w:cs="仿宋_GB2312"/>
          <w:color w:val="4F81BD"/>
          <w:spacing w:val="8"/>
          <w:sz w:val="28"/>
          <w:szCs w:val="28"/>
        </w:rPr>
        <w:t>月</w:t>
      </w:r>
      <w:r>
        <w:rPr>
          <w:rFonts w:ascii="宋体" w:hAnsi="宋体" w:cs="仿宋_GB2312"/>
          <w:color w:val="4F81BD"/>
          <w:spacing w:val="8"/>
          <w:sz w:val="28"/>
          <w:szCs w:val="28"/>
        </w:rPr>
        <w:t>12</w:t>
      </w:r>
      <w:r>
        <w:rPr>
          <w:rFonts w:hint="eastAsia" w:ascii="宋体" w:hAnsi="宋体" w:cs="仿宋_GB2312"/>
          <w:color w:val="4F81BD"/>
          <w:spacing w:val="8"/>
          <w:sz w:val="28"/>
          <w:szCs w:val="28"/>
        </w:rPr>
        <w:t>日至</w:t>
      </w:r>
      <w:r>
        <w:rPr>
          <w:rFonts w:ascii="宋体" w:hAnsi="宋体" w:cs="仿宋_GB2312"/>
          <w:color w:val="4F81BD"/>
          <w:spacing w:val="8"/>
          <w:sz w:val="28"/>
          <w:szCs w:val="28"/>
        </w:rPr>
        <w:t>10</w:t>
      </w:r>
      <w:r>
        <w:rPr>
          <w:rFonts w:hint="eastAsia" w:ascii="宋体" w:hAnsi="宋体" w:cs="仿宋_GB2312"/>
          <w:color w:val="4F81BD"/>
          <w:spacing w:val="8"/>
          <w:sz w:val="28"/>
          <w:szCs w:val="28"/>
        </w:rPr>
        <w:t>月</w:t>
      </w:r>
      <w:r>
        <w:rPr>
          <w:rFonts w:ascii="宋体" w:hAnsi="宋体" w:cs="仿宋_GB2312"/>
          <w:color w:val="4F81BD"/>
          <w:spacing w:val="8"/>
          <w:sz w:val="28"/>
          <w:szCs w:val="28"/>
        </w:rPr>
        <w:t>10</w:t>
      </w:r>
      <w:r>
        <w:rPr>
          <w:rFonts w:hint="eastAsia" w:ascii="宋体" w:hAnsi="宋体" w:cs="仿宋_GB2312"/>
          <w:color w:val="4F81BD"/>
          <w:spacing w:val="8"/>
          <w:sz w:val="28"/>
          <w:szCs w:val="28"/>
        </w:rPr>
        <w:t>日，在添加藤茶黄酮的条件，对西本、安本两个杂交肉牛品种进行品种对比饲喂试验，15月龄西本杂交肉牛公、母牛体重分别达473kg、462kg,体高分别为114.10cm、116.20cm,体斜长分别为148.17cm、143.25cm，胸围分别为175.33cm、172.50cm; 15月龄安本杂交肉牛公、母牛体重分别达440kg、436kg，体高分别为121.08cm、117.40cm,体斜长分别为146.42cm、140.50cm，胸围分别为172.50cm、163.25cm;</w:t>
      </w:r>
    </w:p>
    <w:p>
      <w:pPr>
        <w:widowControl/>
        <w:spacing w:line="480" w:lineRule="exact"/>
        <w:ind w:firstLine="594" w:firstLineChars="200"/>
        <w:jc w:val="left"/>
        <w:rPr>
          <w:rFonts w:hint="eastAsia" w:ascii="宋体" w:hAnsi="宋体" w:cs="仿宋_GB2312"/>
          <w:b/>
          <w:spacing w:val="8"/>
          <w:kern w:val="0"/>
          <w:sz w:val="28"/>
          <w:szCs w:val="28"/>
        </w:rPr>
      </w:pPr>
      <w:r>
        <w:rPr>
          <w:rFonts w:hint="eastAsia" w:ascii="宋体" w:hAnsi="宋体" w:cs="仿宋_GB2312"/>
          <w:b/>
          <w:spacing w:val="8"/>
          <w:kern w:val="0"/>
          <w:sz w:val="28"/>
          <w:szCs w:val="28"/>
          <w:lang w:eastAsia="zh-CN"/>
        </w:rPr>
        <w:t>九</w:t>
      </w:r>
      <w:r>
        <w:rPr>
          <w:rFonts w:hint="eastAsia" w:ascii="宋体" w:hAnsi="宋体" w:cs="仿宋_GB2312"/>
          <w:b/>
          <w:spacing w:val="8"/>
          <w:kern w:val="0"/>
          <w:sz w:val="28"/>
          <w:szCs w:val="28"/>
        </w:rPr>
        <w:t>、预期的社会经济效益及贯彻实施标准的要求、措施等建议</w:t>
      </w:r>
    </w:p>
    <w:p>
      <w:pPr>
        <w:widowControl/>
        <w:spacing w:line="480" w:lineRule="exact"/>
        <w:ind w:firstLine="592" w:firstLineChars="200"/>
        <w:jc w:val="left"/>
        <w:rPr>
          <w:rFonts w:hint="eastAsia" w:ascii="宋体" w:hAnsi="宋体" w:cs="仿宋_GB2312"/>
          <w:spacing w:val="8"/>
          <w:sz w:val="28"/>
          <w:szCs w:val="28"/>
        </w:rPr>
      </w:pPr>
      <w:r>
        <w:rPr>
          <w:rFonts w:hint="eastAsia" w:ascii="宋体" w:hAnsi="宋体" w:cs="仿宋_GB2312"/>
          <w:spacing w:val="8"/>
          <w:sz w:val="28"/>
          <w:szCs w:val="28"/>
        </w:rPr>
        <w:t>本标准属于推荐性标准，对规模养殖场建设、肉牛杂交组合模式、饲料配制及管理、免疫程序、肉牛出栏时间和体重都有严格的规范，按照标准生产对环保有积极的促进作用，生产出来的牛肉为无公害牛肉，对社会有及其重要的生态效益和经济效益。正式发布后在贵州省内实施，建议规模养殖场、养牛专业合作社及养殖大户等参照执行。</w:t>
      </w:r>
    </w:p>
    <w:p>
      <w:pPr>
        <w:pStyle w:val="10"/>
        <w:spacing w:before="0" w:beforeAutospacing="0" w:after="0" w:afterAutospacing="0" w:line="240" w:lineRule="atLeast"/>
        <w:ind w:firstLine="680"/>
        <w:rPr>
          <w:rFonts w:hint="eastAsia" w:cs="仿宋_GB2312"/>
          <w:b/>
          <w:spacing w:val="8"/>
          <w:sz w:val="28"/>
          <w:szCs w:val="28"/>
        </w:rPr>
      </w:pPr>
      <w:r>
        <w:rPr>
          <w:rFonts w:hint="eastAsia" w:cs="仿宋_GB2312"/>
          <w:b/>
          <w:spacing w:val="8"/>
          <w:sz w:val="28"/>
          <w:szCs w:val="28"/>
          <w:lang w:eastAsia="zh-CN"/>
        </w:rPr>
        <w:t>十</w:t>
      </w:r>
      <w:r>
        <w:rPr>
          <w:rFonts w:hint="eastAsia" w:cs="仿宋_GB2312"/>
          <w:b/>
          <w:spacing w:val="8"/>
          <w:sz w:val="28"/>
          <w:szCs w:val="28"/>
        </w:rPr>
        <w:t>、应说明的事项</w:t>
      </w:r>
    </w:p>
    <w:p>
      <w:pPr>
        <w:pStyle w:val="10"/>
        <w:spacing w:before="0" w:beforeAutospacing="0" w:after="0" w:afterAutospacing="0" w:line="240" w:lineRule="atLeast"/>
        <w:ind w:firstLine="680"/>
        <w:rPr>
          <w:rFonts w:hint="eastAsia"/>
          <w:sz w:val="28"/>
          <w:szCs w:val="28"/>
        </w:rPr>
      </w:pPr>
      <w:r>
        <w:rPr>
          <w:rFonts w:hint="eastAsia"/>
          <w:sz w:val="28"/>
          <w:szCs w:val="28"/>
        </w:rPr>
        <w:t>无其他应说明事项</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ntury">
    <w:altName w:val="Bookman Old Style"/>
    <w:panose1 w:val="02040603050705020303"/>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方正黑体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Bookman Old Style">
    <w:panose1 w:val="0205060405050502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131445"/>
              <wp:effectExtent l="0" t="0" r="0" b="0"/>
              <wp:wrapNone/>
              <wp:docPr id="3" name="文本框 2"/>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9525">
                        <a:noFill/>
                      </a:ln>
                    </wps:spPr>
                    <wps:txbx>
                      <w:txbxContent>
                        <w:p>
                          <w:pPr>
                            <w:pStyle w:val="5"/>
                            <w:rPr>
                              <w:rFonts w:hint="eastAsia"/>
                            </w:rPr>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58240;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L3UTQAAAAAgEAAA8AAAAAAAAAAQAgAAAAIgAAAGRycy9kb3ducmV2LnhtbFBLAQIUABQAAAAI&#10;AIdO4kBx3ls7vAEAAFEDAAAOAAAAAAAAAAEAIAAAAB8BAABkcnMvZTJvRG9jLnhtbFBLBQYAAAAA&#10;BgAGAFkBAABNBQAAAAA=&#10;">
              <v:fill on="f" focussize="0,0"/>
              <v:stroke on="f"/>
              <v:imagedata o:title=""/>
              <o:lock v:ext="edit" aspectratio="f"/>
              <v:textbox inset="0mm,0mm,0mm,0mm" style="mso-fit-shape-to-text:t;">
                <w:txbxContent>
                  <w:p>
                    <w:pPr>
                      <w:pStyle w:val="5"/>
                      <w:rPr>
                        <w:rFonts w:hint="eastAsia"/>
                      </w:rPr>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9488D6"/>
    <w:multiLevelType w:val="singleLevel"/>
    <w:tmpl w:val="E09488D6"/>
    <w:lvl w:ilvl="0" w:tentative="0">
      <w:start w:val="6"/>
      <w:numFmt w:val="chineseCounting"/>
      <w:suff w:val="nothing"/>
      <w:lvlText w:val="%1、"/>
      <w:lvlJc w:val="left"/>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24"/>
      <w:suff w:val="nothing"/>
      <w:lvlText w:val="%1%2　"/>
      <w:lvlJc w:val="left"/>
      <w:pPr>
        <w:ind w:left="1785" w:firstLine="0"/>
      </w:pPr>
      <w:rPr>
        <w:rFonts w:hint="eastAsia" w:ascii="黑体" w:hAnsi="Times New Roman" w:eastAsia="黑体"/>
        <w:b w:val="0"/>
        <w:i w:val="0"/>
        <w:sz w:val="24"/>
        <w:szCs w:val="24"/>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77B"/>
    <w:rsid w:val="00064033"/>
    <w:rsid w:val="0006656D"/>
    <w:rsid w:val="0007579E"/>
    <w:rsid w:val="000822E9"/>
    <w:rsid w:val="000B482E"/>
    <w:rsid w:val="000F59CF"/>
    <w:rsid w:val="00111919"/>
    <w:rsid w:val="00150856"/>
    <w:rsid w:val="00172234"/>
    <w:rsid w:val="00176FCD"/>
    <w:rsid w:val="00181355"/>
    <w:rsid w:val="001B3E02"/>
    <w:rsid w:val="001F0A19"/>
    <w:rsid w:val="00222D3E"/>
    <w:rsid w:val="002D3862"/>
    <w:rsid w:val="002D5494"/>
    <w:rsid w:val="00302A20"/>
    <w:rsid w:val="00306232"/>
    <w:rsid w:val="00353E49"/>
    <w:rsid w:val="004147D2"/>
    <w:rsid w:val="00451800"/>
    <w:rsid w:val="0045474C"/>
    <w:rsid w:val="004812DF"/>
    <w:rsid w:val="004C172B"/>
    <w:rsid w:val="004C3CCB"/>
    <w:rsid w:val="00511285"/>
    <w:rsid w:val="005370ED"/>
    <w:rsid w:val="00552A8B"/>
    <w:rsid w:val="0059657D"/>
    <w:rsid w:val="005D6136"/>
    <w:rsid w:val="005E1EDB"/>
    <w:rsid w:val="005E3AD4"/>
    <w:rsid w:val="0060277E"/>
    <w:rsid w:val="00617FDB"/>
    <w:rsid w:val="00623415"/>
    <w:rsid w:val="006966EC"/>
    <w:rsid w:val="006D01AB"/>
    <w:rsid w:val="006D5B74"/>
    <w:rsid w:val="006D7FD0"/>
    <w:rsid w:val="006F0B55"/>
    <w:rsid w:val="00704A99"/>
    <w:rsid w:val="00797306"/>
    <w:rsid w:val="007A29D6"/>
    <w:rsid w:val="007D039E"/>
    <w:rsid w:val="007E15E0"/>
    <w:rsid w:val="007F002F"/>
    <w:rsid w:val="00851C28"/>
    <w:rsid w:val="0087083A"/>
    <w:rsid w:val="009051F7"/>
    <w:rsid w:val="009065F9"/>
    <w:rsid w:val="009176A6"/>
    <w:rsid w:val="0091771B"/>
    <w:rsid w:val="00943729"/>
    <w:rsid w:val="00991E1F"/>
    <w:rsid w:val="00A029FE"/>
    <w:rsid w:val="00A16B73"/>
    <w:rsid w:val="00A2592E"/>
    <w:rsid w:val="00A27F3E"/>
    <w:rsid w:val="00A50CBA"/>
    <w:rsid w:val="00A63746"/>
    <w:rsid w:val="00A712CA"/>
    <w:rsid w:val="00AA6137"/>
    <w:rsid w:val="00B37DC9"/>
    <w:rsid w:val="00B81175"/>
    <w:rsid w:val="00BE33BD"/>
    <w:rsid w:val="00C40196"/>
    <w:rsid w:val="00C937FA"/>
    <w:rsid w:val="00C9531E"/>
    <w:rsid w:val="00CB2E5B"/>
    <w:rsid w:val="00D60D31"/>
    <w:rsid w:val="00E22328"/>
    <w:rsid w:val="00E62D9D"/>
    <w:rsid w:val="00E83A73"/>
    <w:rsid w:val="00F2249F"/>
    <w:rsid w:val="00F77985"/>
    <w:rsid w:val="00F80DE4"/>
    <w:rsid w:val="00F94839"/>
    <w:rsid w:val="00FF231E"/>
    <w:rsid w:val="05EF68DA"/>
    <w:rsid w:val="07A97FBE"/>
    <w:rsid w:val="0B122412"/>
    <w:rsid w:val="11423DE6"/>
    <w:rsid w:val="150A3341"/>
    <w:rsid w:val="1E133AEB"/>
    <w:rsid w:val="1EF558D1"/>
    <w:rsid w:val="20E8636F"/>
    <w:rsid w:val="217A1D1A"/>
    <w:rsid w:val="21E45E53"/>
    <w:rsid w:val="22E213F5"/>
    <w:rsid w:val="27AE0665"/>
    <w:rsid w:val="29F952DE"/>
    <w:rsid w:val="2DD64188"/>
    <w:rsid w:val="36361CEB"/>
    <w:rsid w:val="36502260"/>
    <w:rsid w:val="370831C4"/>
    <w:rsid w:val="3A705E3D"/>
    <w:rsid w:val="45DB0E5E"/>
    <w:rsid w:val="488E6989"/>
    <w:rsid w:val="4EFC5CD5"/>
    <w:rsid w:val="52127260"/>
    <w:rsid w:val="54266F9F"/>
    <w:rsid w:val="585030A0"/>
    <w:rsid w:val="587160B3"/>
    <w:rsid w:val="5F0A66E8"/>
    <w:rsid w:val="61502DE5"/>
    <w:rsid w:val="633F1B2E"/>
    <w:rsid w:val="6B112225"/>
    <w:rsid w:val="6D0B0285"/>
    <w:rsid w:val="6F1F1468"/>
    <w:rsid w:val="706045D3"/>
    <w:rsid w:val="75BA77DE"/>
    <w:rsid w:val="7D187770"/>
    <w:rsid w:val="7E260158"/>
    <w:rsid w:val="7EC8602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kern w:val="44"/>
    </w:rPr>
  </w:style>
  <w:style w:type="character" w:default="1" w:styleId="11">
    <w:name w:val="Default Paragraph Font"/>
    <w:semiHidden/>
    <w:qFormat/>
    <w:uiPriority w:val="0"/>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toc 3"/>
    <w:basedOn w:val="1"/>
    <w:next w:val="1"/>
    <w:semiHidden/>
    <w:uiPriority w:val="0"/>
    <w:pPr>
      <w:ind w:left="840" w:leftChars="400"/>
    </w:pPr>
  </w:style>
  <w:style w:type="paragraph" w:styleId="4">
    <w:name w:val="Plain Text"/>
    <w:basedOn w:val="1"/>
    <w:link w:val="28"/>
    <w:uiPriority w:val="0"/>
    <w:rPr>
      <w:rFonts w:ascii="宋体" w:hAnsi="Courier New" w:cs="Century"/>
      <w:szCs w:val="21"/>
    </w:rPr>
  </w:style>
  <w:style w:type="paragraph" w:styleId="5">
    <w:name w:val="footer"/>
    <w:basedOn w:val="1"/>
    <w:link w:val="27"/>
    <w:uiPriority w:val="0"/>
    <w:pPr>
      <w:tabs>
        <w:tab w:val="center" w:pos="4153"/>
        <w:tab w:val="right" w:pos="8306"/>
      </w:tabs>
      <w:snapToGrid w:val="0"/>
      <w:jc w:val="left"/>
    </w:pPr>
    <w:rPr>
      <w:sz w:val="18"/>
      <w:szCs w:val="18"/>
    </w:rPr>
  </w:style>
  <w:style w:type="paragraph" w:styleId="6">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7">
    <w:name w:val="toc 4"/>
    <w:basedOn w:val="3"/>
    <w:next w:val="1"/>
    <w:semiHidden/>
    <w:qFormat/>
    <w:uiPriority w:val="0"/>
    <w:pPr>
      <w:widowControl/>
      <w:ind w:left="0" w:leftChars="0"/>
    </w:pPr>
    <w:rPr>
      <w:rFonts w:ascii="宋体"/>
      <w:kern w:val="0"/>
      <w:szCs w:val="20"/>
      <w:lang w:val="en-US" w:eastAsia="zh-CN"/>
    </w:rPr>
  </w:style>
  <w:style w:type="paragraph" w:styleId="8">
    <w:name w:val="Subtitle"/>
    <w:basedOn w:val="1"/>
    <w:next w:val="1"/>
    <w:link w:val="30"/>
    <w:qFormat/>
    <w:uiPriority w:val="0"/>
    <w:pPr>
      <w:spacing w:before="240" w:after="60" w:line="312" w:lineRule="auto"/>
      <w:jc w:val="center"/>
      <w:outlineLvl w:val="1"/>
    </w:pPr>
    <w:rPr>
      <w:rFonts w:ascii="Cambria" w:hAnsi="Cambria" w:cs="Times New Roman"/>
      <w:b/>
      <w:bCs/>
      <w:kern w:val="28"/>
      <w:sz w:val="32"/>
      <w:szCs w:val="32"/>
    </w:rPr>
  </w:style>
  <w:style w:type="paragraph" w:styleId="9">
    <w:name w:val="HTML Preformatted"/>
    <w:basedOn w:val="1"/>
    <w:link w:val="3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0">
    <w:name w:val="Normal (Web)"/>
    <w:basedOn w:val="1"/>
    <w:unhideWhenUsed/>
    <w:uiPriority w:val="99"/>
    <w:pPr>
      <w:widowControl/>
      <w:spacing w:before="100" w:beforeLines="0" w:beforeAutospacing="1" w:after="100" w:afterLines="0" w:afterAutospacing="1"/>
      <w:jc w:val="left"/>
    </w:pPr>
    <w:rPr>
      <w:rFonts w:ascii="宋体" w:hAnsi="宋体" w:cs="宋体"/>
      <w:kern w:val="0"/>
      <w:sz w:val="24"/>
    </w:rPr>
  </w:style>
  <w:style w:type="character" w:styleId="12">
    <w:name w:val="Hyperlink"/>
    <w:qFormat/>
    <w:uiPriority w:val="0"/>
    <w:rPr>
      <w:color w:val="136EC2"/>
      <w:u w:val="single"/>
    </w:rPr>
  </w:style>
  <w:style w:type="paragraph" w:customStyle="1" w:styleId="14">
    <w:name w:val="标准书眉_奇数页"/>
    <w:next w:val="1"/>
    <w:qFormat/>
    <w:uiPriority w:val="0"/>
    <w:pPr>
      <w:tabs>
        <w:tab w:val="center" w:pos="4154"/>
        <w:tab w:val="right" w:pos="8306"/>
      </w:tabs>
      <w:spacing w:after="120"/>
      <w:jc w:val="right"/>
    </w:pPr>
    <w:rPr>
      <w:rFonts w:ascii="Calibri" w:hAnsi="Calibri" w:eastAsia="宋体" w:cs="Times New Roman"/>
      <w:sz w:val="21"/>
      <w:szCs w:val="22"/>
      <w:lang w:val="en-US" w:eastAsia="zh-CN" w:bidi="ar-SA"/>
    </w:rPr>
  </w:style>
  <w:style w:type="paragraph" w:customStyle="1" w:styleId="15">
    <w:name w:val="五级条标题"/>
    <w:basedOn w:val="16"/>
    <w:next w:val="20"/>
    <w:uiPriority w:val="0"/>
    <w:pPr>
      <w:outlineLvl w:val="6"/>
    </w:pPr>
  </w:style>
  <w:style w:type="paragraph" w:customStyle="1" w:styleId="16">
    <w:name w:val="四级条标题"/>
    <w:basedOn w:val="17"/>
    <w:next w:val="20"/>
    <w:uiPriority w:val="0"/>
    <w:pPr>
      <w:outlineLvl w:val="5"/>
    </w:pPr>
  </w:style>
  <w:style w:type="paragraph" w:customStyle="1" w:styleId="17">
    <w:name w:val="三级条标题"/>
    <w:basedOn w:val="18"/>
    <w:next w:val="20"/>
    <w:qFormat/>
    <w:uiPriority w:val="0"/>
    <w:pPr>
      <w:outlineLvl w:val="4"/>
    </w:pPr>
  </w:style>
  <w:style w:type="paragraph" w:customStyle="1" w:styleId="18">
    <w:name w:val="二级条标题"/>
    <w:basedOn w:val="19"/>
    <w:next w:val="20"/>
    <w:uiPriority w:val="0"/>
    <w:pPr>
      <w:spacing w:before="50" w:after="50"/>
      <w:outlineLvl w:val="3"/>
    </w:pPr>
  </w:style>
  <w:style w:type="paragraph" w:customStyle="1" w:styleId="19">
    <w:name w:val="一级条标题"/>
    <w:next w:val="20"/>
    <w:qFormat/>
    <w:uiPriority w:val="0"/>
    <w:pPr>
      <w:spacing w:beforeLines="50" w:afterLines="50"/>
      <w:outlineLvl w:val="2"/>
    </w:pPr>
    <w:rPr>
      <w:rFonts w:ascii="黑体" w:hAnsi="Calibri" w:eastAsia="黑体" w:cs="Times New Roman"/>
      <w:sz w:val="21"/>
      <w:szCs w:val="21"/>
      <w:lang w:val="en-US" w:eastAsia="zh-CN" w:bidi="ar-SA"/>
    </w:rPr>
  </w:style>
  <w:style w:type="paragraph" w:customStyle="1" w:styleId="20">
    <w:name w:val="段"/>
    <w:link w:val="29"/>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21">
    <w:name w:val="目次、标准名称标题"/>
    <w:basedOn w:val="1"/>
    <w:next w:val="20"/>
    <w:qFormat/>
    <w:uiPriority w:val="0"/>
    <w:pPr>
      <w:widowControl/>
      <w:shd w:val="clear" w:color="FFFFFF" w:fill="FFFFFF"/>
      <w:spacing w:before="640" w:beforeLines="0" w:after="560" w:afterLines="0" w:line="460" w:lineRule="exact"/>
      <w:jc w:val="center"/>
      <w:outlineLvl w:val="0"/>
    </w:pPr>
    <w:rPr>
      <w:rFonts w:ascii="黑体" w:eastAsia="黑体"/>
      <w:kern w:val="0"/>
      <w:sz w:val="32"/>
      <w:szCs w:val="20"/>
    </w:rPr>
  </w:style>
  <w:style w:type="paragraph" w:customStyle="1" w:styleId="2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3">
    <w:name w:val="p0"/>
    <w:basedOn w:val="1"/>
    <w:qFormat/>
    <w:uiPriority w:val="0"/>
    <w:pPr>
      <w:widowControl/>
    </w:pPr>
    <w:rPr>
      <w:kern w:val="0"/>
      <w:szCs w:val="21"/>
    </w:rPr>
  </w:style>
  <w:style w:type="paragraph" w:customStyle="1" w:styleId="24">
    <w:name w:val="章标题"/>
    <w:next w:val="20"/>
    <w:qFormat/>
    <w:uiPriority w:val="0"/>
    <w:pPr>
      <w:numPr>
        <w:ilvl w:val="1"/>
        <w:numId w:val="1"/>
      </w:numPr>
      <w:spacing w:before="156" w:beforeLines="50" w:after="156" w:afterLines="50"/>
      <w:jc w:val="both"/>
      <w:outlineLvl w:val="1"/>
    </w:pPr>
    <w:rPr>
      <w:rFonts w:ascii="黑体" w:hAnsi="Calibri" w:eastAsia="黑体" w:cs="Times New Roman"/>
      <w:sz w:val="21"/>
      <w:lang w:val="en-US" w:eastAsia="zh-CN" w:bidi="ar-SA"/>
    </w:rPr>
  </w:style>
  <w:style w:type="paragraph" w:styleId="25">
    <w:name w:val="List Paragraph"/>
    <w:basedOn w:val="1"/>
    <w:qFormat/>
    <w:uiPriority w:val="34"/>
    <w:pPr>
      <w:ind w:firstLine="420" w:firstLineChars="200"/>
    </w:pPr>
  </w:style>
  <w:style w:type="paragraph" w:customStyle="1" w:styleId="26">
    <w:name w:val="Char"/>
    <w:basedOn w:val="1"/>
    <w:qFormat/>
    <w:uiPriority w:val="0"/>
    <w:pPr>
      <w:spacing w:line="360" w:lineRule="auto"/>
      <w:ind w:firstLine="200" w:firstLineChars="200"/>
    </w:pPr>
    <w:rPr>
      <w:rFonts w:ascii="宋体" w:hAnsi="宋体" w:cs="宋体"/>
      <w:sz w:val="24"/>
    </w:rPr>
  </w:style>
  <w:style w:type="character" w:customStyle="1" w:styleId="27">
    <w:name w:val="页脚 Char"/>
    <w:basedOn w:val="11"/>
    <w:link w:val="5"/>
    <w:uiPriority w:val="0"/>
    <w:rPr>
      <w:kern w:val="2"/>
      <w:sz w:val="18"/>
      <w:szCs w:val="18"/>
    </w:rPr>
  </w:style>
  <w:style w:type="character" w:customStyle="1" w:styleId="28">
    <w:name w:val="纯文本 Char"/>
    <w:basedOn w:val="11"/>
    <w:link w:val="4"/>
    <w:uiPriority w:val="0"/>
    <w:rPr>
      <w:rFonts w:ascii="宋体" w:hAnsi="Courier New" w:cs="Century"/>
      <w:kern w:val="2"/>
      <w:sz w:val="21"/>
      <w:szCs w:val="21"/>
    </w:rPr>
  </w:style>
  <w:style w:type="character" w:customStyle="1" w:styleId="29">
    <w:name w:val="段 Char Char"/>
    <w:basedOn w:val="11"/>
    <w:link w:val="20"/>
    <w:qFormat/>
    <w:uiPriority w:val="0"/>
    <w:rPr>
      <w:rFonts w:ascii="宋体"/>
      <w:sz w:val="21"/>
      <w:lang w:val="en-US" w:eastAsia="zh-CN" w:bidi="ar-SA"/>
    </w:rPr>
  </w:style>
  <w:style w:type="character" w:customStyle="1" w:styleId="30">
    <w:name w:val="副标题 Char"/>
    <w:basedOn w:val="11"/>
    <w:link w:val="8"/>
    <w:qFormat/>
    <w:uiPriority w:val="0"/>
    <w:rPr>
      <w:rFonts w:ascii="Cambria" w:hAnsi="Cambria" w:cs="Times New Roman"/>
      <w:b/>
      <w:bCs/>
      <w:kern w:val="28"/>
      <w:sz w:val="32"/>
      <w:szCs w:val="32"/>
    </w:rPr>
  </w:style>
  <w:style w:type="character" w:customStyle="1" w:styleId="31">
    <w:name w:val="HTML 预设格式 Char"/>
    <w:basedOn w:val="11"/>
    <w:link w:val="9"/>
    <w:qFormat/>
    <w:uiPriority w:val="99"/>
    <w:rPr>
      <w:rFonts w:ascii="宋体" w:hAnsi="宋体" w:cs="宋体"/>
      <w:sz w:val="24"/>
      <w:szCs w:val="24"/>
    </w:rPr>
  </w:style>
  <w:style w:type="character" w:customStyle="1" w:styleId="32">
    <w:name w:val="页眉 Char"/>
    <w:basedOn w:val="11"/>
    <w:link w:val="6"/>
    <w:qFormat/>
    <w:uiPriority w:val="0"/>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1649</Words>
  <Characters>9405</Characters>
  <Lines>78</Lines>
  <Paragraphs>22</Paragraphs>
  <TotalTime>2</TotalTime>
  <ScaleCrop>false</ScaleCrop>
  <LinksUpToDate>false</LinksUpToDate>
  <CharactersWithSpaces>11032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2020-04-03T10:15:00Z</dcterms:created>
  <dc:creator>微软用户</dc:creator>
  <cp:lastModifiedBy>Administrator</cp:lastModifiedBy>
  <dcterms:modified xsi:type="dcterms:W3CDTF">2020-09-07T03:03:48Z</dcterms:modified>
  <dc:title>　　《标准编制说明》主要包括以下十方面内容： </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