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40"/>
          <w:szCs w:val="40"/>
          <w:lang w:val="en-US" w:eastAsia="zh-CN"/>
        </w:rPr>
      </w:pPr>
      <w:r>
        <w:rPr>
          <w:rFonts w:hint="eastAsia" w:ascii="黑体" w:hAnsi="黑体" w:eastAsia="黑体" w:cs="黑体"/>
          <w:b/>
          <w:bCs/>
          <w:sz w:val="40"/>
          <w:szCs w:val="40"/>
        </w:rPr>
        <w:t>《</w:t>
      </w:r>
      <w:r>
        <w:rPr>
          <w:rFonts w:hint="eastAsia" w:ascii="黑体" w:hAnsi="黑体" w:eastAsia="黑体" w:cs="黑体"/>
          <w:b/>
          <w:bCs/>
          <w:sz w:val="40"/>
          <w:szCs w:val="40"/>
          <w:lang w:val="en-US" w:eastAsia="zh-CN"/>
        </w:rPr>
        <w:t>土猪肉品质分级评价标准</w:t>
      </w:r>
      <w:r>
        <w:rPr>
          <w:rFonts w:hint="eastAsia" w:ascii="黑体" w:hAnsi="黑体" w:eastAsia="黑体" w:cs="黑体"/>
          <w:b/>
          <w:bCs/>
          <w:sz w:val="40"/>
          <w:szCs w:val="40"/>
        </w:rPr>
        <w:t>》</w:t>
      </w:r>
      <w:r>
        <w:rPr>
          <w:rFonts w:hint="eastAsia" w:ascii="黑体" w:hAnsi="黑体" w:eastAsia="黑体" w:cs="黑体"/>
          <w:b/>
          <w:bCs/>
          <w:sz w:val="40"/>
          <w:szCs w:val="40"/>
          <w:lang w:val="en-US" w:eastAsia="zh-CN"/>
        </w:rPr>
        <w:t>编制说明</w:t>
      </w:r>
    </w:p>
    <w:p>
      <w:pPr>
        <w:jc w:val="center"/>
        <w:rPr>
          <w:rFonts w:hint="eastAsia" w:ascii="宋体" w:hAnsi="宋体" w:eastAsia="宋体" w:cs="宋体"/>
          <w:b/>
          <w:bCs/>
          <w:sz w:val="44"/>
          <w:szCs w:val="44"/>
          <w:lang w:val="en-US" w:eastAsia="zh-CN"/>
        </w:rPr>
      </w:pPr>
    </w:p>
    <w:p>
      <w:pPr>
        <w:numPr>
          <w:ilvl w:val="0"/>
          <w:numId w:val="0"/>
        </w:numPr>
        <w:jc w:val="both"/>
        <w:rPr>
          <w:rFonts w:hint="eastAsia" w:ascii="Times New Roman" w:hAnsi="Times New Roman" w:eastAsia="黑体" w:cs="Times New Roman"/>
          <w:kern w:val="2"/>
          <w:sz w:val="24"/>
          <w:szCs w:val="24"/>
          <w:lang w:val="en-US" w:eastAsia="zh-CN" w:bidi="ar-SA"/>
        </w:rPr>
      </w:pPr>
      <w:r>
        <w:rPr>
          <w:rFonts w:hint="eastAsia" w:ascii="Times New Roman" w:hAnsi="Times New Roman" w:eastAsia="黑体" w:cs="Times New Roman"/>
          <w:kern w:val="2"/>
          <w:sz w:val="24"/>
          <w:szCs w:val="24"/>
          <w:lang w:val="en-US" w:eastAsia="zh-CN" w:bidi="ar-SA"/>
        </w:rPr>
        <w:t>前言</w:t>
      </w:r>
    </w:p>
    <w:p>
      <w:pPr>
        <w:adjustRightInd w:val="0"/>
        <w:snapToGrid w:val="0"/>
        <w:spacing w:line="360" w:lineRule="auto"/>
        <w:ind w:firstLine="480" w:firstLineChars="200"/>
        <w:rPr>
          <w:rFonts w:hint="eastAsia" w:ascii="宋体" w:hAnsi="宋体" w:eastAsia="宋体" w:cs="宋体"/>
          <w:bCs/>
          <w:sz w:val="24"/>
          <w:szCs w:val="24"/>
          <w:lang w:eastAsia="zh-CN"/>
        </w:rPr>
      </w:pPr>
      <w:r>
        <w:rPr>
          <w:rFonts w:hint="eastAsia" w:ascii="宋体" w:hAnsi="宋体" w:eastAsia="宋体" w:cs="宋体"/>
          <w:bCs/>
          <w:sz w:val="24"/>
          <w:szCs w:val="24"/>
          <w:lang w:eastAsia="zh-CN"/>
        </w:rPr>
        <w:t>贵州</w:t>
      </w:r>
      <w:r>
        <w:rPr>
          <w:rFonts w:hint="eastAsia" w:ascii="宋体" w:hAnsi="宋体" w:eastAsia="宋体" w:cs="宋体"/>
          <w:bCs/>
          <w:sz w:val="24"/>
          <w:szCs w:val="24"/>
          <w:lang w:val="en-US" w:eastAsia="zh-CN"/>
        </w:rPr>
        <w:t>省</w:t>
      </w:r>
      <w:r>
        <w:rPr>
          <w:rFonts w:hint="eastAsia" w:ascii="宋体" w:hAnsi="宋体" w:eastAsia="宋体" w:cs="宋体"/>
          <w:bCs/>
          <w:sz w:val="24"/>
          <w:szCs w:val="24"/>
          <w:lang w:eastAsia="zh-CN"/>
        </w:rPr>
        <w:t>土猪种质资源丰富，在《贵州省畜禽品种志》中，明确记录猪种共有8个，包括黔北黑猪、黔东花猪、萝卜猪、白洗猪、从江香猪、剑河白香猪、关岭猪和可乐猪。与国内其他猪种相类似，贵州土猪总体均表现出肉质好、耐粗饲的优良性状。以养殖量较多的从江香猪、可乐猪为代表，其利用主要表现为在政府资金政策引导下，引进或培育骨干企业担负品种开发利用，带动周边农户养殖。</w:t>
      </w:r>
      <w:r>
        <w:rPr>
          <w:rFonts w:hint="eastAsia" w:ascii="宋体" w:hAnsi="宋体" w:eastAsia="宋体" w:cs="宋体"/>
          <w:bCs/>
          <w:sz w:val="24"/>
          <w:szCs w:val="24"/>
          <w:lang w:val="en-US" w:eastAsia="zh-CN"/>
        </w:rPr>
        <w:t>现阶段，</w:t>
      </w:r>
      <w:r>
        <w:rPr>
          <w:rFonts w:hint="eastAsia" w:ascii="宋体" w:hAnsi="宋体" w:eastAsia="宋体" w:cs="宋体"/>
          <w:bCs/>
          <w:sz w:val="24"/>
          <w:szCs w:val="24"/>
          <w:lang w:eastAsia="zh-CN"/>
        </w:rPr>
        <w:t>土猪正在成为</w:t>
      </w:r>
      <w:r>
        <w:rPr>
          <w:rFonts w:hint="eastAsia" w:ascii="宋体" w:hAnsi="宋体" w:eastAsia="宋体" w:cs="宋体"/>
          <w:bCs/>
          <w:sz w:val="24"/>
          <w:szCs w:val="24"/>
          <w:lang w:val="en-US" w:eastAsia="zh-CN"/>
        </w:rPr>
        <w:t>贵州山区</w:t>
      </w:r>
      <w:r>
        <w:rPr>
          <w:rFonts w:hint="eastAsia" w:ascii="宋体" w:hAnsi="宋体" w:eastAsia="宋体" w:cs="宋体"/>
          <w:bCs/>
          <w:sz w:val="24"/>
          <w:szCs w:val="24"/>
          <w:lang w:eastAsia="zh-CN"/>
        </w:rPr>
        <w:t>脱贫工作中的重要工具素材。</w:t>
      </w:r>
    </w:p>
    <w:p>
      <w:pPr>
        <w:adjustRightInd w:val="0"/>
        <w:snapToGrid w:val="0"/>
        <w:spacing w:line="360" w:lineRule="auto"/>
        <w:ind w:firstLine="480" w:firstLineChars="200"/>
        <w:rPr>
          <w:rFonts w:hint="eastAsia" w:ascii="宋体" w:hAnsi="宋体" w:eastAsia="宋体" w:cs="宋体"/>
          <w:bCs/>
          <w:sz w:val="24"/>
          <w:szCs w:val="24"/>
          <w:lang w:eastAsia="zh-CN"/>
        </w:rPr>
      </w:pPr>
      <w:r>
        <w:rPr>
          <w:rFonts w:hint="eastAsia" w:ascii="宋体" w:hAnsi="宋体" w:eastAsia="宋体" w:cs="宋体"/>
          <w:bCs/>
          <w:sz w:val="24"/>
          <w:szCs w:val="24"/>
          <w:lang w:eastAsia="zh-CN"/>
        </w:rPr>
        <w:t>近年来，“凉都跑山猪”、“天地自然”、“贵州土猪”等一系列土猪肉涌现市场，然而缺失相关行业标准的监督，企业无法从生产环节着手质量控制，导致品牌建设进程缓慢，部分产品甚至被迫淘汰。项目组前期调查揭示，这一现象最终落脚点还是土猪肉品质不能长期维持稳定，影响消费信心进而影响消费认同，故创建土猪肉品质标准评价体系，支撑我省土猪产业走品牌化发展道路。</w:t>
      </w:r>
    </w:p>
    <w:p>
      <w:pPr>
        <w:adjustRightInd w:val="0"/>
        <w:snapToGrid w:val="0"/>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rPr>
        <w:t>基于这一背景和现状立题，</w:t>
      </w:r>
      <w:r>
        <w:rPr>
          <w:rFonts w:hint="eastAsia" w:ascii="宋体" w:hAnsi="宋体" w:eastAsia="宋体" w:cs="宋体"/>
          <w:bCs/>
          <w:sz w:val="24"/>
          <w:szCs w:val="24"/>
          <w:lang w:eastAsia="zh-CN"/>
        </w:rPr>
        <w:t>为地方特色土猪</w:t>
      </w:r>
      <w:r>
        <w:rPr>
          <w:rFonts w:hint="eastAsia" w:ascii="宋体" w:hAnsi="宋体" w:eastAsia="宋体" w:cs="宋体"/>
          <w:bCs/>
          <w:sz w:val="24"/>
          <w:szCs w:val="24"/>
          <w:lang w:val="en-US" w:eastAsia="zh-CN"/>
        </w:rPr>
        <w:t>肉</w:t>
      </w:r>
      <w:r>
        <w:rPr>
          <w:rFonts w:hint="eastAsia" w:ascii="宋体" w:hAnsi="宋体" w:eastAsia="宋体" w:cs="宋体"/>
          <w:bCs/>
          <w:sz w:val="24"/>
          <w:szCs w:val="24"/>
          <w:lang w:eastAsia="zh-CN"/>
        </w:rPr>
        <w:t>质量控制提供直观参考，</w:t>
      </w:r>
      <w:r>
        <w:rPr>
          <w:rFonts w:hint="eastAsia" w:ascii="宋体" w:hAnsi="宋体" w:eastAsia="宋体" w:cs="宋体"/>
          <w:bCs/>
          <w:sz w:val="24"/>
          <w:szCs w:val="24"/>
          <w:lang w:val="en-US" w:eastAsia="zh-CN"/>
        </w:rPr>
        <w:t>于2019年4月由贵州省畜牧兽医研究所组织申报了《土猪肉品质分级评价标准》地方标准项目。本标准制定，对于合理评价土猪肉品质，</w:t>
      </w:r>
      <w:r>
        <w:rPr>
          <w:rFonts w:hint="eastAsia" w:ascii="宋体" w:hAnsi="宋体" w:eastAsia="宋体" w:cs="宋体"/>
          <w:sz w:val="24"/>
          <w:szCs w:val="24"/>
        </w:rPr>
        <w:t>指导</w:t>
      </w:r>
      <w:r>
        <w:rPr>
          <w:rFonts w:hint="eastAsia" w:ascii="宋体" w:hAnsi="宋体" w:eastAsia="宋体" w:cs="宋体"/>
          <w:sz w:val="24"/>
          <w:szCs w:val="24"/>
          <w:lang w:eastAsia="zh-CN"/>
        </w:rPr>
        <w:t>优质土猪</w:t>
      </w:r>
      <w:r>
        <w:rPr>
          <w:rFonts w:hint="eastAsia" w:ascii="宋体" w:hAnsi="宋体" w:eastAsia="宋体" w:cs="宋体"/>
          <w:sz w:val="24"/>
          <w:szCs w:val="24"/>
        </w:rPr>
        <w:t>养殖</w:t>
      </w:r>
      <w:r>
        <w:rPr>
          <w:rFonts w:hint="eastAsia" w:ascii="宋体" w:hAnsi="宋体" w:eastAsia="宋体" w:cs="宋体"/>
          <w:sz w:val="24"/>
          <w:szCs w:val="24"/>
          <w:lang w:eastAsia="zh-CN"/>
        </w:rPr>
        <w:t>，</w:t>
      </w:r>
      <w:r>
        <w:rPr>
          <w:rFonts w:hint="eastAsia" w:ascii="宋体" w:hAnsi="宋体" w:eastAsia="宋体" w:cs="宋体"/>
          <w:sz w:val="24"/>
          <w:szCs w:val="24"/>
        </w:rPr>
        <w:t>提升</w:t>
      </w:r>
      <w:r>
        <w:rPr>
          <w:rFonts w:hint="eastAsia" w:ascii="宋体" w:hAnsi="宋体" w:eastAsia="宋体" w:cs="宋体"/>
          <w:sz w:val="24"/>
          <w:szCs w:val="24"/>
          <w:lang w:eastAsia="zh-CN"/>
        </w:rPr>
        <w:t>土</w:t>
      </w:r>
      <w:r>
        <w:rPr>
          <w:rFonts w:hint="eastAsia" w:ascii="宋体" w:hAnsi="宋体" w:eastAsia="宋体" w:cs="宋体"/>
          <w:sz w:val="24"/>
          <w:szCs w:val="24"/>
        </w:rPr>
        <w:t>猪养殖业的市场竞争力</w:t>
      </w:r>
      <w:r>
        <w:rPr>
          <w:rFonts w:hint="eastAsia" w:ascii="宋体" w:hAnsi="宋体" w:eastAsia="宋体" w:cs="宋体"/>
          <w:sz w:val="24"/>
          <w:szCs w:val="24"/>
          <w:lang w:val="en-US" w:eastAsia="zh-CN"/>
        </w:rPr>
        <w:t>具有十分重要的意义</w:t>
      </w:r>
      <w:r>
        <w:rPr>
          <w:rFonts w:hint="eastAsia" w:ascii="宋体" w:hAnsi="宋体" w:eastAsia="宋体" w:cs="宋体"/>
          <w:sz w:val="24"/>
          <w:szCs w:val="24"/>
          <w:lang w:eastAsia="zh-CN"/>
        </w:rPr>
        <w:t>。</w:t>
      </w:r>
    </w:p>
    <w:p>
      <w:pPr>
        <w:pStyle w:val="10"/>
        <w:spacing w:line="500" w:lineRule="exact"/>
        <w:ind w:firstLine="0" w:firstLineChars="0"/>
        <w:outlineLvl w:val="0"/>
        <w:rPr>
          <w:rFonts w:hint="eastAsia" w:ascii="Times New Roman" w:eastAsia="黑体"/>
          <w:sz w:val="24"/>
        </w:rPr>
      </w:pPr>
      <w:r>
        <w:rPr>
          <w:rFonts w:ascii="Times New Roman" w:eastAsia="黑体"/>
          <w:kern w:val="2"/>
          <w:sz w:val="24"/>
          <w:szCs w:val="24"/>
        </w:rPr>
        <w:t>一、</w:t>
      </w:r>
      <w:r>
        <w:rPr>
          <w:rFonts w:hint="eastAsia" w:ascii="Times New Roman" w:eastAsia="黑体"/>
          <w:kern w:val="2"/>
          <w:sz w:val="24"/>
          <w:szCs w:val="24"/>
        </w:rPr>
        <w:t>任务的</w:t>
      </w:r>
      <w:r>
        <w:rPr>
          <w:rFonts w:ascii="Times New Roman" w:eastAsia="黑体"/>
          <w:kern w:val="2"/>
          <w:sz w:val="24"/>
          <w:szCs w:val="24"/>
        </w:rPr>
        <w:t>由来</w:t>
      </w:r>
    </w:p>
    <w:p>
      <w:pPr>
        <w:spacing w:line="360" w:lineRule="auto"/>
        <w:ind w:firstLine="537" w:firstLineChars="224"/>
        <w:rPr>
          <w:sz w:val="24"/>
        </w:rPr>
      </w:pPr>
      <w:r>
        <w:rPr>
          <w:sz w:val="24"/>
        </w:rPr>
        <w:t>本</w:t>
      </w:r>
      <w:r>
        <w:rPr>
          <w:rFonts w:hint="eastAsia"/>
          <w:sz w:val="24"/>
          <w:lang w:val="en-US" w:eastAsia="zh-CN"/>
        </w:rPr>
        <w:t>标准</w:t>
      </w:r>
      <w:r>
        <w:rPr>
          <w:sz w:val="24"/>
        </w:rPr>
        <w:t>由</w:t>
      </w:r>
      <w:r>
        <w:rPr>
          <w:rFonts w:hint="eastAsia"/>
          <w:sz w:val="24"/>
          <w:lang w:val="en-US" w:eastAsia="zh-CN"/>
        </w:rPr>
        <w:t>贵州省农业农村厅归口</w:t>
      </w:r>
      <w:r>
        <w:rPr>
          <w:sz w:val="24"/>
        </w:rPr>
        <w:t>，</w:t>
      </w:r>
      <w:r>
        <w:rPr>
          <w:rFonts w:hint="eastAsia"/>
          <w:sz w:val="24"/>
        </w:rPr>
        <w:t>由贵州省市场监管局《关于下达贵州省</w:t>
      </w:r>
      <w:r>
        <w:rPr>
          <w:sz w:val="24"/>
        </w:rPr>
        <w:t>201</w:t>
      </w:r>
      <w:r>
        <w:rPr>
          <w:rFonts w:hint="eastAsia"/>
          <w:sz w:val="24"/>
          <w:lang w:val="en-US" w:eastAsia="zh-CN"/>
        </w:rPr>
        <w:t>9</w:t>
      </w:r>
      <w:r>
        <w:rPr>
          <w:rFonts w:hint="eastAsia"/>
          <w:sz w:val="24"/>
        </w:rPr>
        <w:t>年第</w:t>
      </w:r>
      <w:r>
        <w:rPr>
          <w:rFonts w:hint="eastAsia"/>
          <w:sz w:val="24"/>
          <w:lang w:val="en-US" w:eastAsia="zh-CN"/>
        </w:rPr>
        <w:t>二</w:t>
      </w:r>
      <w:r>
        <w:rPr>
          <w:rFonts w:hint="eastAsia"/>
          <w:sz w:val="24"/>
        </w:rPr>
        <w:t>批标准化项目的通知》批准立项，</w:t>
      </w:r>
      <w:r>
        <w:rPr>
          <w:rFonts w:hint="eastAsia"/>
          <w:sz w:val="24"/>
          <w:lang w:val="en-US" w:eastAsia="zh-CN"/>
        </w:rPr>
        <w:t>贵州省畜牧兽医研究所</w:t>
      </w:r>
      <w:r>
        <w:rPr>
          <w:sz w:val="24"/>
        </w:rPr>
        <w:t>起草制定。</w:t>
      </w:r>
    </w:p>
    <w:p>
      <w:pPr>
        <w:pStyle w:val="10"/>
        <w:spacing w:line="500" w:lineRule="exact"/>
        <w:ind w:firstLine="0" w:firstLineChars="0"/>
        <w:outlineLvl w:val="0"/>
        <w:rPr>
          <w:rFonts w:hint="eastAsia" w:ascii="Times New Roman" w:eastAsia="黑体"/>
          <w:sz w:val="24"/>
        </w:rPr>
      </w:pPr>
      <w:r>
        <w:rPr>
          <w:rFonts w:hint="eastAsia" w:ascii="Times New Roman" w:eastAsia="黑体"/>
          <w:kern w:val="2"/>
          <w:sz w:val="24"/>
          <w:szCs w:val="24"/>
        </w:rPr>
        <w:t>二</w:t>
      </w:r>
      <w:r>
        <w:rPr>
          <w:rFonts w:ascii="Times New Roman" w:eastAsia="黑体"/>
          <w:kern w:val="2"/>
          <w:sz w:val="24"/>
          <w:szCs w:val="24"/>
        </w:rPr>
        <w:t>、</w:t>
      </w:r>
      <w:r>
        <w:rPr>
          <w:rFonts w:hint="eastAsia" w:ascii="Times New Roman" w:eastAsia="黑体"/>
          <w:kern w:val="2"/>
          <w:sz w:val="24"/>
          <w:szCs w:val="24"/>
        </w:rPr>
        <w:t>本标准</w:t>
      </w:r>
      <w:r>
        <w:rPr>
          <w:rFonts w:ascii="Times New Roman" w:eastAsia="黑体"/>
          <w:kern w:val="2"/>
          <w:sz w:val="24"/>
          <w:szCs w:val="24"/>
        </w:rPr>
        <w:t>的主要起草单位及人员</w:t>
      </w:r>
    </w:p>
    <w:p>
      <w:pPr>
        <w:spacing w:line="360" w:lineRule="auto"/>
        <w:jc w:val="center"/>
        <w:rPr>
          <w:rFonts w:hint="eastAsia" w:ascii="宋体" w:hAnsi="宋体" w:eastAsia="宋体" w:cs="宋体"/>
          <w:b/>
          <w:bCs/>
          <w:sz w:val="30"/>
          <w:szCs w:val="30"/>
        </w:rPr>
      </w:pPr>
      <w:r>
        <w:rPr>
          <w:rFonts w:hint="eastAsia"/>
          <w:sz w:val="24"/>
          <w:lang w:val="en-US" w:eastAsia="zh-CN"/>
        </w:rPr>
        <w:t>由</w:t>
      </w:r>
      <w:r>
        <w:rPr>
          <w:sz w:val="24"/>
        </w:rPr>
        <w:t>表</w:t>
      </w:r>
      <w:r>
        <w:rPr>
          <w:rFonts w:hint="eastAsia"/>
          <w:sz w:val="24"/>
          <w:lang w:val="en-US" w:eastAsia="zh-CN"/>
        </w:rPr>
        <w:t>1可知</w:t>
      </w:r>
      <w:r>
        <w:rPr>
          <w:sz w:val="24"/>
        </w:rPr>
        <w:t>《</w:t>
      </w:r>
      <w:r>
        <w:rPr>
          <w:rFonts w:hint="eastAsia"/>
          <w:sz w:val="24"/>
          <w:lang w:val="en-US" w:eastAsia="zh-CN"/>
        </w:rPr>
        <w:t>土猪肉品质分级评价标准</w:t>
      </w:r>
      <w:r>
        <w:rPr>
          <w:sz w:val="24"/>
        </w:rPr>
        <w:t>》主要起草单位及人员一览表</w:t>
      </w:r>
    </w:p>
    <w:tbl>
      <w:tblPr>
        <w:tblStyle w:val="7"/>
        <w:tblW w:w="0" w:type="auto"/>
        <w:jc w:val="center"/>
        <w:tblLayout w:type="fixed"/>
        <w:tblCellMar>
          <w:top w:w="0" w:type="dxa"/>
          <w:left w:w="108" w:type="dxa"/>
          <w:bottom w:w="0" w:type="dxa"/>
          <w:right w:w="108" w:type="dxa"/>
        </w:tblCellMar>
      </w:tblPr>
      <w:tblGrid>
        <w:gridCol w:w="2787"/>
        <w:gridCol w:w="1803"/>
        <w:gridCol w:w="2459"/>
        <w:gridCol w:w="1473"/>
      </w:tblGrid>
      <w:tr>
        <w:tblPrEx>
          <w:tblCellMar>
            <w:top w:w="0" w:type="dxa"/>
            <w:left w:w="108" w:type="dxa"/>
            <w:bottom w:w="0" w:type="dxa"/>
            <w:right w:w="108" w:type="dxa"/>
          </w:tblCellMar>
        </w:tblPrEx>
        <w:trPr>
          <w:trHeight w:val="540" w:hRule="atLeast"/>
          <w:tblHeader/>
          <w:jc w:val="center"/>
        </w:trPr>
        <w:tc>
          <w:tcPr>
            <w:tcW w:w="2787" w:type="dxa"/>
            <w:tcBorders>
              <w:top w:val="single" w:color="000000" w:sz="8" w:space="0"/>
              <w:left w:val="single" w:color="000000" w:sz="8" w:space="0"/>
              <w:bottom w:val="single" w:color="000000" w:sz="8" w:space="0"/>
              <w:right w:val="single" w:color="000000" w:sz="8" w:space="0"/>
            </w:tcBorders>
            <w:noWrap w:val="0"/>
            <w:vAlign w:val="center"/>
          </w:tcPr>
          <w:p>
            <w:pPr>
              <w:widowControl/>
              <w:adjustRightInd w:val="0"/>
              <w:snapToGrid w:val="0"/>
              <w:spacing w:line="240" w:lineRule="exact"/>
              <w:jc w:val="center"/>
              <w:rPr>
                <w:b/>
                <w:kern w:val="0"/>
                <w:szCs w:val="21"/>
              </w:rPr>
            </w:pPr>
            <w:r>
              <w:rPr>
                <w:b/>
                <w:kern w:val="0"/>
                <w:szCs w:val="21"/>
              </w:rPr>
              <w:t>主要起草单位</w:t>
            </w:r>
          </w:p>
        </w:tc>
        <w:tc>
          <w:tcPr>
            <w:tcW w:w="1803" w:type="dxa"/>
            <w:tcBorders>
              <w:top w:val="single" w:color="000000" w:sz="8" w:space="0"/>
              <w:left w:val="nil"/>
              <w:bottom w:val="single" w:color="000000" w:sz="8" w:space="0"/>
              <w:right w:val="single" w:color="000000" w:sz="8" w:space="0"/>
            </w:tcBorders>
            <w:noWrap w:val="0"/>
            <w:vAlign w:val="center"/>
          </w:tcPr>
          <w:p>
            <w:pPr>
              <w:widowControl/>
              <w:adjustRightInd w:val="0"/>
              <w:snapToGrid w:val="0"/>
              <w:spacing w:line="240" w:lineRule="exact"/>
              <w:jc w:val="center"/>
              <w:rPr>
                <w:b/>
                <w:kern w:val="0"/>
                <w:szCs w:val="21"/>
              </w:rPr>
            </w:pPr>
            <w:r>
              <w:rPr>
                <w:b/>
                <w:kern w:val="0"/>
                <w:szCs w:val="21"/>
              </w:rPr>
              <w:t>主要起草人员</w:t>
            </w:r>
          </w:p>
        </w:tc>
        <w:tc>
          <w:tcPr>
            <w:tcW w:w="2459" w:type="dxa"/>
            <w:tcBorders>
              <w:top w:val="single" w:color="000000" w:sz="8" w:space="0"/>
              <w:left w:val="nil"/>
              <w:bottom w:val="single" w:color="000000" w:sz="8" w:space="0"/>
              <w:right w:val="single" w:color="000000" w:sz="8" w:space="0"/>
            </w:tcBorders>
            <w:noWrap w:val="0"/>
            <w:vAlign w:val="center"/>
          </w:tcPr>
          <w:p>
            <w:pPr>
              <w:widowControl/>
              <w:adjustRightInd w:val="0"/>
              <w:snapToGrid w:val="0"/>
              <w:spacing w:line="240" w:lineRule="exact"/>
              <w:jc w:val="center"/>
              <w:rPr>
                <w:b/>
                <w:kern w:val="0"/>
                <w:szCs w:val="21"/>
              </w:rPr>
            </w:pPr>
            <w:r>
              <w:rPr>
                <w:b/>
                <w:kern w:val="0"/>
                <w:szCs w:val="21"/>
              </w:rPr>
              <w:t>职称</w:t>
            </w:r>
          </w:p>
        </w:tc>
        <w:tc>
          <w:tcPr>
            <w:tcW w:w="1473" w:type="dxa"/>
            <w:tcBorders>
              <w:top w:val="single" w:color="000000" w:sz="8" w:space="0"/>
              <w:left w:val="nil"/>
              <w:bottom w:val="single" w:color="000000" w:sz="8" w:space="0"/>
              <w:right w:val="single" w:color="000000" w:sz="8" w:space="0"/>
            </w:tcBorders>
            <w:noWrap w:val="0"/>
            <w:vAlign w:val="center"/>
          </w:tcPr>
          <w:p>
            <w:pPr>
              <w:widowControl/>
              <w:adjustRightInd w:val="0"/>
              <w:snapToGrid w:val="0"/>
              <w:spacing w:line="240" w:lineRule="exact"/>
              <w:jc w:val="center"/>
              <w:rPr>
                <w:b/>
                <w:kern w:val="0"/>
                <w:szCs w:val="21"/>
              </w:rPr>
            </w:pPr>
            <w:r>
              <w:rPr>
                <w:b/>
                <w:kern w:val="0"/>
                <w:szCs w:val="21"/>
              </w:rPr>
              <w:t>任务分工</w:t>
            </w:r>
          </w:p>
        </w:tc>
      </w:tr>
      <w:tr>
        <w:tblPrEx>
          <w:tblCellMar>
            <w:top w:w="0" w:type="dxa"/>
            <w:left w:w="108" w:type="dxa"/>
            <w:bottom w:w="0" w:type="dxa"/>
            <w:right w:w="108" w:type="dxa"/>
          </w:tblCellMar>
        </w:tblPrEx>
        <w:trPr>
          <w:trHeight w:val="419" w:hRule="atLeast"/>
          <w:jc w:val="center"/>
        </w:trPr>
        <w:tc>
          <w:tcPr>
            <w:tcW w:w="2787" w:type="dxa"/>
            <w:tcBorders>
              <w:top w:val="single" w:color="000000" w:sz="8" w:space="0"/>
              <w:left w:val="single" w:color="000000" w:sz="8" w:space="0"/>
              <w:bottom w:val="single" w:color="000000" w:sz="8" w:space="0"/>
              <w:right w:val="single" w:color="000000" w:sz="8" w:space="0"/>
            </w:tcBorders>
            <w:noWrap w:val="0"/>
            <w:vAlign w:val="center"/>
          </w:tcPr>
          <w:p>
            <w:pPr>
              <w:widowControl/>
              <w:adjustRightInd w:val="0"/>
              <w:snapToGrid w:val="0"/>
              <w:spacing w:line="240" w:lineRule="exact"/>
              <w:jc w:val="center"/>
              <w:rPr>
                <w:rFonts w:hint="default" w:eastAsiaTheme="minorEastAsia"/>
                <w:kern w:val="0"/>
                <w:szCs w:val="21"/>
                <w:lang w:val="en-US" w:eastAsia="zh-CN"/>
              </w:rPr>
            </w:pPr>
            <w:r>
              <w:rPr>
                <w:rFonts w:hint="eastAsia"/>
                <w:kern w:val="0"/>
                <w:szCs w:val="21"/>
                <w:lang w:val="en-US" w:eastAsia="zh-CN"/>
              </w:rPr>
              <w:t>贵州省畜牧兽医研究所</w:t>
            </w:r>
          </w:p>
        </w:tc>
        <w:tc>
          <w:tcPr>
            <w:tcW w:w="1803" w:type="dxa"/>
            <w:tcBorders>
              <w:top w:val="single" w:color="000000" w:sz="8" w:space="0"/>
              <w:left w:val="nil"/>
              <w:bottom w:val="single" w:color="000000" w:sz="8" w:space="0"/>
              <w:right w:val="single" w:color="000000" w:sz="8" w:space="0"/>
            </w:tcBorders>
            <w:noWrap w:val="0"/>
            <w:vAlign w:val="center"/>
          </w:tcPr>
          <w:p>
            <w:pPr>
              <w:widowControl/>
              <w:adjustRightInd w:val="0"/>
              <w:snapToGrid w:val="0"/>
              <w:spacing w:line="240" w:lineRule="exact"/>
              <w:jc w:val="center"/>
              <w:rPr>
                <w:rFonts w:hint="eastAsia" w:eastAsiaTheme="minorEastAsia"/>
                <w:kern w:val="0"/>
                <w:szCs w:val="21"/>
                <w:lang w:val="en-US" w:eastAsia="zh-CN"/>
              </w:rPr>
            </w:pPr>
            <w:r>
              <w:rPr>
                <w:rFonts w:hint="eastAsia"/>
                <w:kern w:val="0"/>
                <w:szCs w:val="21"/>
                <w:lang w:val="en-US" w:eastAsia="zh-CN"/>
              </w:rPr>
              <w:t>张  雄</w:t>
            </w:r>
          </w:p>
        </w:tc>
        <w:tc>
          <w:tcPr>
            <w:tcW w:w="2459" w:type="dxa"/>
            <w:tcBorders>
              <w:top w:val="single" w:color="000000" w:sz="8" w:space="0"/>
              <w:left w:val="nil"/>
              <w:bottom w:val="single" w:color="000000" w:sz="8" w:space="0"/>
              <w:right w:val="single" w:color="000000" w:sz="8" w:space="0"/>
            </w:tcBorders>
            <w:noWrap w:val="0"/>
            <w:vAlign w:val="center"/>
          </w:tcPr>
          <w:p>
            <w:pPr>
              <w:widowControl/>
              <w:adjustRightInd w:val="0"/>
              <w:snapToGrid w:val="0"/>
              <w:spacing w:line="240" w:lineRule="exact"/>
              <w:jc w:val="center"/>
              <w:rPr>
                <w:rFonts w:hint="default" w:eastAsiaTheme="minorEastAsia"/>
                <w:kern w:val="0"/>
                <w:szCs w:val="21"/>
                <w:lang w:val="en-US" w:eastAsia="zh-CN"/>
              </w:rPr>
            </w:pPr>
            <w:r>
              <w:rPr>
                <w:rFonts w:hint="eastAsia"/>
                <w:kern w:val="0"/>
                <w:szCs w:val="21"/>
                <w:lang w:val="en-US" w:eastAsia="zh-CN"/>
              </w:rPr>
              <w:t>研究实习员</w:t>
            </w:r>
          </w:p>
        </w:tc>
        <w:tc>
          <w:tcPr>
            <w:tcW w:w="1473" w:type="dxa"/>
            <w:tcBorders>
              <w:top w:val="single" w:color="000000" w:sz="8" w:space="0"/>
              <w:left w:val="nil"/>
              <w:bottom w:val="single" w:color="000000" w:sz="8" w:space="0"/>
              <w:right w:val="single" w:color="000000" w:sz="8" w:space="0"/>
            </w:tcBorders>
            <w:noWrap w:val="0"/>
            <w:vAlign w:val="center"/>
          </w:tcPr>
          <w:p>
            <w:pPr>
              <w:widowControl/>
              <w:adjustRightInd w:val="0"/>
              <w:snapToGrid w:val="0"/>
              <w:spacing w:line="240" w:lineRule="exact"/>
              <w:jc w:val="center"/>
              <w:rPr>
                <w:kern w:val="0"/>
                <w:szCs w:val="21"/>
              </w:rPr>
            </w:pPr>
            <w:r>
              <w:rPr>
                <w:kern w:val="0"/>
                <w:szCs w:val="21"/>
              </w:rPr>
              <w:t>标准起草</w:t>
            </w:r>
          </w:p>
        </w:tc>
      </w:tr>
      <w:tr>
        <w:tblPrEx>
          <w:tblCellMar>
            <w:top w:w="0" w:type="dxa"/>
            <w:left w:w="108" w:type="dxa"/>
            <w:bottom w:w="0" w:type="dxa"/>
            <w:right w:w="108" w:type="dxa"/>
          </w:tblCellMar>
        </w:tblPrEx>
        <w:trPr>
          <w:trHeight w:val="411" w:hRule="atLeast"/>
          <w:jc w:val="center"/>
        </w:trPr>
        <w:tc>
          <w:tcPr>
            <w:tcW w:w="2787" w:type="dxa"/>
            <w:tcBorders>
              <w:top w:val="single" w:color="000000" w:sz="8" w:space="0"/>
              <w:left w:val="single" w:color="000000" w:sz="8" w:space="0"/>
              <w:bottom w:val="single" w:color="000000" w:sz="8" w:space="0"/>
              <w:right w:val="single" w:color="000000" w:sz="8" w:space="0"/>
            </w:tcBorders>
            <w:noWrap w:val="0"/>
            <w:vAlign w:val="center"/>
          </w:tcPr>
          <w:p>
            <w:pPr>
              <w:widowControl/>
              <w:adjustRightInd w:val="0"/>
              <w:snapToGrid w:val="0"/>
              <w:spacing w:line="240" w:lineRule="exact"/>
              <w:jc w:val="center"/>
              <w:rPr>
                <w:kern w:val="0"/>
                <w:szCs w:val="21"/>
              </w:rPr>
            </w:pPr>
            <w:r>
              <w:rPr>
                <w:rFonts w:hint="eastAsia"/>
                <w:kern w:val="0"/>
                <w:szCs w:val="21"/>
                <w:lang w:val="en-US" w:eastAsia="zh-CN"/>
              </w:rPr>
              <w:t>贵州省畜牧兽医研究所</w:t>
            </w:r>
          </w:p>
        </w:tc>
        <w:tc>
          <w:tcPr>
            <w:tcW w:w="1803" w:type="dxa"/>
            <w:tcBorders>
              <w:top w:val="single" w:color="000000" w:sz="8" w:space="0"/>
              <w:left w:val="nil"/>
              <w:bottom w:val="single" w:color="000000" w:sz="8" w:space="0"/>
              <w:right w:val="single" w:color="000000" w:sz="8" w:space="0"/>
            </w:tcBorders>
            <w:noWrap w:val="0"/>
            <w:vAlign w:val="center"/>
          </w:tcPr>
          <w:p>
            <w:pPr>
              <w:widowControl/>
              <w:adjustRightInd w:val="0"/>
              <w:snapToGrid w:val="0"/>
              <w:spacing w:line="240" w:lineRule="exact"/>
              <w:jc w:val="center"/>
              <w:rPr>
                <w:rFonts w:hint="eastAsia" w:eastAsiaTheme="minorEastAsia"/>
                <w:kern w:val="0"/>
                <w:szCs w:val="21"/>
                <w:lang w:val="en-US" w:eastAsia="zh-CN"/>
              </w:rPr>
            </w:pPr>
            <w:r>
              <w:rPr>
                <w:rFonts w:hint="eastAsia"/>
                <w:kern w:val="0"/>
                <w:szCs w:val="21"/>
                <w:lang w:val="en-US" w:eastAsia="zh-CN"/>
              </w:rPr>
              <w:t>王  婧</w:t>
            </w:r>
          </w:p>
        </w:tc>
        <w:tc>
          <w:tcPr>
            <w:tcW w:w="2459" w:type="dxa"/>
            <w:tcBorders>
              <w:top w:val="single" w:color="000000" w:sz="8" w:space="0"/>
              <w:left w:val="nil"/>
              <w:bottom w:val="single" w:color="000000" w:sz="8" w:space="0"/>
              <w:right w:val="single" w:color="000000" w:sz="8" w:space="0"/>
            </w:tcBorders>
            <w:noWrap w:val="0"/>
            <w:vAlign w:val="center"/>
          </w:tcPr>
          <w:p>
            <w:pPr>
              <w:widowControl/>
              <w:adjustRightInd w:val="0"/>
              <w:snapToGrid w:val="0"/>
              <w:spacing w:line="240" w:lineRule="exact"/>
              <w:jc w:val="center"/>
              <w:rPr>
                <w:rFonts w:hint="eastAsia" w:eastAsiaTheme="minorEastAsia"/>
                <w:kern w:val="0"/>
                <w:szCs w:val="21"/>
                <w:lang w:val="en-US" w:eastAsia="zh-CN"/>
              </w:rPr>
            </w:pPr>
            <w:r>
              <w:rPr>
                <w:rFonts w:hint="eastAsia"/>
                <w:kern w:val="0"/>
                <w:szCs w:val="21"/>
                <w:lang w:val="en-US" w:eastAsia="zh-CN"/>
              </w:rPr>
              <w:t>助理研究员</w:t>
            </w:r>
          </w:p>
        </w:tc>
        <w:tc>
          <w:tcPr>
            <w:tcW w:w="1473" w:type="dxa"/>
            <w:tcBorders>
              <w:top w:val="single" w:color="000000" w:sz="8" w:space="0"/>
              <w:left w:val="nil"/>
              <w:bottom w:val="single" w:color="000000" w:sz="8" w:space="0"/>
              <w:right w:val="single" w:color="000000" w:sz="8" w:space="0"/>
            </w:tcBorders>
            <w:noWrap w:val="0"/>
            <w:vAlign w:val="center"/>
          </w:tcPr>
          <w:p>
            <w:pPr>
              <w:widowControl/>
              <w:adjustRightInd w:val="0"/>
              <w:snapToGrid w:val="0"/>
              <w:spacing w:line="240" w:lineRule="exact"/>
              <w:jc w:val="center"/>
              <w:rPr>
                <w:kern w:val="0"/>
                <w:szCs w:val="21"/>
              </w:rPr>
            </w:pPr>
            <w:r>
              <w:rPr>
                <w:kern w:val="0"/>
                <w:szCs w:val="21"/>
              </w:rPr>
              <w:t>标准起草</w:t>
            </w:r>
          </w:p>
        </w:tc>
      </w:tr>
      <w:tr>
        <w:tblPrEx>
          <w:tblCellMar>
            <w:top w:w="0" w:type="dxa"/>
            <w:left w:w="108" w:type="dxa"/>
            <w:bottom w:w="0" w:type="dxa"/>
            <w:right w:w="108" w:type="dxa"/>
          </w:tblCellMar>
        </w:tblPrEx>
        <w:trPr>
          <w:trHeight w:val="402" w:hRule="atLeast"/>
          <w:jc w:val="center"/>
        </w:trPr>
        <w:tc>
          <w:tcPr>
            <w:tcW w:w="2787" w:type="dxa"/>
            <w:tcBorders>
              <w:top w:val="single" w:color="000000" w:sz="8" w:space="0"/>
              <w:left w:val="single" w:color="000000" w:sz="8" w:space="0"/>
              <w:bottom w:val="single" w:color="000000" w:sz="8" w:space="0"/>
              <w:right w:val="single" w:color="000000" w:sz="8" w:space="0"/>
            </w:tcBorders>
            <w:noWrap w:val="0"/>
            <w:vAlign w:val="center"/>
          </w:tcPr>
          <w:p>
            <w:pPr>
              <w:widowControl/>
              <w:adjustRightInd w:val="0"/>
              <w:snapToGrid w:val="0"/>
              <w:spacing w:line="240" w:lineRule="exact"/>
              <w:jc w:val="center"/>
              <w:rPr>
                <w:kern w:val="0"/>
                <w:szCs w:val="21"/>
              </w:rPr>
            </w:pPr>
            <w:r>
              <w:rPr>
                <w:rFonts w:hint="eastAsia"/>
                <w:kern w:val="0"/>
                <w:szCs w:val="21"/>
                <w:lang w:val="en-US" w:eastAsia="zh-CN"/>
              </w:rPr>
              <w:t>贵州省畜牧兽医研究所</w:t>
            </w:r>
          </w:p>
        </w:tc>
        <w:tc>
          <w:tcPr>
            <w:tcW w:w="1803" w:type="dxa"/>
            <w:tcBorders>
              <w:top w:val="single" w:color="000000" w:sz="8" w:space="0"/>
              <w:left w:val="nil"/>
              <w:bottom w:val="single" w:color="000000" w:sz="8" w:space="0"/>
              <w:right w:val="single" w:color="000000" w:sz="8" w:space="0"/>
            </w:tcBorders>
            <w:noWrap w:val="0"/>
            <w:vAlign w:val="center"/>
          </w:tcPr>
          <w:p>
            <w:pPr>
              <w:widowControl/>
              <w:adjustRightInd w:val="0"/>
              <w:snapToGrid w:val="0"/>
              <w:spacing w:line="240" w:lineRule="exact"/>
              <w:jc w:val="center"/>
              <w:rPr>
                <w:rFonts w:hint="eastAsia" w:eastAsiaTheme="minorEastAsia"/>
                <w:kern w:val="0"/>
                <w:szCs w:val="21"/>
                <w:lang w:val="en-US" w:eastAsia="zh-CN"/>
              </w:rPr>
            </w:pPr>
            <w:r>
              <w:rPr>
                <w:rFonts w:hint="eastAsia"/>
                <w:kern w:val="0"/>
                <w:szCs w:val="21"/>
                <w:lang w:val="en-US" w:eastAsia="zh-CN"/>
              </w:rPr>
              <w:t>张  静</w:t>
            </w:r>
          </w:p>
        </w:tc>
        <w:tc>
          <w:tcPr>
            <w:tcW w:w="2459" w:type="dxa"/>
            <w:tcBorders>
              <w:top w:val="single" w:color="000000" w:sz="8" w:space="0"/>
              <w:left w:val="nil"/>
              <w:bottom w:val="single" w:color="000000" w:sz="8" w:space="0"/>
              <w:right w:val="single" w:color="000000" w:sz="8" w:space="0"/>
            </w:tcBorders>
            <w:noWrap w:val="0"/>
            <w:vAlign w:val="center"/>
          </w:tcPr>
          <w:p>
            <w:pPr>
              <w:widowControl/>
              <w:adjustRightInd w:val="0"/>
              <w:snapToGrid w:val="0"/>
              <w:spacing w:line="240" w:lineRule="exact"/>
              <w:jc w:val="center"/>
              <w:rPr>
                <w:kern w:val="0"/>
                <w:szCs w:val="21"/>
              </w:rPr>
            </w:pPr>
            <w:r>
              <w:rPr>
                <w:rFonts w:hint="eastAsia"/>
                <w:kern w:val="0"/>
                <w:szCs w:val="21"/>
                <w:lang w:val="en-US" w:eastAsia="zh-CN"/>
              </w:rPr>
              <w:t>研究实习员</w:t>
            </w:r>
          </w:p>
        </w:tc>
        <w:tc>
          <w:tcPr>
            <w:tcW w:w="1473" w:type="dxa"/>
            <w:tcBorders>
              <w:top w:val="single" w:color="000000" w:sz="8" w:space="0"/>
              <w:left w:val="nil"/>
              <w:bottom w:val="single" w:color="000000" w:sz="8" w:space="0"/>
              <w:right w:val="single" w:color="000000" w:sz="8" w:space="0"/>
            </w:tcBorders>
            <w:noWrap w:val="0"/>
            <w:vAlign w:val="center"/>
          </w:tcPr>
          <w:p>
            <w:pPr>
              <w:widowControl/>
              <w:adjustRightInd w:val="0"/>
              <w:snapToGrid w:val="0"/>
              <w:spacing w:line="240" w:lineRule="exact"/>
              <w:jc w:val="center"/>
              <w:rPr>
                <w:rFonts w:hint="default" w:eastAsiaTheme="minorEastAsia"/>
                <w:kern w:val="0"/>
                <w:szCs w:val="21"/>
                <w:lang w:val="en-US" w:eastAsia="zh-CN"/>
              </w:rPr>
            </w:pPr>
            <w:r>
              <w:rPr>
                <w:rFonts w:hint="eastAsia"/>
                <w:kern w:val="0"/>
                <w:szCs w:val="21"/>
                <w:lang w:val="en-US" w:eastAsia="zh-CN"/>
              </w:rPr>
              <w:t>样品采集</w:t>
            </w:r>
          </w:p>
        </w:tc>
      </w:tr>
      <w:tr>
        <w:tblPrEx>
          <w:tblCellMar>
            <w:top w:w="0" w:type="dxa"/>
            <w:left w:w="108" w:type="dxa"/>
            <w:bottom w:w="0" w:type="dxa"/>
            <w:right w:w="108" w:type="dxa"/>
          </w:tblCellMar>
        </w:tblPrEx>
        <w:trPr>
          <w:trHeight w:val="402" w:hRule="atLeast"/>
          <w:jc w:val="center"/>
        </w:trPr>
        <w:tc>
          <w:tcPr>
            <w:tcW w:w="2787" w:type="dxa"/>
            <w:tcBorders>
              <w:top w:val="single" w:color="000000" w:sz="8" w:space="0"/>
              <w:left w:val="single" w:color="000000" w:sz="8" w:space="0"/>
              <w:bottom w:val="single" w:color="000000" w:sz="8" w:space="0"/>
              <w:right w:val="single" w:color="000000" w:sz="8" w:space="0"/>
            </w:tcBorders>
            <w:noWrap w:val="0"/>
            <w:vAlign w:val="center"/>
          </w:tcPr>
          <w:p>
            <w:pPr>
              <w:widowControl/>
              <w:adjustRightInd w:val="0"/>
              <w:snapToGrid w:val="0"/>
              <w:spacing w:line="240" w:lineRule="exact"/>
              <w:jc w:val="center"/>
              <w:rPr>
                <w:kern w:val="0"/>
                <w:szCs w:val="21"/>
              </w:rPr>
            </w:pPr>
            <w:r>
              <w:rPr>
                <w:rFonts w:hint="eastAsia"/>
                <w:kern w:val="0"/>
                <w:szCs w:val="21"/>
                <w:lang w:val="en-US" w:eastAsia="zh-CN"/>
              </w:rPr>
              <w:t>贵州省畜牧兽医研究所</w:t>
            </w:r>
          </w:p>
        </w:tc>
        <w:tc>
          <w:tcPr>
            <w:tcW w:w="1803" w:type="dxa"/>
            <w:tcBorders>
              <w:top w:val="single" w:color="000000" w:sz="8" w:space="0"/>
              <w:left w:val="nil"/>
              <w:bottom w:val="single" w:color="000000" w:sz="8" w:space="0"/>
              <w:right w:val="single" w:color="000000" w:sz="8" w:space="0"/>
            </w:tcBorders>
            <w:noWrap w:val="0"/>
            <w:vAlign w:val="center"/>
          </w:tcPr>
          <w:p>
            <w:pPr>
              <w:widowControl/>
              <w:adjustRightInd w:val="0"/>
              <w:snapToGrid w:val="0"/>
              <w:spacing w:line="240" w:lineRule="exact"/>
              <w:jc w:val="center"/>
              <w:rPr>
                <w:rFonts w:hint="eastAsia" w:eastAsiaTheme="minorEastAsia"/>
                <w:kern w:val="0"/>
                <w:szCs w:val="21"/>
                <w:lang w:val="en-US" w:eastAsia="zh-CN"/>
              </w:rPr>
            </w:pPr>
            <w:r>
              <w:rPr>
                <w:rFonts w:hint="eastAsia"/>
                <w:kern w:val="0"/>
                <w:szCs w:val="21"/>
                <w:lang w:val="en-US" w:eastAsia="zh-CN"/>
              </w:rPr>
              <w:t>杜春林</w:t>
            </w:r>
          </w:p>
        </w:tc>
        <w:tc>
          <w:tcPr>
            <w:tcW w:w="2459" w:type="dxa"/>
            <w:tcBorders>
              <w:top w:val="single" w:color="000000" w:sz="8" w:space="0"/>
              <w:left w:val="nil"/>
              <w:bottom w:val="single" w:color="000000" w:sz="8" w:space="0"/>
              <w:right w:val="single" w:color="000000" w:sz="8" w:space="0"/>
            </w:tcBorders>
            <w:noWrap w:val="0"/>
            <w:vAlign w:val="center"/>
          </w:tcPr>
          <w:p>
            <w:pPr>
              <w:widowControl/>
              <w:adjustRightInd w:val="0"/>
              <w:snapToGrid w:val="0"/>
              <w:spacing w:line="240" w:lineRule="exact"/>
              <w:jc w:val="center"/>
              <w:rPr>
                <w:kern w:val="0"/>
                <w:szCs w:val="21"/>
              </w:rPr>
            </w:pPr>
            <w:r>
              <w:rPr>
                <w:rFonts w:hint="eastAsia"/>
                <w:kern w:val="0"/>
                <w:szCs w:val="21"/>
                <w:lang w:val="en-US" w:eastAsia="zh-CN"/>
              </w:rPr>
              <w:t>研究实习员</w:t>
            </w:r>
          </w:p>
        </w:tc>
        <w:tc>
          <w:tcPr>
            <w:tcW w:w="1473" w:type="dxa"/>
            <w:tcBorders>
              <w:top w:val="single" w:color="000000" w:sz="8" w:space="0"/>
              <w:left w:val="nil"/>
              <w:bottom w:val="single" w:color="000000" w:sz="8" w:space="0"/>
              <w:right w:val="single" w:color="000000" w:sz="8" w:space="0"/>
            </w:tcBorders>
            <w:noWrap w:val="0"/>
            <w:vAlign w:val="center"/>
          </w:tcPr>
          <w:p>
            <w:pPr>
              <w:widowControl/>
              <w:adjustRightInd w:val="0"/>
              <w:snapToGrid w:val="0"/>
              <w:spacing w:line="240" w:lineRule="exact"/>
              <w:jc w:val="center"/>
              <w:rPr>
                <w:kern w:val="0"/>
                <w:szCs w:val="21"/>
              </w:rPr>
            </w:pPr>
            <w:r>
              <w:rPr>
                <w:kern w:val="0"/>
                <w:szCs w:val="21"/>
              </w:rPr>
              <w:t>实地调查</w:t>
            </w:r>
          </w:p>
        </w:tc>
      </w:tr>
      <w:tr>
        <w:tblPrEx>
          <w:tblCellMar>
            <w:top w:w="0" w:type="dxa"/>
            <w:left w:w="108" w:type="dxa"/>
            <w:bottom w:w="0" w:type="dxa"/>
            <w:right w:w="108" w:type="dxa"/>
          </w:tblCellMar>
        </w:tblPrEx>
        <w:trPr>
          <w:trHeight w:val="402" w:hRule="atLeast"/>
          <w:jc w:val="center"/>
        </w:trPr>
        <w:tc>
          <w:tcPr>
            <w:tcW w:w="2787" w:type="dxa"/>
            <w:tcBorders>
              <w:top w:val="single" w:color="000000" w:sz="8" w:space="0"/>
              <w:left w:val="single" w:color="000000" w:sz="8" w:space="0"/>
              <w:bottom w:val="single" w:color="000000" w:sz="8" w:space="0"/>
              <w:right w:val="single" w:color="000000" w:sz="8" w:space="0"/>
            </w:tcBorders>
            <w:noWrap w:val="0"/>
            <w:vAlign w:val="center"/>
          </w:tcPr>
          <w:p>
            <w:pPr>
              <w:widowControl/>
              <w:adjustRightInd w:val="0"/>
              <w:snapToGrid w:val="0"/>
              <w:spacing w:line="240" w:lineRule="exact"/>
              <w:jc w:val="center"/>
              <w:rPr>
                <w:kern w:val="0"/>
                <w:szCs w:val="21"/>
              </w:rPr>
            </w:pPr>
            <w:r>
              <w:rPr>
                <w:rFonts w:hint="eastAsia"/>
                <w:kern w:val="0"/>
                <w:szCs w:val="21"/>
                <w:lang w:val="en-US" w:eastAsia="zh-CN"/>
              </w:rPr>
              <w:t>贵州省畜牧兽医研究所</w:t>
            </w:r>
          </w:p>
        </w:tc>
        <w:tc>
          <w:tcPr>
            <w:tcW w:w="1803" w:type="dxa"/>
            <w:tcBorders>
              <w:top w:val="single" w:color="000000" w:sz="8" w:space="0"/>
              <w:left w:val="nil"/>
              <w:bottom w:val="single" w:color="000000" w:sz="8" w:space="0"/>
              <w:right w:val="single" w:color="000000" w:sz="8" w:space="0"/>
            </w:tcBorders>
            <w:noWrap w:val="0"/>
            <w:vAlign w:val="center"/>
          </w:tcPr>
          <w:p>
            <w:pPr>
              <w:widowControl/>
              <w:adjustRightInd w:val="0"/>
              <w:snapToGrid w:val="0"/>
              <w:spacing w:line="240" w:lineRule="exact"/>
              <w:jc w:val="center"/>
              <w:rPr>
                <w:rFonts w:hint="default" w:eastAsiaTheme="minorEastAsia"/>
                <w:kern w:val="0"/>
                <w:szCs w:val="21"/>
                <w:lang w:val="en-US" w:eastAsia="zh-CN"/>
              </w:rPr>
            </w:pPr>
            <w:r>
              <w:rPr>
                <w:rFonts w:hint="eastAsia"/>
                <w:kern w:val="0"/>
                <w:szCs w:val="21"/>
                <w:lang w:val="en-US" w:eastAsia="zh-CN"/>
              </w:rPr>
              <w:t>赵春萍</w:t>
            </w:r>
          </w:p>
        </w:tc>
        <w:tc>
          <w:tcPr>
            <w:tcW w:w="2459" w:type="dxa"/>
            <w:tcBorders>
              <w:top w:val="single" w:color="000000" w:sz="8" w:space="0"/>
              <w:left w:val="nil"/>
              <w:bottom w:val="single" w:color="000000" w:sz="8" w:space="0"/>
              <w:right w:val="single" w:color="000000" w:sz="8" w:space="0"/>
            </w:tcBorders>
            <w:noWrap w:val="0"/>
            <w:vAlign w:val="center"/>
          </w:tcPr>
          <w:p>
            <w:pPr>
              <w:widowControl/>
              <w:adjustRightInd w:val="0"/>
              <w:snapToGrid w:val="0"/>
              <w:spacing w:line="240" w:lineRule="exact"/>
              <w:jc w:val="center"/>
              <w:rPr>
                <w:kern w:val="0"/>
                <w:szCs w:val="21"/>
              </w:rPr>
            </w:pPr>
            <w:r>
              <w:rPr>
                <w:rFonts w:hint="eastAsia"/>
                <w:kern w:val="0"/>
                <w:szCs w:val="21"/>
                <w:lang w:val="en-US" w:eastAsia="zh-CN"/>
              </w:rPr>
              <w:t>助理研究员</w:t>
            </w:r>
          </w:p>
        </w:tc>
        <w:tc>
          <w:tcPr>
            <w:tcW w:w="1473" w:type="dxa"/>
            <w:tcBorders>
              <w:top w:val="single" w:color="000000" w:sz="8" w:space="0"/>
              <w:left w:val="nil"/>
              <w:bottom w:val="single" w:color="000000" w:sz="8" w:space="0"/>
              <w:right w:val="single" w:color="000000" w:sz="8" w:space="0"/>
            </w:tcBorders>
            <w:noWrap w:val="0"/>
            <w:vAlign w:val="center"/>
          </w:tcPr>
          <w:p>
            <w:pPr>
              <w:widowControl/>
              <w:adjustRightInd w:val="0"/>
              <w:snapToGrid w:val="0"/>
              <w:spacing w:line="240" w:lineRule="exact"/>
              <w:jc w:val="center"/>
              <w:rPr>
                <w:rFonts w:hint="default" w:eastAsiaTheme="minorEastAsia"/>
                <w:kern w:val="0"/>
                <w:szCs w:val="21"/>
                <w:lang w:val="en-US" w:eastAsia="zh-CN"/>
              </w:rPr>
            </w:pPr>
            <w:r>
              <w:rPr>
                <w:rFonts w:hint="eastAsia"/>
                <w:kern w:val="0"/>
                <w:szCs w:val="21"/>
                <w:lang w:val="en-US" w:eastAsia="zh-CN"/>
              </w:rPr>
              <w:t>肉质测定</w:t>
            </w:r>
          </w:p>
        </w:tc>
      </w:tr>
      <w:tr>
        <w:tblPrEx>
          <w:tblCellMar>
            <w:top w:w="0" w:type="dxa"/>
            <w:left w:w="108" w:type="dxa"/>
            <w:bottom w:w="0" w:type="dxa"/>
            <w:right w:w="108" w:type="dxa"/>
          </w:tblCellMar>
        </w:tblPrEx>
        <w:trPr>
          <w:trHeight w:val="408" w:hRule="atLeast"/>
          <w:jc w:val="center"/>
        </w:trPr>
        <w:tc>
          <w:tcPr>
            <w:tcW w:w="2787" w:type="dxa"/>
            <w:tcBorders>
              <w:top w:val="single" w:color="000000" w:sz="8" w:space="0"/>
              <w:left w:val="single" w:color="000000" w:sz="8" w:space="0"/>
              <w:bottom w:val="single" w:color="000000" w:sz="8" w:space="0"/>
              <w:right w:val="single" w:color="000000" w:sz="8" w:space="0"/>
            </w:tcBorders>
            <w:noWrap w:val="0"/>
            <w:vAlign w:val="center"/>
          </w:tcPr>
          <w:p>
            <w:pPr>
              <w:widowControl/>
              <w:adjustRightInd w:val="0"/>
              <w:snapToGrid w:val="0"/>
              <w:spacing w:line="240" w:lineRule="exact"/>
              <w:jc w:val="center"/>
              <w:rPr>
                <w:kern w:val="0"/>
                <w:szCs w:val="21"/>
              </w:rPr>
            </w:pPr>
            <w:r>
              <w:rPr>
                <w:rFonts w:hint="eastAsia"/>
                <w:kern w:val="0"/>
                <w:szCs w:val="21"/>
                <w:lang w:val="en-US" w:eastAsia="zh-CN"/>
              </w:rPr>
              <w:t>贵州省畜牧兽医研究所</w:t>
            </w:r>
          </w:p>
        </w:tc>
        <w:tc>
          <w:tcPr>
            <w:tcW w:w="1803" w:type="dxa"/>
            <w:tcBorders>
              <w:top w:val="single" w:color="000000" w:sz="8" w:space="0"/>
              <w:left w:val="nil"/>
              <w:bottom w:val="single" w:color="000000" w:sz="8" w:space="0"/>
              <w:right w:val="single" w:color="000000" w:sz="8" w:space="0"/>
            </w:tcBorders>
            <w:noWrap w:val="0"/>
            <w:vAlign w:val="center"/>
          </w:tcPr>
          <w:p>
            <w:pPr>
              <w:widowControl/>
              <w:adjustRightInd w:val="0"/>
              <w:snapToGrid w:val="0"/>
              <w:spacing w:line="240" w:lineRule="exact"/>
              <w:jc w:val="center"/>
              <w:rPr>
                <w:rFonts w:hint="eastAsia" w:eastAsiaTheme="minorEastAsia"/>
                <w:kern w:val="0"/>
                <w:szCs w:val="21"/>
                <w:lang w:val="en-US" w:eastAsia="zh-CN"/>
              </w:rPr>
            </w:pPr>
            <w:r>
              <w:rPr>
                <w:rFonts w:hint="eastAsia"/>
                <w:kern w:val="0"/>
                <w:szCs w:val="21"/>
                <w:lang w:val="en-US" w:eastAsia="zh-CN"/>
              </w:rPr>
              <w:t>史开志</w:t>
            </w:r>
          </w:p>
        </w:tc>
        <w:tc>
          <w:tcPr>
            <w:tcW w:w="2459" w:type="dxa"/>
            <w:tcBorders>
              <w:top w:val="single" w:color="000000" w:sz="8" w:space="0"/>
              <w:left w:val="nil"/>
              <w:bottom w:val="single" w:color="000000" w:sz="8" w:space="0"/>
              <w:right w:val="single" w:color="000000" w:sz="8" w:space="0"/>
            </w:tcBorders>
            <w:noWrap w:val="0"/>
            <w:vAlign w:val="center"/>
          </w:tcPr>
          <w:p>
            <w:pPr>
              <w:widowControl/>
              <w:adjustRightInd w:val="0"/>
              <w:snapToGrid w:val="0"/>
              <w:spacing w:line="240" w:lineRule="exact"/>
              <w:jc w:val="center"/>
              <w:rPr>
                <w:rFonts w:hint="eastAsia" w:eastAsiaTheme="minorEastAsia"/>
                <w:kern w:val="0"/>
                <w:szCs w:val="21"/>
                <w:lang w:val="en-US" w:eastAsia="zh-CN"/>
              </w:rPr>
            </w:pPr>
            <w:r>
              <w:rPr>
                <w:rFonts w:hint="eastAsia"/>
                <w:kern w:val="0"/>
                <w:szCs w:val="21"/>
                <w:lang w:val="en-US" w:eastAsia="zh-CN"/>
              </w:rPr>
              <w:t>副研究员</w:t>
            </w:r>
          </w:p>
        </w:tc>
        <w:tc>
          <w:tcPr>
            <w:tcW w:w="1473" w:type="dxa"/>
            <w:tcBorders>
              <w:top w:val="single" w:color="000000" w:sz="8" w:space="0"/>
              <w:left w:val="nil"/>
              <w:bottom w:val="single" w:color="000000" w:sz="8" w:space="0"/>
              <w:right w:val="single" w:color="000000" w:sz="8" w:space="0"/>
            </w:tcBorders>
            <w:noWrap w:val="0"/>
            <w:vAlign w:val="center"/>
          </w:tcPr>
          <w:p>
            <w:pPr>
              <w:widowControl/>
              <w:adjustRightInd w:val="0"/>
              <w:snapToGrid w:val="0"/>
              <w:spacing w:line="240" w:lineRule="exact"/>
              <w:jc w:val="center"/>
              <w:rPr>
                <w:kern w:val="0"/>
                <w:szCs w:val="21"/>
              </w:rPr>
            </w:pPr>
            <w:r>
              <w:rPr>
                <w:kern w:val="0"/>
                <w:szCs w:val="21"/>
              </w:rPr>
              <w:t>标准起草</w:t>
            </w:r>
          </w:p>
        </w:tc>
      </w:tr>
      <w:tr>
        <w:tblPrEx>
          <w:tblCellMar>
            <w:top w:w="0" w:type="dxa"/>
            <w:left w:w="108" w:type="dxa"/>
            <w:bottom w:w="0" w:type="dxa"/>
            <w:right w:w="108" w:type="dxa"/>
          </w:tblCellMar>
        </w:tblPrEx>
        <w:trPr>
          <w:trHeight w:val="414" w:hRule="atLeast"/>
          <w:jc w:val="center"/>
        </w:trPr>
        <w:tc>
          <w:tcPr>
            <w:tcW w:w="2787" w:type="dxa"/>
            <w:tcBorders>
              <w:top w:val="single" w:color="000000" w:sz="8" w:space="0"/>
              <w:left w:val="single" w:color="000000" w:sz="8" w:space="0"/>
              <w:bottom w:val="single" w:color="000000" w:sz="8" w:space="0"/>
              <w:right w:val="single" w:color="000000" w:sz="8" w:space="0"/>
            </w:tcBorders>
            <w:noWrap w:val="0"/>
            <w:vAlign w:val="center"/>
          </w:tcPr>
          <w:p>
            <w:pPr>
              <w:widowControl/>
              <w:adjustRightInd w:val="0"/>
              <w:snapToGrid w:val="0"/>
              <w:spacing w:line="240" w:lineRule="exact"/>
              <w:jc w:val="center"/>
              <w:rPr>
                <w:kern w:val="0"/>
                <w:szCs w:val="21"/>
              </w:rPr>
            </w:pPr>
            <w:r>
              <w:rPr>
                <w:rFonts w:hint="eastAsia"/>
                <w:kern w:val="0"/>
                <w:szCs w:val="21"/>
                <w:lang w:val="en-US" w:eastAsia="zh-CN"/>
              </w:rPr>
              <w:t>贵州省畜牧兽医研究所</w:t>
            </w:r>
          </w:p>
        </w:tc>
        <w:tc>
          <w:tcPr>
            <w:tcW w:w="1803" w:type="dxa"/>
            <w:tcBorders>
              <w:top w:val="single" w:color="000000" w:sz="8" w:space="0"/>
              <w:left w:val="nil"/>
              <w:bottom w:val="single" w:color="000000" w:sz="8" w:space="0"/>
              <w:right w:val="single" w:color="000000" w:sz="8" w:space="0"/>
            </w:tcBorders>
            <w:noWrap w:val="0"/>
            <w:vAlign w:val="center"/>
          </w:tcPr>
          <w:p>
            <w:pPr>
              <w:widowControl/>
              <w:adjustRightInd w:val="0"/>
              <w:snapToGrid w:val="0"/>
              <w:spacing w:line="240" w:lineRule="exact"/>
              <w:jc w:val="center"/>
              <w:rPr>
                <w:rFonts w:hint="default" w:eastAsiaTheme="minorEastAsia"/>
                <w:kern w:val="0"/>
                <w:szCs w:val="21"/>
                <w:lang w:val="en-US" w:eastAsia="zh-CN"/>
              </w:rPr>
            </w:pPr>
            <w:r>
              <w:rPr>
                <w:rFonts w:hint="eastAsia"/>
                <w:kern w:val="0"/>
                <w:szCs w:val="21"/>
                <w:lang w:val="en-US" w:eastAsia="zh-CN"/>
              </w:rPr>
              <w:t>周思旋</w:t>
            </w:r>
          </w:p>
        </w:tc>
        <w:tc>
          <w:tcPr>
            <w:tcW w:w="2459" w:type="dxa"/>
            <w:tcBorders>
              <w:top w:val="single" w:color="000000" w:sz="8" w:space="0"/>
              <w:left w:val="nil"/>
              <w:bottom w:val="single" w:color="000000" w:sz="8" w:space="0"/>
              <w:right w:val="single" w:color="000000" w:sz="8" w:space="0"/>
            </w:tcBorders>
            <w:noWrap w:val="0"/>
            <w:vAlign w:val="center"/>
          </w:tcPr>
          <w:p>
            <w:pPr>
              <w:widowControl/>
              <w:adjustRightInd w:val="0"/>
              <w:snapToGrid w:val="0"/>
              <w:spacing w:line="240" w:lineRule="exact"/>
              <w:jc w:val="center"/>
              <w:rPr>
                <w:kern w:val="0"/>
                <w:szCs w:val="21"/>
              </w:rPr>
            </w:pPr>
            <w:r>
              <w:rPr>
                <w:rFonts w:hint="eastAsia"/>
                <w:kern w:val="0"/>
                <w:szCs w:val="21"/>
                <w:lang w:val="en-US" w:eastAsia="zh-CN"/>
              </w:rPr>
              <w:t>副研究员</w:t>
            </w:r>
          </w:p>
        </w:tc>
        <w:tc>
          <w:tcPr>
            <w:tcW w:w="1473" w:type="dxa"/>
            <w:tcBorders>
              <w:top w:val="single" w:color="000000" w:sz="8" w:space="0"/>
              <w:left w:val="nil"/>
              <w:bottom w:val="single" w:color="000000" w:sz="8" w:space="0"/>
              <w:right w:val="single" w:color="000000" w:sz="8" w:space="0"/>
            </w:tcBorders>
            <w:noWrap w:val="0"/>
            <w:vAlign w:val="center"/>
          </w:tcPr>
          <w:p>
            <w:pPr>
              <w:widowControl/>
              <w:adjustRightInd w:val="0"/>
              <w:snapToGrid w:val="0"/>
              <w:spacing w:line="240" w:lineRule="exact"/>
              <w:jc w:val="center"/>
              <w:rPr>
                <w:rFonts w:hint="default" w:eastAsiaTheme="minorEastAsia"/>
                <w:kern w:val="0"/>
                <w:szCs w:val="21"/>
                <w:lang w:val="en-US" w:eastAsia="zh-CN"/>
              </w:rPr>
            </w:pPr>
            <w:r>
              <w:rPr>
                <w:rFonts w:hint="eastAsia"/>
                <w:kern w:val="0"/>
                <w:szCs w:val="21"/>
                <w:lang w:val="en-US" w:eastAsia="zh-CN"/>
              </w:rPr>
              <w:t>数据分析</w:t>
            </w:r>
          </w:p>
        </w:tc>
      </w:tr>
    </w:tbl>
    <w:p>
      <w:pPr>
        <w:pStyle w:val="10"/>
        <w:keepNext w:val="0"/>
        <w:keepLines w:val="0"/>
        <w:pageBreakBefore w:val="0"/>
        <w:kinsoku/>
        <w:wordWrap/>
        <w:overflowPunct/>
        <w:topLinePunct w:val="0"/>
        <w:bidi w:val="0"/>
        <w:spacing w:line="360" w:lineRule="auto"/>
        <w:ind w:left="0" w:leftChars="0" w:firstLine="0" w:firstLineChars="0"/>
        <w:textAlignment w:val="auto"/>
        <w:outlineLvl w:val="0"/>
        <w:rPr>
          <w:rFonts w:hint="eastAsia" w:ascii="Times New Roman" w:eastAsia="黑体"/>
          <w:sz w:val="24"/>
        </w:rPr>
      </w:pPr>
      <w:r>
        <w:rPr>
          <w:rFonts w:hint="eastAsia" w:ascii="Times New Roman" w:eastAsia="黑体"/>
          <w:kern w:val="2"/>
          <w:sz w:val="24"/>
          <w:szCs w:val="24"/>
        </w:rPr>
        <w:t>三</w:t>
      </w:r>
      <w:r>
        <w:rPr>
          <w:rFonts w:ascii="Times New Roman" w:eastAsia="黑体"/>
          <w:kern w:val="2"/>
          <w:sz w:val="24"/>
          <w:szCs w:val="24"/>
        </w:rPr>
        <w:t>、</w:t>
      </w:r>
      <w:r>
        <w:rPr>
          <w:rFonts w:hint="eastAsia" w:ascii="Times New Roman" w:eastAsia="黑体"/>
          <w:kern w:val="2"/>
          <w:sz w:val="24"/>
          <w:szCs w:val="24"/>
        </w:rPr>
        <w:t>本标准起草过程</w:t>
      </w:r>
    </w:p>
    <w:p>
      <w:pPr>
        <w:pStyle w:val="10"/>
        <w:keepNext w:val="0"/>
        <w:keepLines w:val="0"/>
        <w:pageBreakBefore w:val="0"/>
        <w:kinsoku/>
        <w:wordWrap/>
        <w:overflowPunct/>
        <w:topLinePunct w:val="0"/>
        <w:bidi w:val="0"/>
        <w:spacing w:line="360" w:lineRule="auto"/>
        <w:ind w:firstLine="480" w:firstLineChars="200"/>
        <w:textAlignment w:val="auto"/>
        <w:rPr>
          <w:rFonts w:ascii="Times New Roman"/>
          <w:sz w:val="24"/>
        </w:rPr>
      </w:pPr>
      <w:r>
        <w:rPr>
          <w:rFonts w:ascii="Times New Roman"/>
          <w:sz w:val="24"/>
        </w:rPr>
        <w:t>本</w:t>
      </w:r>
      <w:r>
        <w:rPr>
          <w:rFonts w:hint="eastAsia" w:ascii="Times New Roman"/>
          <w:sz w:val="24"/>
          <w:lang w:val="en-US" w:eastAsia="zh-CN"/>
        </w:rPr>
        <w:t>标准</w:t>
      </w:r>
      <w:r>
        <w:rPr>
          <w:rFonts w:ascii="Times New Roman"/>
          <w:sz w:val="24"/>
        </w:rPr>
        <w:t>编制期限为201</w:t>
      </w:r>
      <w:r>
        <w:rPr>
          <w:rFonts w:hint="eastAsia" w:ascii="Times New Roman"/>
          <w:sz w:val="24"/>
          <w:lang w:val="en-US" w:eastAsia="zh-CN"/>
        </w:rPr>
        <w:t>9</w:t>
      </w:r>
      <w:r>
        <w:rPr>
          <w:rFonts w:ascii="Times New Roman"/>
          <w:sz w:val="24"/>
        </w:rPr>
        <w:t>年</w:t>
      </w:r>
      <w:r>
        <w:rPr>
          <w:rFonts w:hint="eastAsia" w:ascii="Times New Roman"/>
          <w:sz w:val="24"/>
          <w:lang w:val="en-US" w:eastAsia="zh-CN"/>
        </w:rPr>
        <w:t>6</w:t>
      </w:r>
      <w:r>
        <w:rPr>
          <w:rFonts w:ascii="Times New Roman"/>
          <w:sz w:val="24"/>
        </w:rPr>
        <w:t>月~20</w:t>
      </w:r>
      <w:r>
        <w:rPr>
          <w:rFonts w:hint="eastAsia" w:ascii="Times New Roman"/>
          <w:sz w:val="24"/>
          <w:lang w:val="en-US" w:eastAsia="zh-CN"/>
        </w:rPr>
        <w:t>20</w:t>
      </w:r>
      <w:r>
        <w:rPr>
          <w:rFonts w:ascii="Times New Roman"/>
          <w:sz w:val="24"/>
        </w:rPr>
        <w:t>年</w:t>
      </w:r>
      <w:r>
        <w:rPr>
          <w:rFonts w:hint="eastAsia" w:ascii="Times New Roman"/>
          <w:sz w:val="24"/>
          <w:lang w:val="en-US" w:eastAsia="zh-CN"/>
        </w:rPr>
        <w:t>8</w:t>
      </w:r>
      <w:r>
        <w:rPr>
          <w:rFonts w:ascii="Times New Roman"/>
          <w:sz w:val="24"/>
        </w:rPr>
        <w:t>月，</w:t>
      </w:r>
      <w:r>
        <w:rPr>
          <w:rFonts w:hint="eastAsia" w:ascii="Times New Roman"/>
          <w:sz w:val="24"/>
          <w:lang w:val="en-US" w:eastAsia="zh-CN"/>
        </w:rPr>
        <w:t>期限为14个月，但前期研究已由2015年1月开始。共</w:t>
      </w:r>
      <w:r>
        <w:rPr>
          <w:rFonts w:ascii="Times New Roman"/>
          <w:sz w:val="24"/>
        </w:rPr>
        <w:t>分3个阶段开展：</w:t>
      </w:r>
    </w:p>
    <w:p>
      <w:pPr>
        <w:pStyle w:val="4"/>
        <w:keepNext w:val="0"/>
        <w:keepLines w:val="0"/>
        <w:pageBreakBefore w:val="0"/>
        <w:numPr>
          <w:ilvl w:val="0"/>
          <w:numId w:val="0"/>
        </w:numPr>
        <w:kinsoku/>
        <w:wordWrap/>
        <w:overflowPunct/>
        <w:topLinePunct w:val="0"/>
        <w:bidi w:val="0"/>
        <w:adjustRightInd w:val="0"/>
        <w:snapToGrid w:val="0"/>
        <w:spacing w:line="360" w:lineRule="auto"/>
        <w:textAlignment w:val="auto"/>
        <w:rPr>
          <w:rFonts w:hint="eastAsia" w:ascii="宋体" w:hAnsi="宋体" w:eastAsia="宋体" w:cs="宋体"/>
          <w:sz w:val="24"/>
        </w:rPr>
      </w:pPr>
      <w:r>
        <w:rPr>
          <w:rFonts w:hint="eastAsia" w:hAnsi="宋体" w:eastAsia="宋体" w:cs="宋体"/>
          <w:sz w:val="24"/>
          <w:lang w:eastAsia="zh-CN"/>
        </w:rPr>
        <w:t>（</w:t>
      </w:r>
      <w:r>
        <w:rPr>
          <w:rFonts w:hint="eastAsia" w:hAnsi="宋体" w:eastAsia="宋体" w:cs="宋体"/>
          <w:sz w:val="24"/>
          <w:lang w:val="en-US" w:eastAsia="zh-CN"/>
        </w:rPr>
        <w:t>1）</w:t>
      </w:r>
      <w:r>
        <w:rPr>
          <w:rFonts w:hint="eastAsia" w:ascii="宋体" w:hAnsi="宋体" w:eastAsia="宋体" w:cs="宋体"/>
          <w:sz w:val="24"/>
        </w:rPr>
        <w:t xml:space="preserve">资料收集阶段  </w:t>
      </w: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hAnsi="宋体" w:eastAsia="宋体"/>
          <w:bCs/>
          <w:sz w:val="24"/>
          <w:szCs w:val="24"/>
          <w:lang w:val="en-US" w:eastAsia="zh-CN"/>
        </w:rPr>
      </w:pPr>
      <w:r>
        <w:rPr>
          <w:rFonts w:hint="default" w:ascii="Times New Roman" w:hAnsi="Times New Roman" w:eastAsia="宋体" w:cs="Times New Roman"/>
          <w:bCs/>
          <w:sz w:val="24"/>
          <w:szCs w:val="24"/>
          <w:lang w:val="en-US" w:eastAsia="zh-CN"/>
        </w:rPr>
        <w:t>2015年以</w:t>
      </w:r>
      <w:r>
        <w:rPr>
          <w:rFonts w:hint="eastAsia" w:hAnsi="宋体" w:eastAsia="宋体"/>
          <w:bCs/>
          <w:sz w:val="24"/>
          <w:szCs w:val="24"/>
          <w:lang w:val="en-US" w:eastAsia="zh-CN"/>
        </w:rPr>
        <w:t>来，贵州省畜牧兽医研究所生猪创新团队开始在花溪区麦坪和高坡自然之园养殖基地收集香猪、可乐猪、黔北黑猪、关岭猪和黔东花猪等贵州土猪资源，并构建扩繁群体。</w:t>
      </w:r>
    </w:p>
    <w:p>
      <w:pPr>
        <w:pStyle w:val="4"/>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hAnsi="宋体" w:eastAsia="宋体"/>
          <w:bCs/>
          <w:sz w:val="24"/>
          <w:szCs w:val="24"/>
        </w:rPr>
      </w:pPr>
      <w:r>
        <w:rPr>
          <w:rFonts w:hint="default" w:ascii="Times New Roman" w:hAnsi="Times New Roman" w:eastAsia="宋体" w:cs="Times New Roman"/>
          <w:bCs/>
          <w:sz w:val="24"/>
          <w:szCs w:val="24"/>
          <w:lang w:val="en-US" w:eastAsia="zh-CN"/>
        </w:rPr>
        <w:t>2016年</w:t>
      </w:r>
      <w:r>
        <w:rPr>
          <w:rFonts w:hint="eastAsia" w:ascii="Times New Roman" w:hAnsi="Times New Roman" w:eastAsia="宋体" w:cs="Times New Roman"/>
          <w:bCs/>
          <w:sz w:val="24"/>
          <w:szCs w:val="24"/>
          <w:lang w:val="en-US" w:eastAsia="zh-CN"/>
        </w:rPr>
        <w:t>团队</w:t>
      </w:r>
      <w:r>
        <w:rPr>
          <w:rFonts w:hint="default" w:ascii="Times New Roman" w:hAnsi="Times New Roman" w:eastAsia="宋体" w:cs="Times New Roman"/>
          <w:bCs/>
          <w:sz w:val="24"/>
          <w:szCs w:val="24"/>
        </w:rPr>
        <w:t>以</w:t>
      </w:r>
      <w:r>
        <w:rPr>
          <w:rFonts w:hint="default" w:ascii="Times New Roman" w:hAnsi="Times New Roman" w:eastAsia="宋体" w:cs="Times New Roman"/>
          <w:bCs/>
          <w:sz w:val="24"/>
          <w:szCs w:val="24"/>
          <w:lang w:eastAsia="zh-CN"/>
        </w:rPr>
        <w:t>贵州</w:t>
      </w:r>
      <w:r>
        <w:rPr>
          <w:rFonts w:hint="eastAsia" w:hAnsi="宋体" w:eastAsia="宋体"/>
          <w:bCs/>
          <w:sz w:val="24"/>
          <w:szCs w:val="24"/>
          <w:lang w:eastAsia="zh-CN"/>
        </w:rPr>
        <w:t>省现代生猪产业技术体系</w:t>
      </w:r>
      <w:r>
        <w:rPr>
          <w:rFonts w:hint="eastAsia" w:hAnsi="宋体" w:eastAsia="宋体"/>
          <w:bCs/>
          <w:sz w:val="24"/>
          <w:szCs w:val="24"/>
        </w:rPr>
        <w:t>为依托，</w:t>
      </w:r>
      <w:r>
        <w:rPr>
          <w:rFonts w:hint="eastAsia" w:hAnsi="宋体" w:eastAsia="宋体"/>
          <w:bCs/>
          <w:sz w:val="24"/>
          <w:szCs w:val="24"/>
          <w:lang w:val="en-US" w:eastAsia="zh-CN"/>
        </w:rPr>
        <w:t>组织申报立项了</w:t>
      </w:r>
      <w:r>
        <w:rPr>
          <w:rFonts w:hint="eastAsia" w:hAnsi="宋体" w:eastAsia="宋体"/>
          <w:bCs/>
          <w:sz w:val="24"/>
          <w:szCs w:val="24"/>
          <w:lang w:eastAsia="zh-CN"/>
        </w:rPr>
        <w:t>贵州</w:t>
      </w:r>
      <w:r>
        <w:rPr>
          <w:rFonts w:hint="eastAsia" w:hAnsi="宋体" w:eastAsia="宋体"/>
          <w:bCs/>
          <w:sz w:val="24"/>
          <w:szCs w:val="24"/>
        </w:rPr>
        <w:t>省</w:t>
      </w:r>
      <w:r>
        <w:rPr>
          <w:rFonts w:hint="eastAsia" w:hAnsi="宋体" w:eastAsia="宋体"/>
          <w:bCs/>
          <w:sz w:val="24"/>
          <w:szCs w:val="24"/>
          <w:lang w:eastAsia="zh-CN"/>
        </w:rPr>
        <w:t>科技计划</w:t>
      </w:r>
      <w:r>
        <w:rPr>
          <w:rFonts w:hint="eastAsia" w:hAnsi="宋体" w:eastAsia="宋体"/>
          <w:bCs/>
          <w:sz w:val="24"/>
          <w:szCs w:val="24"/>
        </w:rPr>
        <w:t>项目《</w:t>
      </w:r>
      <w:r>
        <w:rPr>
          <w:rFonts w:hint="eastAsia" w:hAnsi="宋体" w:eastAsia="宋体"/>
          <w:bCs/>
          <w:sz w:val="24"/>
          <w:szCs w:val="24"/>
          <w:lang w:val="en-US" w:eastAsia="zh-CN"/>
        </w:rPr>
        <w:t>贵州特色猪肉质风味量化评价指数体系构建与应用</w:t>
      </w:r>
      <w:r>
        <w:rPr>
          <w:rFonts w:hint="eastAsia" w:hAnsi="宋体" w:eastAsia="宋体"/>
          <w:bCs/>
          <w:sz w:val="24"/>
          <w:szCs w:val="24"/>
        </w:rPr>
        <w:t>》《</w:t>
      </w:r>
      <w:r>
        <w:rPr>
          <w:rFonts w:hint="eastAsia" w:hAnsi="宋体" w:eastAsia="宋体"/>
          <w:bCs/>
          <w:sz w:val="24"/>
          <w:szCs w:val="24"/>
          <w:lang w:val="en-US" w:eastAsia="zh-CN"/>
        </w:rPr>
        <w:t>高肌内脂肪地方猪种群培育及配套生产技术应用</w:t>
      </w:r>
      <w:r>
        <w:rPr>
          <w:rFonts w:hint="eastAsia" w:hAnsi="宋体" w:eastAsia="宋体"/>
          <w:bCs/>
          <w:sz w:val="24"/>
          <w:szCs w:val="24"/>
        </w:rPr>
        <w:t>》、《</w:t>
      </w:r>
      <w:r>
        <w:rPr>
          <w:rFonts w:hint="eastAsia" w:hAnsi="宋体" w:eastAsia="宋体"/>
          <w:bCs/>
          <w:sz w:val="24"/>
          <w:szCs w:val="24"/>
          <w:lang w:eastAsia="zh-CN"/>
        </w:rPr>
        <w:t>“</w:t>
      </w:r>
      <w:r>
        <w:rPr>
          <w:rFonts w:hint="eastAsia" w:hAnsi="宋体" w:eastAsia="宋体"/>
          <w:bCs/>
          <w:sz w:val="24"/>
          <w:szCs w:val="24"/>
          <w:lang w:val="en-US" w:eastAsia="zh-CN"/>
        </w:rPr>
        <w:t>丹寨黑猪</w:t>
      </w:r>
      <w:r>
        <w:rPr>
          <w:rFonts w:hint="eastAsia" w:hAnsi="宋体" w:eastAsia="宋体"/>
          <w:bCs/>
          <w:sz w:val="24"/>
          <w:szCs w:val="24"/>
          <w:lang w:eastAsia="zh-CN"/>
        </w:rPr>
        <w:t>”</w:t>
      </w:r>
      <w:r>
        <w:rPr>
          <w:rFonts w:hint="eastAsia" w:hAnsi="宋体" w:eastAsia="宋体"/>
          <w:bCs/>
          <w:sz w:val="24"/>
          <w:szCs w:val="24"/>
          <w:lang w:val="en-US" w:eastAsia="zh-CN"/>
        </w:rPr>
        <w:t>复壮利用及其生态养殖技术配套研究</w:t>
      </w:r>
      <w:r>
        <w:rPr>
          <w:rFonts w:hint="eastAsia" w:hAnsi="宋体" w:eastAsia="宋体"/>
          <w:bCs/>
          <w:sz w:val="24"/>
          <w:szCs w:val="24"/>
        </w:rPr>
        <w:t>》</w:t>
      </w:r>
      <w:r>
        <w:rPr>
          <w:rFonts w:hint="eastAsia" w:hAnsi="宋体" w:eastAsia="宋体"/>
          <w:bCs/>
          <w:sz w:val="24"/>
          <w:szCs w:val="24"/>
          <w:lang w:eastAsia="zh-CN"/>
        </w:rPr>
        <w:t>和</w:t>
      </w:r>
      <w:r>
        <w:rPr>
          <w:rFonts w:hint="eastAsia" w:hAnsi="宋体" w:eastAsia="宋体"/>
          <w:bCs/>
          <w:sz w:val="24"/>
          <w:szCs w:val="24"/>
        </w:rPr>
        <w:t>《</w:t>
      </w:r>
      <w:r>
        <w:rPr>
          <w:rFonts w:hint="eastAsia" w:hAnsi="宋体" w:eastAsia="宋体"/>
          <w:bCs/>
          <w:sz w:val="24"/>
          <w:szCs w:val="24"/>
          <w:lang w:val="en-US" w:eastAsia="zh-CN"/>
        </w:rPr>
        <w:t>贵州地方猪营养需求参数研究与应用</w:t>
      </w:r>
      <w:r>
        <w:rPr>
          <w:rFonts w:hint="eastAsia" w:hAnsi="宋体" w:eastAsia="宋体"/>
          <w:bCs/>
          <w:sz w:val="24"/>
          <w:szCs w:val="24"/>
        </w:rPr>
        <w:t>》等，</w:t>
      </w:r>
      <w:r>
        <w:rPr>
          <w:rFonts w:hint="eastAsia" w:hAnsi="宋体" w:eastAsia="宋体"/>
          <w:bCs/>
          <w:sz w:val="24"/>
          <w:szCs w:val="24"/>
          <w:lang w:val="en-US" w:eastAsia="zh-CN"/>
        </w:rPr>
        <w:t>项目实施期间，</w:t>
      </w:r>
      <w:r>
        <w:rPr>
          <w:rFonts w:hint="eastAsia" w:hAnsi="宋体" w:eastAsia="宋体"/>
          <w:bCs/>
          <w:sz w:val="24"/>
          <w:szCs w:val="24"/>
        </w:rPr>
        <w:t>开展了</w:t>
      </w:r>
      <w:r>
        <w:rPr>
          <w:rFonts w:hint="eastAsia" w:hAnsi="宋体" w:eastAsia="宋体"/>
          <w:bCs/>
          <w:sz w:val="24"/>
          <w:szCs w:val="24"/>
          <w:lang w:eastAsia="zh-CN"/>
        </w:rPr>
        <w:t>“从江香猪”、“可乐猪”、“黔北黑猪”、“丹寨黑猪”和“</w:t>
      </w:r>
      <w:r>
        <w:rPr>
          <w:rFonts w:hint="eastAsia" w:hAnsi="宋体" w:eastAsia="宋体"/>
          <w:bCs/>
          <w:sz w:val="24"/>
          <w:szCs w:val="24"/>
          <w:lang w:val="en-US" w:eastAsia="zh-CN"/>
        </w:rPr>
        <w:t>夜郎黄金猪</w:t>
      </w:r>
      <w:r>
        <w:rPr>
          <w:rFonts w:hint="eastAsia" w:hAnsi="宋体" w:eastAsia="宋体"/>
          <w:bCs/>
          <w:sz w:val="24"/>
          <w:szCs w:val="24"/>
          <w:lang w:eastAsia="zh-CN"/>
        </w:rPr>
        <w:t>”等特色种质</w:t>
      </w:r>
      <w:r>
        <w:rPr>
          <w:rFonts w:hint="eastAsia" w:hAnsi="宋体" w:eastAsia="宋体"/>
          <w:bCs/>
          <w:sz w:val="24"/>
          <w:szCs w:val="24"/>
          <w:lang w:val="en-US" w:eastAsia="zh-CN"/>
        </w:rPr>
        <w:t>的经济性状指标测定及资源</w:t>
      </w:r>
      <w:r>
        <w:rPr>
          <w:rFonts w:hint="eastAsia" w:hAnsi="宋体" w:eastAsia="宋体"/>
          <w:bCs/>
          <w:sz w:val="24"/>
          <w:szCs w:val="24"/>
          <w:lang w:eastAsia="zh-CN"/>
        </w:rPr>
        <w:t>创新利用</w:t>
      </w:r>
      <w:r>
        <w:rPr>
          <w:rFonts w:hint="eastAsia" w:hAnsi="宋体" w:eastAsia="宋体"/>
          <w:bCs/>
          <w:sz w:val="24"/>
          <w:szCs w:val="24"/>
        </w:rPr>
        <w:t>。</w:t>
      </w:r>
    </w:p>
    <w:p>
      <w:pPr>
        <w:pStyle w:val="4"/>
        <w:keepNext w:val="0"/>
        <w:keepLines w:val="0"/>
        <w:pageBreakBefore w:val="0"/>
        <w:numPr>
          <w:ilvl w:val="0"/>
          <w:numId w:val="0"/>
        </w:numPr>
        <w:kinsoku/>
        <w:wordWrap/>
        <w:overflowPunct/>
        <w:topLinePunct w:val="0"/>
        <w:bidi w:val="0"/>
        <w:adjustRightInd w:val="0"/>
        <w:snapToGrid w:val="0"/>
        <w:spacing w:line="360" w:lineRule="auto"/>
        <w:textAlignment w:val="auto"/>
        <w:rPr>
          <w:rFonts w:hint="eastAsia" w:hAnsi="宋体" w:eastAsia="宋体"/>
          <w:bCs/>
          <w:sz w:val="24"/>
          <w:szCs w:val="24"/>
          <w:lang w:val="en-US" w:eastAsia="zh-CN"/>
        </w:rPr>
      </w:pPr>
      <w:r>
        <w:rPr>
          <w:rFonts w:hint="eastAsia" w:hAnsi="宋体" w:eastAsia="宋体" w:cs="宋体"/>
          <w:sz w:val="24"/>
          <w:lang w:val="en-US" w:eastAsia="zh-CN"/>
        </w:rPr>
        <w:t>（2）样品测定与分析</w:t>
      </w:r>
      <w:r>
        <w:rPr>
          <w:rFonts w:hint="eastAsia" w:ascii="宋体" w:hAnsi="宋体" w:eastAsia="宋体" w:cs="宋体"/>
          <w:sz w:val="24"/>
        </w:rPr>
        <w:t>阶段</w:t>
      </w:r>
      <w:r>
        <w:rPr>
          <w:rFonts w:hint="eastAsia" w:hAnsi="宋体" w:eastAsia="宋体" w:cs="宋体"/>
          <w:sz w:val="24"/>
          <w:lang w:val="en-US" w:eastAsia="zh-CN"/>
        </w:rPr>
        <w:t xml:space="preserve"> </w:t>
      </w: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hAnsi="宋体" w:eastAsia="宋体"/>
          <w:bCs/>
          <w:sz w:val="24"/>
          <w:szCs w:val="24"/>
          <w:lang w:val="en-US" w:eastAsia="zh-CN"/>
        </w:rPr>
      </w:pPr>
      <w:r>
        <w:rPr>
          <w:rFonts w:hint="eastAsia" w:ascii="宋体" w:hAnsi="宋体" w:eastAsia="宋体" w:cstheme="minorBidi"/>
          <w:bCs/>
          <w:kern w:val="0"/>
          <w:sz w:val="24"/>
          <w:szCs w:val="24"/>
          <w:lang w:val="en-US" w:eastAsia="zh-CN" w:bidi="ar-SA"/>
        </w:rPr>
        <w:t>鉴于前期开展的相关工作，</w:t>
      </w:r>
      <w:r>
        <w:rPr>
          <w:rFonts w:hint="default" w:ascii="Times New Roman" w:hAnsi="Times New Roman" w:eastAsia="宋体" w:cs="Times New Roman"/>
          <w:bCs/>
          <w:kern w:val="0"/>
          <w:sz w:val="24"/>
          <w:szCs w:val="24"/>
          <w:lang w:val="en-US" w:eastAsia="zh-CN" w:bidi="ar-SA"/>
        </w:rPr>
        <w:t>2019年4月份</w:t>
      </w:r>
      <w:r>
        <w:rPr>
          <w:rFonts w:hint="eastAsia" w:hAnsi="宋体" w:eastAsia="宋体" w:cstheme="minorBidi"/>
          <w:bCs/>
          <w:kern w:val="0"/>
          <w:sz w:val="24"/>
          <w:szCs w:val="24"/>
          <w:lang w:val="en-US" w:eastAsia="zh-CN" w:bidi="ar-SA"/>
        </w:rPr>
        <w:t>课题组商讨拟以</w:t>
      </w:r>
      <w:r>
        <w:rPr>
          <w:rFonts w:hint="eastAsia" w:hAnsi="宋体" w:eastAsia="宋体"/>
          <w:bCs/>
          <w:sz w:val="24"/>
          <w:szCs w:val="24"/>
        </w:rPr>
        <w:t>《</w:t>
      </w:r>
      <w:r>
        <w:rPr>
          <w:rFonts w:hint="eastAsia" w:ascii="宋体" w:hAnsi="宋体" w:eastAsia="宋体" w:cstheme="minorBidi"/>
          <w:bCs/>
          <w:kern w:val="0"/>
          <w:sz w:val="24"/>
          <w:szCs w:val="24"/>
          <w:lang w:val="en-US" w:eastAsia="zh-CN" w:bidi="ar-SA"/>
        </w:rPr>
        <w:t>土猪肉品质分级评价标准</w:t>
      </w:r>
      <w:r>
        <w:rPr>
          <w:rFonts w:hint="eastAsia" w:hAnsi="宋体" w:eastAsia="宋体"/>
          <w:bCs/>
          <w:sz w:val="24"/>
          <w:szCs w:val="24"/>
        </w:rPr>
        <w:t>》</w:t>
      </w:r>
      <w:r>
        <w:rPr>
          <w:rFonts w:hint="eastAsia" w:hAnsi="宋体" w:eastAsia="宋体"/>
          <w:bCs/>
          <w:sz w:val="24"/>
          <w:szCs w:val="24"/>
          <w:lang w:val="en-US" w:eastAsia="zh-CN"/>
        </w:rPr>
        <w:t>为题申报地方标准项目，并获得立项支持。后期，团队分别对贵州从江香猪、可乐猪、黔北黑猪、高坡黑猪、可乐猪杂交猪、从江香猪杂交猪黔北黑猪杂交猪等资源进行系统的屠宰与肉质测定，并通过性状指标间分析，总结出具有代表性的肉质评价参数。</w:t>
      </w:r>
    </w:p>
    <w:p>
      <w:pPr>
        <w:pStyle w:val="4"/>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hAnsi="宋体" w:eastAsia="宋体" w:cstheme="minorBidi"/>
          <w:bCs/>
          <w:kern w:val="0"/>
          <w:sz w:val="24"/>
          <w:szCs w:val="24"/>
          <w:lang w:val="en-US" w:eastAsia="zh-CN" w:bidi="ar-SA"/>
        </w:rPr>
      </w:pPr>
      <w:r>
        <w:rPr>
          <w:rFonts w:hint="eastAsia" w:hAnsi="宋体" w:eastAsia="宋体"/>
          <w:bCs/>
          <w:sz w:val="24"/>
          <w:szCs w:val="24"/>
          <w:lang w:val="en-US" w:eastAsia="zh-CN"/>
        </w:rPr>
        <w:t>部分科研成果已在期刊中发表，如</w:t>
      </w:r>
      <w:r>
        <w:rPr>
          <w:rFonts w:hint="default" w:ascii="宋体" w:hAnsi="宋体" w:eastAsia="宋体" w:cstheme="minorBidi"/>
          <w:bCs/>
          <w:kern w:val="0"/>
          <w:sz w:val="24"/>
          <w:szCs w:val="24"/>
          <w:lang w:val="en-US" w:eastAsia="zh-CN" w:bidi="ar-SA"/>
        </w:rPr>
        <w:t>《面向从江香猪选育的肌内脂肪活体超声无损测定》</w:t>
      </w:r>
      <w:r>
        <w:rPr>
          <w:rFonts w:hint="eastAsia" w:ascii="宋体" w:hAnsi="宋体" w:eastAsia="宋体" w:cstheme="minorBidi"/>
          <w:bCs/>
          <w:kern w:val="0"/>
          <w:sz w:val="24"/>
          <w:szCs w:val="24"/>
          <w:lang w:val="en-US" w:eastAsia="zh-CN" w:bidi="ar-SA"/>
        </w:rPr>
        <w:t>发表于</w:t>
      </w:r>
      <w:r>
        <w:rPr>
          <w:rFonts w:hint="default" w:ascii="宋体" w:hAnsi="宋体" w:eastAsia="宋体" w:cstheme="minorBidi"/>
          <w:bCs/>
          <w:kern w:val="0"/>
          <w:sz w:val="24"/>
          <w:szCs w:val="24"/>
          <w:lang w:val="en-US" w:eastAsia="zh-CN" w:bidi="ar-SA"/>
        </w:rPr>
        <w:t>《农业工程学报》</w:t>
      </w:r>
      <w:r>
        <w:rPr>
          <w:rFonts w:hint="eastAsia" w:ascii="宋体" w:hAnsi="宋体" w:eastAsia="宋体" w:cstheme="minorBidi"/>
          <w:bCs/>
          <w:kern w:val="0"/>
          <w:sz w:val="24"/>
          <w:szCs w:val="24"/>
          <w:lang w:val="en-US" w:eastAsia="zh-CN" w:bidi="ar-SA"/>
        </w:rPr>
        <w:t>、</w:t>
      </w:r>
      <w:r>
        <w:rPr>
          <w:rFonts w:hint="default" w:ascii="宋体" w:hAnsi="宋体" w:eastAsia="宋体" w:cstheme="minorBidi"/>
          <w:bCs/>
          <w:kern w:val="0"/>
          <w:sz w:val="24"/>
          <w:szCs w:val="24"/>
          <w:lang w:val="en-US" w:eastAsia="zh-CN" w:bidi="ar-SA"/>
        </w:rPr>
        <w:t>《从江香猪胴体及肉品质性状研究》</w:t>
      </w:r>
      <w:r>
        <w:rPr>
          <w:rFonts w:hint="eastAsia" w:ascii="宋体" w:hAnsi="宋体" w:eastAsia="宋体" w:cstheme="minorBidi"/>
          <w:bCs/>
          <w:kern w:val="0"/>
          <w:sz w:val="24"/>
          <w:szCs w:val="24"/>
          <w:lang w:val="en-US" w:eastAsia="zh-CN" w:bidi="ar-SA"/>
        </w:rPr>
        <w:t>发表于</w:t>
      </w:r>
      <w:r>
        <w:rPr>
          <w:rFonts w:hint="default" w:ascii="宋体" w:hAnsi="宋体" w:eastAsia="宋体" w:cstheme="minorBidi"/>
          <w:bCs/>
          <w:kern w:val="0"/>
          <w:sz w:val="24"/>
          <w:szCs w:val="24"/>
          <w:lang w:val="en-US" w:eastAsia="zh-CN" w:bidi="ar-SA"/>
        </w:rPr>
        <w:t>《家畜生态学报》</w:t>
      </w:r>
      <w:r>
        <w:rPr>
          <w:rFonts w:hint="eastAsia" w:ascii="宋体" w:hAnsi="宋体" w:eastAsia="宋体" w:cstheme="minorBidi"/>
          <w:bCs/>
          <w:kern w:val="0"/>
          <w:sz w:val="24"/>
          <w:szCs w:val="24"/>
          <w:lang w:val="en-US" w:eastAsia="zh-CN" w:bidi="ar-SA"/>
        </w:rPr>
        <w:t>、</w:t>
      </w:r>
      <w:r>
        <w:rPr>
          <w:rFonts w:hint="default" w:ascii="宋体" w:hAnsi="宋体" w:eastAsia="宋体" w:cstheme="minorBidi"/>
          <w:bCs/>
          <w:kern w:val="0"/>
          <w:sz w:val="24"/>
          <w:szCs w:val="24"/>
          <w:lang w:val="en-US" w:eastAsia="zh-CN" w:bidi="ar-SA"/>
        </w:rPr>
        <w:t>《不同生长阶段从江香猪肉品质及脂肪沉积变化研究》</w:t>
      </w:r>
      <w:r>
        <w:rPr>
          <w:rFonts w:hint="eastAsia" w:ascii="宋体" w:hAnsi="宋体" w:eastAsia="宋体" w:cstheme="minorBidi"/>
          <w:bCs/>
          <w:kern w:val="0"/>
          <w:sz w:val="24"/>
          <w:szCs w:val="24"/>
          <w:lang w:val="en-US" w:eastAsia="zh-CN" w:bidi="ar-SA"/>
        </w:rPr>
        <w:t>发表于</w:t>
      </w:r>
      <w:r>
        <w:rPr>
          <w:rFonts w:hint="default" w:ascii="宋体" w:hAnsi="宋体" w:eastAsia="宋体" w:cstheme="minorBidi"/>
          <w:bCs/>
          <w:kern w:val="0"/>
          <w:sz w:val="24"/>
          <w:szCs w:val="24"/>
          <w:lang w:val="en-US" w:eastAsia="zh-CN" w:bidi="ar-SA"/>
        </w:rPr>
        <w:t>《黑龙江畜牧兽医》</w:t>
      </w:r>
      <w:r>
        <w:rPr>
          <w:rFonts w:hint="eastAsia" w:ascii="宋体" w:hAnsi="宋体" w:eastAsia="宋体" w:cstheme="minorBidi"/>
          <w:bCs/>
          <w:kern w:val="0"/>
          <w:sz w:val="24"/>
          <w:szCs w:val="24"/>
          <w:lang w:val="en-US" w:eastAsia="zh-CN" w:bidi="ar-SA"/>
        </w:rPr>
        <w:t>、</w:t>
      </w:r>
      <w:r>
        <w:rPr>
          <w:rFonts w:hint="default" w:ascii="宋体" w:hAnsi="宋体" w:eastAsia="宋体" w:cstheme="minorBidi"/>
          <w:bCs/>
          <w:kern w:val="0"/>
          <w:sz w:val="24"/>
          <w:szCs w:val="24"/>
          <w:lang w:val="en-US" w:eastAsia="zh-CN" w:bidi="ar-SA"/>
        </w:rPr>
        <w:t>《添加70%发酵红薯对高坡黑猪生长及肉质指标影响》</w:t>
      </w:r>
      <w:r>
        <w:rPr>
          <w:rFonts w:hint="eastAsia" w:ascii="宋体" w:hAnsi="宋体" w:eastAsia="宋体" w:cstheme="minorBidi"/>
          <w:bCs/>
          <w:kern w:val="0"/>
          <w:sz w:val="24"/>
          <w:szCs w:val="24"/>
          <w:lang w:val="en-US" w:eastAsia="zh-CN" w:bidi="ar-SA"/>
        </w:rPr>
        <w:t>发表于</w:t>
      </w:r>
      <w:r>
        <w:rPr>
          <w:rFonts w:hint="default" w:ascii="宋体" w:hAnsi="宋体" w:eastAsia="宋体" w:cstheme="minorBidi"/>
          <w:bCs/>
          <w:kern w:val="0"/>
          <w:sz w:val="24"/>
          <w:szCs w:val="24"/>
          <w:lang w:val="en-US" w:eastAsia="zh-CN" w:bidi="ar-SA"/>
        </w:rPr>
        <w:t>《贵州畜牧兽医》</w:t>
      </w:r>
      <w:r>
        <w:rPr>
          <w:rFonts w:hint="eastAsia" w:hAnsi="宋体" w:eastAsia="宋体" w:cstheme="minorBidi"/>
          <w:bCs/>
          <w:kern w:val="0"/>
          <w:sz w:val="24"/>
          <w:szCs w:val="24"/>
          <w:lang w:val="en-US" w:eastAsia="zh-CN" w:bidi="ar-SA"/>
        </w:rPr>
        <w:t>等。</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left"/>
        <w:textAlignment w:val="auto"/>
        <w:rPr>
          <w:rFonts w:hint="eastAsia" w:ascii="Times New Roman"/>
          <w:sz w:val="24"/>
          <w:lang w:val="en-US" w:eastAsia="zh-CN"/>
        </w:rPr>
      </w:pPr>
      <w:r>
        <w:rPr>
          <w:rFonts w:hint="eastAsia" w:ascii="Times New Roman"/>
          <w:sz w:val="24"/>
          <w:lang w:eastAsia="zh-CN"/>
        </w:rPr>
        <w:t>（</w:t>
      </w:r>
      <w:r>
        <w:rPr>
          <w:rFonts w:hint="eastAsia" w:ascii="Times New Roman"/>
          <w:sz w:val="24"/>
          <w:lang w:val="en-US" w:eastAsia="zh-CN"/>
        </w:rPr>
        <w:t>3）</w:t>
      </w:r>
      <w:r>
        <w:rPr>
          <w:rFonts w:ascii="Times New Roman"/>
          <w:sz w:val="24"/>
        </w:rPr>
        <w:t>综合分析、论证和标准编写阶段</w:t>
      </w:r>
      <w:r>
        <w:rPr>
          <w:rFonts w:hint="eastAsia" w:ascii="Times New Roman"/>
          <w:sz w:val="24"/>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480" w:firstLineChars="200"/>
        <w:jc w:val="left"/>
        <w:textAlignment w:val="auto"/>
        <w:rPr>
          <w:rFonts w:hint="eastAsia" w:ascii="Times New Roman" w:hAnsi="Times New Roman" w:cs="Times New Roman" w:eastAsiaTheme="minorEastAsia"/>
          <w:sz w:val="24"/>
          <w:szCs w:val="24"/>
          <w:lang w:eastAsia="zh-CN"/>
        </w:rPr>
      </w:pPr>
      <w:r>
        <w:rPr>
          <w:rFonts w:hint="eastAsia" w:ascii="宋体" w:hAnsi="宋体" w:eastAsia="宋体" w:cs="宋体"/>
          <w:bCs/>
          <w:kern w:val="0"/>
          <w:sz w:val="24"/>
          <w:szCs w:val="24"/>
          <w:lang w:val="en-US" w:eastAsia="zh-CN" w:bidi="ar-SA"/>
        </w:rPr>
        <w:t>于</w:t>
      </w:r>
      <w:r>
        <w:rPr>
          <w:rFonts w:hint="default" w:ascii="Times New Roman" w:hAnsi="Times New Roman" w:eastAsia="宋体" w:cs="Times New Roman"/>
          <w:bCs/>
          <w:kern w:val="0"/>
          <w:sz w:val="24"/>
          <w:szCs w:val="24"/>
          <w:lang w:val="en-US" w:eastAsia="zh-CN" w:bidi="ar-SA"/>
        </w:rPr>
        <w:t>2020年5月份</w:t>
      </w:r>
      <w:r>
        <w:rPr>
          <w:rFonts w:hint="eastAsia" w:ascii="宋体" w:hAnsi="宋体" w:eastAsia="宋体" w:cs="宋体"/>
          <w:bCs/>
          <w:kern w:val="0"/>
          <w:sz w:val="24"/>
          <w:szCs w:val="24"/>
          <w:lang w:val="en-US" w:eastAsia="zh-CN" w:bidi="ar-SA"/>
        </w:rPr>
        <w:t>以来</w:t>
      </w:r>
      <w:r>
        <w:rPr>
          <w:rFonts w:hint="eastAsia" w:hAnsi="宋体" w:eastAsia="宋体" w:cstheme="minorBidi"/>
          <w:bCs/>
          <w:kern w:val="0"/>
          <w:sz w:val="24"/>
          <w:szCs w:val="24"/>
          <w:lang w:val="en-US" w:eastAsia="zh-CN" w:bidi="ar-SA"/>
        </w:rPr>
        <w:t>，项目组开始收集整理多年积累的研究材料，撰写</w:t>
      </w:r>
      <w:r>
        <w:rPr>
          <w:rFonts w:hint="eastAsia" w:hAnsi="宋体" w:eastAsia="宋体"/>
          <w:bCs/>
          <w:sz w:val="24"/>
          <w:szCs w:val="24"/>
        </w:rPr>
        <w:t>《</w:t>
      </w:r>
      <w:r>
        <w:rPr>
          <w:rFonts w:hint="eastAsia" w:ascii="宋体" w:hAnsi="宋体" w:eastAsia="宋体" w:cstheme="minorBidi"/>
          <w:bCs/>
          <w:kern w:val="0"/>
          <w:sz w:val="24"/>
          <w:szCs w:val="24"/>
          <w:lang w:val="en-US" w:eastAsia="zh-CN" w:bidi="ar-SA"/>
        </w:rPr>
        <w:t>土猪肉品质分级评价标准</w:t>
      </w:r>
      <w:r>
        <w:rPr>
          <w:rFonts w:hint="eastAsia" w:hAnsi="宋体" w:eastAsia="宋体"/>
          <w:bCs/>
          <w:sz w:val="24"/>
          <w:szCs w:val="24"/>
        </w:rPr>
        <w:t>》</w:t>
      </w:r>
      <w:r>
        <w:rPr>
          <w:rFonts w:hint="eastAsia" w:hAnsi="宋体" w:eastAsia="宋体"/>
          <w:bCs/>
          <w:sz w:val="24"/>
          <w:szCs w:val="24"/>
          <w:lang w:val="en-US" w:eastAsia="zh-CN"/>
        </w:rPr>
        <w:t>初稿，</w:t>
      </w:r>
      <w:r>
        <w:rPr>
          <w:rFonts w:hint="default" w:ascii="Times New Roman" w:hAnsi="Times New Roman" w:cs="Times New Roman"/>
          <w:sz w:val="24"/>
          <w:szCs w:val="24"/>
        </w:rPr>
        <w:t>组织全体</w:t>
      </w:r>
      <w:r>
        <w:rPr>
          <w:rFonts w:hint="default" w:ascii="Times New Roman" w:hAnsi="Times New Roman" w:cs="Times New Roman"/>
          <w:sz w:val="24"/>
          <w:szCs w:val="24"/>
          <w:lang w:eastAsia="zh-CN"/>
        </w:rPr>
        <w:t>项目组成员</w:t>
      </w:r>
      <w:r>
        <w:rPr>
          <w:rFonts w:hint="default" w:ascii="Times New Roman" w:hAnsi="Times New Roman" w:cs="Times New Roman"/>
          <w:sz w:val="24"/>
          <w:szCs w:val="24"/>
        </w:rPr>
        <w:t>对初稿进行逐条讨论和修改</w:t>
      </w:r>
      <w:r>
        <w:rPr>
          <w:rFonts w:hint="eastAsia" w:ascii="Times New Roman" w:hAnsi="Times New Roman" w:cs="Times New Roman"/>
          <w:sz w:val="24"/>
          <w:szCs w:val="24"/>
          <w:lang w:eastAsia="zh-CN"/>
        </w:rPr>
        <w:t>。</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eastAsia" w:ascii="Times New Roman" w:hAnsi="Times New Roman" w:cs="Times New Roman"/>
          <w:sz w:val="24"/>
          <w:szCs w:val="24"/>
          <w:lang w:eastAsia="zh-CN"/>
        </w:rPr>
      </w:pPr>
      <w:r>
        <w:rPr>
          <w:rFonts w:hint="default" w:ascii="Times New Roman" w:hAnsi="Times New Roman" w:eastAsia="宋体" w:cs="Times New Roman"/>
          <w:bCs/>
          <w:kern w:val="0"/>
          <w:sz w:val="24"/>
          <w:szCs w:val="24"/>
          <w:lang w:val="en-US" w:eastAsia="zh-CN" w:bidi="ar-SA"/>
        </w:rPr>
        <w:t>于2020年8月3日，邀</w:t>
      </w:r>
      <w:r>
        <w:rPr>
          <w:rFonts w:hint="default" w:ascii="Times New Roman" w:hAnsi="Times New Roman" w:cs="Times New Roman"/>
          <w:sz w:val="24"/>
          <w:szCs w:val="24"/>
          <w:lang w:val="en-US" w:eastAsia="zh-CN"/>
        </w:rPr>
        <w:t>请贵</w:t>
      </w:r>
      <w:r>
        <w:rPr>
          <w:rFonts w:hint="eastAsia" w:ascii="Times New Roman" w:hAnsi="Times New Roman" w:cs="Times New Roman"/>
          <w:sz w:val="24"/>
          <w:szCs w:val="24"/>
          <w:lang w:val="en-US" w:eastAsia="zh-CN"/>
        </w:rPr>
        <w:t>州大学动物科学学院燕志宏教授、张勇副教授和张依裕副教授等行业专家，对</w:t>
      </w:r>
      <w:r>
        <w:rPr>
          <w:rFonts w:hint="eastAsia" w:hAnsi="宋体" w:eastAsia="宋体"/>
          <w:bCs/>
          <w:sz w:val="24"/>
          <w:szCs w:val="24"/>
        </w:rPr>
        <w:t>《</w:t>
      </w:r>
      <w:r>
        <w:rPr>
          <w:rFonts w:hint="eastAsia" w:ascii="宋体" w:hAnsi="宋体" w:eastAsia="宋体" w:cstheme="minorBidi"/>
          <w:bCs/>
          <w:kern w:val="0"/>
          <w:sz w:val="24"/>
          <w:szCs w:val="24"/>
          <w:lang w:val="en-US" w:eastAsia="zh-CN" w:bidi="ar-SA"/>
        </w:rPr>
        <w:t>土猪肉品质分级评价标准</w:t>
      </w:r>
      <w:r>
        <w:rPr>
          <w:rFonts w:hint="eastAsia" w:hAnsi="宋体" w:eastAsia="宋体"/>
          <w:bCs/>
          <w:sz w:val="24"/>
          <w:szCs w:val="24"/>
        </w:rPr>
        <w:t>》</w:t>
      </w:r>
      <w:r>
        <w:rPr>
          <w:rFonts w:hint="eastAsia" w:hAnsi="宋体" w:eastAsia="宋体"/>
          <w:bCs/>
          <w:sz w:val="24"/>
          <w:szCs w:val="24"/>
          <w:lang w:val="en-US" w:eastAsia="zh-CN"/>
        </w:rPr>
        <w:t>文稿进行评审修改，同时按照专家所提建议，</w:t>
      </w:r>
      <w:r>
        <w:rPr>
          <w:rFonts w:hint="default" w:ascii="Times New Roman" w:hAnsi="Times New Roman" w:cs="Times New Roman"/>
          <w:sz w:val="24"/>
          <w:szCs w:val="24"/>
        </w:rPr>
        <w:t>进行逐条论证和完善</w:t>
      </w:r>
      <w:r>
        <w:rPr>
          <w:rFonts w:hint="eastAsia" w:ascii="Times New Roman" w:hAnsi="Times New Roman" w:cs="Times New Roman"/>
          <w:sz w:val="24"/>
          <w:szCs w:val="24"/>
          <w:lang w:eastAsia="zh-CN"/>
        </w:rPr>
        <w:t>。</w:t>
      </w:r>
    </w:p>
    <w:p>
      <w:pPr>
        <w:keepNext w:val="0"/>
        <w:keepLines w:val="0"/>
        <w:pageBreakBefore w:val="0"/>
        <w:widowControl w:val="0"/>
        <w:kinsoku/>
        <w:wordWrap/>
        <w:overflowPunct/>
        <w:topLinePunct w:val="0"/>
        <w:autoSpaceDE/>
        <w:autoSpaceDN/>
        <w:bidi w:val="0"/>
        <w:spacing w:line="360" w:lineRule="auto"/>
        <w:ind w:firstLine="480" w:firstLineChars="200"/>
        <w:textAlignment w:val="auto"/>
        <w:rPr>
          <w:rFonts w:hint="default" w:ascii="Times New Roman" w:hAnsi="Times New Roman" w:eastAsia="宋体" w:cs="Times New Roman"/>
          <w:sz w:val="24"/>
          <w:szCs w:val="24"/>
          <w:lang w:val="en-US" w:eastAsia="zh-CN"/>
        </w:rPr>
      </w:pPr>
      <w:r>
        <w:rPr>
          <w:rFonts w:hint="eastAsia" w:ascii="Times New Roman" w:hAnsi="Times New Roman" w:cs="Times New Roman"/>
          <w:sz w:val="24"/>
          <w:szCs w:val="24"/>
          <w:lang w:val="en-US" w:eastAsia="zh-CN"/>
        </w:rPr>
        <w:t>于2020年11月4日，标准起草组收到贵州省市场监管局标准化处下发的征求意见稿审查记录表，标准起草组按照审查记录表修改要求，对</w:t>
      </w:r>
      <w:r>
        <w:rPr>
          <w:rFonts w:hint="eastAsia" w:hAnsi="宋体" w:eastAsia="宋体"/>
          <w:bCs/>
          <w:sz w:val="24"/>
          <w:szCs w:val="24"/>
        </w:rPr>
        <w:t>《</w:t>
      </w:r>
      <w:r>
        <w:rPr>
          <w:rFonts w:hint="eastAsia" w:ascii="宋体" w:hAnsi="宋体" w:eastAsia="宋体" w:cstheme="minorBidi"/>
          <w:bCs/>
          <w:kern w:val="0"/>
          <w:sz w:val="24"/>
          <w:szCs w:val="24"/>
          <w:lang w:val="en-US" w:eastAsia="zh-CN" w:bidi="ar-SA"/>
        </w:rPr>
        <w:t>土猪肉品质分级评价标准</w:t>
      </w:r>
      <w:r>
        <w:rPr>
          <w:rFonts w:hint="eastAsia" w:hAnsi="宋体" w:eastAsia="宋体"/>
          <w:bCs/>
          <w:sz w:val="24"/>
          <w:szCs w:val="24"/>
        </w:rPr>
        <w:t>》</w:t>
      </w:r>
      <w:r>
        <w:rPr>
          <w:rFonts w:hint="eastAsia" w:hAnsi="宋体" w:eastAsia="宋体"/>
          <w:bCs/>
          <w:sz w:val="24"/>
          <w:szCs w:val="24"/>
          <w:lang w:val="en-US" w:eastAsia="zh-CN"/>
        </w:rPr>
        <w:t>征求意见稿（修改稿）进行逐条完善、修改表述。</w:t>
      </w:r>
    </w:p>
    <w:p>
      <w:pPr>
        <w:pStyle w:val="10"/>
        <w:keepNext w:val="0"/>
        <w:keepLines w:val="0"/>
        <w:pageBreakBefore w:val="0"/>
        <w:kinsoku/>
        <w:wordWrap/>
        <w:overflowPunct/>
        <w:topLinePunct w:val="0"/>
        <w:bidi w:val="0"/>
        <w:spacing w:line="360" w:lineRule="auto"/>
        <w:ind w:firstLine="0" w:firstLineChars="0"/>
        <w:textAlignment w:val="auto"/>
        <w:outlineLvl w:val="0"/>
        <w:rPr>
          <w:rFonts w:ascii="Times New Roman" w:eastAsia="黑体"/>
          <w:kern w:val="2"/>
          <w:sz w:val="24"/>
          <w:szCs w:val="24"/>
        </w:rPr>
      </w:pPr>
      <w:r>
        <w:rPr>
          <w:rFonts w:hint="eastAsia" w:ascii="Times New Roman" w:eastAsia="黑体"/>
          <w:kern w:val="2"/>
          <w:sz w:val="24"/>
          <w:szCs w:val="24"/>
        </w:rPr>
        <w:t>四</w:t>
      </w:r>
      <w:r>
        <w:rPr>
          <w:rFonts w:ascii="Times New Roman" w:eastAsia="黑体"/>
          <w:kern w:val="2"/>
          <w:sz w:val="24"/>
          <w:szCs w:val="24"/>
        </w:rPr>
        <w:t>、</w:t>
      </w:r>
      <w:r>
        <w:rPr>
          <w:rFonts w:hint="eastAsia" w:ascii="Times New Roman" w:eastAsia="黑体"/>
          <w:kern w:val="2"/>
          <w:sz w:val="24"/>
          <w:szCs w:val="24"/>
        </w:rPr>
        <w:t>标准</w:t>
      </w:r>
      <w:r>
        <w:rPr>
          <w:rFonts w:ascii="Times New Roman" w:eastAsia="黑体"/>
          <w:kern w:val="2"/>
          <w:sz w:val="24"/>
          <w:szCs w:val="24"/>
        </w:rPr>
        <w:t>编制原则</w:t>
      </w:r>
    </w:p>
    <w:p>
      <w:pPr>
        <w:pStyle w:val="10"/>
        <w:keepNext w:val="0"/>
        <w:keepLines w:val="0"/>
        <w:pageBreakBefore w:val="0"/>
        <w:kinsoku/>
        <w:wordWrap/>
        <w:overflowPunct/>
        <w:topLinePunct w:val="0"/>
        <w:bidi w:val="0"/>
        <w:spacing w:line="360" w:lineRule="auto"/>
        <w:ind w:firstLine="0" w:firstLineChars="0"/>
        <w:textAlignment w:val="auto"/>
        <w:outlineLvl w:val="1"/>
        <w:rPr>
          <w:rFonts w:ascii="Times New Roman"/>
          <w:b/>
          <w:bCs/>
          <w:sz w:val="24"/>
        </w:rPr>
      </w:pPr>
      <w:r>
        <w:rPr>
          <w:rFonts w:ascii="Times New Roman"/>
          <w:b/>
          <w:bCs/>
          <w:sz w:val="24"/>
        </w:rPr>
        <w:t>1. 编制原则</w:t>
      </w:r>
    </w:p>
    <w:p>
      <w:pPr>
        <w:pStyle w:val="10"/>
        <w:keepNext w:val="0"/>
        <w:keepLines w:val="0"/>
        <w:pageBreakBefore w:val="0"/>
        <w:tabs>
          <w:tab w:val="left" w:pos="1440"/>
        </w:tabs>
        <w:kinsoku/>
        <w:wordWrap/>
        <w:overflowPunct/>
        <w:topLinePunct w:val="0"/>
        <w:bidi w:val="0"/>
        <w:spacing w:line="360" w:lineRule="auto"/>
        <w:ind w:firstLine="480"/>
        <w:textAlignment w:val="auto"/>
        <w:rPr>
          <w:rFonts w:hint="default" w:ascii="Times New Roman" w:hAnsi="Times New Roman" w:cs="Times New Roman"/>
          <w:sz w:val="24"/>
        </w:rPr>
      </w:pPr>
      <w:r>
        <w:rPr>
          <w:rFonts w:hint="default" w:ascii="Times New Roman" w:hAnsi="Times New Roman" w:cs="Times New Roman"/>
          <w:sz w:val="24"/>
        </w:rPr>
        <w:t xml:space="preserve">（1）准确性  </w:t>
      </w:r>
      <w:r>
        <w:rPr>
          <w:rFonts w:hint="eastAsia" w:ascii="Times New Roman" w:cs="Times New Roman"/>
          <w:sz w:val="24"/>
          <w:lang w:val="en-US" w:eastAsia="zh-CN"/>
        </w:rPr>
        <w:t>本标准</w:t>
      </w:r>
      <w:r>
        <w:rPr>
          <w:rFonts w:hint="default" w:ascii="Times New Roman" w:hAnsi="Times New Roman" w:cs="Times New Roman"/>
          <w:sz w:val="24"/>
        </w:rPr>
        <w:t>所规定的条款力求明确而无歧义。</w:t>
      </w:r>
    </w:p>
    <w:p>
      <w:pPr>
        <w:keepNext w:val="0"/>
        <w:keepLines w:val="0"/>
        <w:pageBreakBefore w:val="0"/>
        <w:kinsoku/>
        <w:wordWrap/>
        <w:overflowPunct/>
        <w:topLinePunct w:val="0"/>
        <w:bidi w:val="0"/>
        <w:spacing w:line="360" w:lineRule="auto"/>
        <w:ind w:firstLine="480" w:firstLineChars="200"/>
        <w:textAlignment w:val="auto"/>
        <w:rPr>
          <w:rFonts w:hint="default" w:ascii="Times New Roman" w:hAnsi="Times New Roman" w:cs="Times New Roman"/>
          <w:sz w:val="24"/>
        </w:rPr>
      </w:pPr>
      <w:r>
        <w:rPr>
          <w:rFonts w:hint="default" w:ascii="Times New Roman" w:hAnsi="Times New Roman" w:cs="Times New Roman"/>
          <w:sz w:val="24"/>
        </w:rPr>
        <w:t>（2）统一性  标准结构、文体和术语力求统一。</w:t>
      </w:r>
      <w:r>
        <w:rPr>
          <w:rFonts w:hint="eastAsia" w:ascii="Times New Roman" w:hAnsi="Times New Roman" w:cs="Times New Roman"/>
          <w:sz w:val="24"/>
        </w:rPr>
        <w:t>本</w:t>
      </w:r>
      <w:r>
        <w:rPr>
          <w:rFonts w:hint="eastAsia" w:ascii="Times New Roman" w:hAnsi="Times New Roman" w:cs="Times New Roman"/>
          <w:sz w:val="24"/>
          <w:lang w:val="en-US" w:eastAsia="zh-CN"/>
        </w:rPr>
        <w:t>标准</w:t>
      </w:r>
      <w:r>
        <w:rPr>
          <w:rFonts w:hint="eastAsia" w:ascii="Times New Roman" w:hAnsi="Times New Roman" w:cs="Times New Roman"/>
          <w:sz w:val="24"/>
        </w:rPr>
        <w:t>按</w:t>
      </w:r>
      <w:r>
        <w:rPr>
          <w:rFonts w:hint="eastAsia" w:ascii="Times New Roman" w:hAnsi="Times New Roman" w:cs="Times New Roman"/>
          <w:sz w:val="24"/>
          <w:lang w:val="en-US" w:eastAsia="zh-CN"/>
        </w:rPr>
        <w:t>照GB/T 1.1-2020</w:t>
      </w:r>
      <w:r>
        <w:rPr>
          <w:rFonts w:hint="eastAsia" w:ascii="Times New Roman" w:hAnsi="Times New Roman" w:cs="Times New Roman"/>
          <w:sz w:val="24"/>
        </w:rPr>
        <w:t>《标准化导则</w:t>
      </w:r>
      <w:r>
        <w:rPr>
          <w:rFonts w:hint="default" w:ascii="Times New Roman" w:hAnsi="Times New Roman" w:cs="Times New Roman"/>
          <w:sz w:val="24"/>
        </w:rPr>
        <w:t xml:space="preserve"> </w:t>
      </w:r>
      <w:r>
        <w:rPr>
          <w:rFonts w:hint="eastAsia" w:ascii="Times New Roman" w:hAnsi="Times New Roman" w:cs="Times New Roman"/>
          <w:sz w:val="24"/>
        </w:rPr>
        <w:t>第</w:t>
      </w:r>
      <w:r>
        <w:rPr>
          <w:rFonts w:hint="default" w:ascii="Times New Roman" w:hAnsi="Times New Roman" w:cs="Times New Roman"/>
          <w:sz w:val="24"/>
        </w:rPr>
        <w:t>1</w:t>
      </w:r>
      <w:r>
        <w:rPr>
          <w:rFonts w:hint="eastAsia" w:ascii="Times New Roman" w:hAnsi="Times New Roman" w:cs="Times New Roman"/>
          <w:sz w:val="24"/>
        </w:rPr>
        <w:t>部分：标准化文件的结构和起草规则》的规定起草</w:t>
      </w:r>
      <w:r>
        <w:rPr>
          <w:rFonts w:hint="default" w:ascii="Times New Roman" w:hAnsi="Times New Roman" w:cs="Times New Roman"/>
          <w:sz w:val="24"/>
        </w:rPr>
        <w:t>。</w:t>
      </w:r>
    </w:p>
    <w:p>
      <w:pPr>
        <w:pStyle w:val="10"/>
        <w:keepNext w:val="0"/>
        <w:keepLines w:val="0"/>
        <w:pageBreakBefore w:val="0"/>
        <w:kinsoku/>
        <w:wordWrap/>
        <w:overflowPunct/>
        <w:topLinePunct w:val="0"/>
        <w:bidi w:val="0"/>
        <w:spacing w:line="360" w:lineRule="auto"/>
        <w:ind w:firstLine="480"/>
        <w:textAlignment w:val="auto"/>
        <w:rPr>
          <w:rFonts w:hint="default" w:ascii="Times New Roman" w:hAnsi="Times New Roman" w:cs="Times New Roman"/>
          <w:sz w:val="24"/>
        </w:rPr>
      </w:pPr>
      <w:r>
        <w:rPr>
          <w:rFonts w:hint="default" w:ascii="Times New Roman" w:hAnsi="Times New Roman" w:cs="Times New Roman"/>
          <w:sz w:val="24"/>
        </w:rPr>
        <w:t>（3）协调性  充分结合现有基础标准的有关条款，达到相互协调。</w:t>
      </w:r>
    </w:p>
    <w:p>
      <w:pPr>
        <w:pStyle w:val="10"/>
        <w:keepNext w:val="0"/>
        <w:keepLines w:val="0"/>
        <w:pageBreakBefore w:val="0"/>
        <w:kinsoku/>
        <w:wordWrap/>
        <w:overflowPunct/>
        <w:topLinePunct w:val="0"/>
        <w:bidi w:val="0"/>
        <w:spacing w:line="360" w:lineRule="auto"/>
        <w:ind w:firstLine="480"/>
        <w:textAlignment w:val="auto"/>
        <w:rPr>
          <w:rFonts w:hint="default" w:ascii="Times New Roman" w:hAnsi="Times New Roman" w:cs="Times New Roman"/>
          <w:sz w:val="24"/>
        </w:rPr>
      </w:pPr>
      <w:r>
        <w:rPr>
          <w:rFonts w:hint="default" w:ascii="Times New Roman" w:hAnsi="Times New Roman" w:cs="Times New Roman"/>
          <w:sz w:val="24"/>
        </w:rPr>
        <w:t>（4）适用性  内容易于实施，便于被其它</w:t>
      </w:r>
      <w:r>
        <w:rPr>
          <w:rFonts w:hint="eastAsia" w:ascii="Times New Roman" w:cs="Times New Roman"/>
          <w:sz w:val="24"/>
          <w:lang w:val="en-US" w:eastAsia="zh-CN"/>
        </w:rPr>
        <w:t>标准</w:t>
      </w:r>
      <w:r>
        <w:rPr>
          <w:rFonts w:hint="default" w:ascii="Times New Roman" w:hAnsi="Times New Roman" w:cs="Times New Roman"/>
          <w:sz w:val="24"/>
        </w:rPr>
        <w:t>所引用且具可操作性。</w:t>
      </w:r>
    </w:p>
    <w:p>
      <w:pPr>
        <w:pStyle w:val="10"/>
        <w:keepNext w:val="0"/>
        <w:keepLines w:val="0"/>
        <w:pageBreakBefore w:val="0"/>
        <w:kinsoku/>
        <w:wordWrap/>
        <w:overflowPunct/>
        <w:topLinePunct w:val="0"/>
        <w:bidi w:val="0"/>
        <w:spacing w:line="360" w:lineRule="auto"/>
        <w:ind w:firstLine="480"/>
        <w:textAlignment w:val="auto"/>
        <w:rPr>
          <w:rFonts w:hint="default" w:ascii="Times New Roman" w:hAnsi="Times New Roman" w:cs="Times New Roman"/>
          <w:sz w:val="24"/>
        </w:rPr>
      </w:pPr>
      <w:r>
        <w:rPr>
          <w:rFonts w:hint="default" w:ascii="Times New Roman" w:hAnsi="Times New Roman" w:cs="Times New Roman"/>
          <w:sz w:val="24"/>
        </w:rPr>
        <w:t>（5）特殊性  本</w:t>
      </w:r>
      <w:r>
        <w:rPr>
          <w:rFonts w:hint="eastAsia" w:ascii="Times New Roman" w:cs="Times New Roman"/>
          <w:sz w:val="24"/>
          <w:lang w:val="en-US" w:eastAsia="zh-CN"/>
        </w:rPr>
        <w:t>标准</w:t>
      </w:r>
      <w:r>
        <w:rPr>
          <w:rFonts w:hint="default" w:ascii="Times New Roman" w:hAnsi="Times New Roman" w:cs="Times New Roman"/>
          <w:sz w:val="24"/>
        </w:rPr>
        <w:t>既遵循相关国家</w:t>
      </w:r>
      <w:r>
        <w:rPr>
          <w:rFonts w:hint="eastAsia" w:ascii="Times New Roman" w:cs="Times New Roman"/>
          <w:sz w:val="24"/>
          <w:lang w:val="en-US" w:eastAsia="zh-CN"/>
        </w:rPr>
        <w:t>或行业</w:t>
      </w:r>
      <w:r>
        <w:rPr>
          <w:rFonts w:hint="default" w:ascii="Times New Roman" w:hAnsi="Times New Roman" w:cs="Times New Roman"/>
          <w:sz w:val="24"/>
        </w:rPr>
        <w:t>标准的要求，又体现</w:t>
      </w:r>
      <w:r>
        <w:rPr>
          <w:rFonts w:hint="eastAsia" w:ascii="Times New Roman" w:hAnsi="Times New Roman" w:cs="Times New Roman"/>
          <w:sz w:val="24"/>
          <w:lang w:val="en-US" w:eastAsia="zh-CN"/>
        </w:rPr>
        <w:t>土猪肉质风味</w:t>
      </w:r>
      <w:r>
        <w:rPr>
          <w:rFonts w:hint="default" w:ascii="Times New Roman" w:hAnsi="Times New Roman" w:cs="Times New Roman"/>
          <w:sz w:val="24"/>
        </w:rPr>
        <w:t>特殊性，并注重实用性和可操作性。</w:t>
      </w:r>
    </w:p>
    <w:p>
      <w:pPr>
        <w:pStyle w:val="10"/>
        <w:keepNext w:val="0"/>
        <w:keepLines w:val="0"/>
        <w:pageBreakBefore w:val="0"/>
        <w:kinsoku/>
        <w:wordWrap/>
        <w:overflowPunct/>
        <w:topLinePunct w:val="0"/>
        <w:bidi w:val="0"/>
        <w:spacing w:line="360" w:lineRule="auto"/>
        <w:ind w:firstLine="0" w:firstLineChars="0"/>
        <w:textAlignment w:val="auto"/>
        <w:outlineLvl w:val="1"/>
        <w:rPr>
          <w:rFonts w:ascii="Times New Roman"/>
          <w:b/>
          <w:bCs/>
          <w:sz w:val="24"/>
        </w:rPr>
      </w:pPr>
      <w:r>
        <w:rPr>
          <w:rFonts w:hint="eastAsia" w:ascii="Times New Roman"/>
          <w:b/>
          <w:bCs/>
          <w:sz w:val="24"/>
        </w:rPr>
        <w:t>2.</w:t>
      </w:r>
      <w:r>
        <w:rPr>
          <w:rFonts w:ascii="Times New Roman"/>
          <w:b/>
          <w:bCs/>
          <w:sz w:val="24"/>
        </w:rPr>
        <w:t xml:space="preserve"> </w:t>
      </w:r>
      <w:r>
        <w:rPr>
          <w:rFonts w:hint="eastAsia" w:ascii="Times New Roman"/>
          <w:b/>
          <w:bCs/>
          <w:sz w:val="24"/>
        </w:rPr>
        <w:t>编制依据</w:t>
      </w:r>
    </w:p>
    <w:p>
      <w:pPr>
        <w:keepNext w:val="0"/>
        <w:keepLines w:val="0"/>
        <w:pageBreakBefore w:val="0"/>
        <w:kinsoku/>
        <w:wordWrap/>
        <w:overflowPunct/>
        <w:topLinePunct w:val="0"/>
        <w:bidi w:val="0"/>
        <w:spacing w:line="360" w:lineRule="auto"/>
        <w:ind w:firstLine="480" w:firstLineChars="200"/>
        <w:textAlignment w:val="auto"/>
        <w:rPr>
          <w:rFonts w:hint="default" w:ascii="Times New Roman" w:hAnsi="Times New Roman" w:cs="Times New Roman"/>
          <w:kern w:val="0"/>
          <w:sz w:val="24"/>
        </w:rPr>
      </w:pPr>
      <w:r>
        <w:rPr>
          <w:rFonts w:hint="default" w:ascii="Times New Roman" w:hAnsi="Times New Roman" w:cs="Times New Roman"/>
          <w:kern w:val="0"/>
          <w:sz w:val="24"/>
        </w:rPr>
        <w:t>基于</w:t>
      </w:r>
      <w:r>
        <w:rPr>
          <w:rFonts w:hint="eastAsia" w:ascii="Times New Roman" w:hAnsi="Times New Roman" w:cs="Times New Roman"/>
          <w:kern w:val="0"/>
          <w:sz w:val="24"/>
          <w:lang w:val="en-US" w:eastAsia="zh-CN"/>
        </w:rPr>
        <w:t>试验</w:t>
      </w:r>
      <w:r>
        <w:rPr>
          <w:rFonts w:hint="default" w:ascii="Times New Roman" w:hAnsi="Times New Roman" w:cs="Times New Roman"/>
          <w:kern w:val="0"/>
          <w:sz w:val="24"/>
        </w:rPr>
        <w:t>验证基础数据，参照相关</w:t>
      </w:r>
      <w:r>
        <w:rPr>
          <w:rFonts w:hint="eastAsia" w:ascii="Times New Roman" w:hAnsi="Times New Roman" w:cs="Times New Roman"/>
          <w:kern w:val="0"/>
          <w:sz w:val="24"/>
          <w:lang w:val="en-US" w:eastAsia="zh-CN"/>
        </w:rPr>
        <w:t>国家、行业标准及</w:t>
      </w:r>
      <w:r>
        <w:rPr>
          <w:rFonts w:hint="default" w:ascii="Times New Roman" w:hAnsi="Times New Roman" w:cs="Times New Roman"/>
          <w:kern w:val="0"/>
          <w:sz w:val="24"/>
        </w:rPr>
        <w:t>文献研究成果，按照</w:t>
      </w:r>
      <w:r>
        <w:rPr>
          <w:rFonts w:hint="eastAsia" w:ascii="Times New Roman" w:hAnsi="Times New Roman" w:cs="Times New Roman"/>
          <w:kern w:val="0"/>
          <w:sz w:val="24"/>
          <w:lang w:val="en-US" w:eastAsia="zh-CN"/>
        </w:rPr>
        <w:t>GB/T 1.1-2020</w:t>
      </w:r>
      <w:r>
        <w:rPr>
          <w:rFonts w:hint="eastAsia" w:ascii="Times New Roman" w:hAnsi="Times New Roman" w:cs="Times New Roman"/>
          <w:kern w:val="0"/>
          <w:sz w:val="24"/>
        </w:rPr>
        <w:t>《标准化导则</w:t>
      </w:r>
      <w:r>
        <w:rPr>
          <w:rFonts w:hint="default" w:ascii="Times New Roman" w:hAnsi="Times New Roman" w:cs="Times New Roman"/>
          <w:kern w:val="0"/>
          <w:sz w:val="24"/>
        </w:rPr>
        <w:t xml:space="preserve"> </w:t>
      </w:r>
      <w:r>
        <w:rPr>
          <w:rFonts w:hint="eastAsia" w:ascii="Times New Roman" w:hAnsi="Times New Roman" w:cs="Times New Roman"/>
          <w:kern w:val="0"/>
          <w:sz w:val="24"/>
        </w:rPr>
        <w:t>第</w:t>
      </w:r>
      <w:r>
        <w:rPr>
          <w:rFonts w:hint="default" w:ascii="Times New Roman" w:hAnsi="Times New Roman" w:cs="Times New Roman"/>
          <w:kern w:val="0"/>
          <w:sz w:val="24"/>
        </w:rPr>
        <w:t>1</w:t>
      </w:r>
      <w:r>
        <w:rPr>
          <w:rFonts w:hint="eastAsia" w:ascii="Times New Roman" w:hAnsi="Times New Roman" w:cs="Times New Roman"/>
          <w:kern w:val="0"/>
          <w:sz w:val="24"/>
        </w:rPr>
        <w:t>部分：标准化文件的结构和起草规则》的规定起草。</w:t>
      </w:r>
      <w:r>
        <w:rPr>
          <w:rFonts w:hint="default" w:ascii="Times New Roman" w:hAnsi="Times New Roman" w:cs="Times New Roman"/>
          <w:kern w:val="0"/>
          <w:sz w:val="24"/>
        </w:rPr>
        <w:t>制标过程参照了</w:t>
      </w:r>
      <w:r>
        <w:rPr>
          <w:rFonts w:hint="eastAsia" w:ascii="Times New Roman" w:hAnsi="Times New Roman" w:cs="Times New Roman"/>
          <w:kern w:val="0"/>
          <w:sz w:val="24"/>
          <w:lang w:val="en-US" w:eastAsia="zh-CN"/>
        </w:rPr>
        <w:t>10</w:t>
      </w:r>
      <w:r>
        <w:rPr>
          <w:rFonts w:hint="default" w:ascii="Times New Roman" w:hAnsi="Times New Roman" w:cs="Times New Roman"/>
          <w:kern w:val="0"/>
          <w:sz w:val="24"/>
        </w:rPr>
        <w:t>个国家标准，</w:t>
      </w:r>
      <w:r>
        <w:rPr>
          <w:rFonts w:hint="eastAsia" w:ascii="Times New Roman" w:hAnsi="Times New Roman" w:cs="Times New Roman"/>
          <w:kern w:val="0"/>
          <w:sz w:val="24"/>
          <w:lang w:val="en-US" w:eastAsia="zh-CN"/>
        </w:rPr>
        <w:t>3</w:t>
      </w:r>
      <w:r>
        <w:rPr>
          <w:rFonts w:hint="default" w:ascii="Times New Roman" w:hAnsi="Times New Roman" w:cs="Times New Roman"/>
          <w:kern w:val="0"/>
          <w:sz w:val="24"/>
        </w:rPr>
        <w:t>个</w:t>
      </w:r>
      <w:r>
        <w:rPr>
          <w:rFonts w:hint="default" w:ascii="Times New Roman" w:hAnsi="Times New Roman" w:cs="Times New Roman"/>
          <w:kern w:val="0"/>
          <w:sz w:val="24"/>
          <w:lang w:val="en-US" w:eastAsia="zh-CN"/>
        </w:rPr>
        <w:t>农业行业标准</w:t>
      </w:r>
      <w:r>
        <w:rPr>
          <w:rFonts w:hint="default" w:ascii="Times New Roman" w:hAnsi="Times New Roman" w:cs="Times New Roman"/>
          <w:kern w:val="0"/>
          <w:sz w:val="24"/>
        </w:rPr>
        <w:t>编制完成。</w:t>
      </w:r>
    </w:p>
    <w:p>
      <w:pPr>
        <w:pStyle w:val="10"/>
        <w:keepNext w:val="0"/>
        <w:keepLines w:val="0"/>
        <w:pageBreakBefore w:val="0"/>
        <w:kinsoku/>
        <w:wordWrap/>
        <w:overflowPunct/>
        <w:topLinePunct w:val="0"/>
        <w:bidi w:val="0"/>
        <w:spacing w:line="360" w:lineRule="auto"/>
        <w:ind w:firstLine="0" w:firstLineChars="0"/>
        <w:textAlignment w:val="auto"/>
        <w:outlineLvl w:val="0"/>
        <w:rPr>
          <w:rFonts w:ascii="Times New Roman" w:eastAsia="黑体"/>
          <w:kern w:val="2"/>
          <w:sz w:val="24"/>
          <w:szCs w:val="24"/>
        </w:rPr>
      </w:pPr>
      <w:r>
        <w:rPr>
          <w:rFonts w:hint="eastAsia" w:ascii="Times New Roman" w:eastAsia="黑体"/>
          <w:kern w:val="2"/>
          <w:sz w:val="24"/>
          <w:szCs w:val="24"/>
        </w:rPr>
        <w:t>五、标准主要内容</w:t>
      </w:r>
    </w:p>
    <w:p>
      <w:pPr>
        <w:pStyle w:val="10"/>
        <w:keepNext w:val="0"/>
        <w:keepLines w:val="0"/>
        <w:pageBreakBefore w:val="0"/>
        <w:kinsoku/>
        <w:wordWrap/>
        <w:overflowPunct/>
        <w:topLinePunct w:val="0"/>
        <w:bidi w:val="0"/>
        <w:spacing w:line="360" w:lineRule="auto"/>
        <w:ind w:firstLine="480"/>
        <w:textAlignment w:val="auto"/>
        <w:rPr>
          <w:rFonts w:hint="eastAsia" w:ascii="Times New Roman" w:eastAsia="黑体"/>
          <w:kern w:val="2"/>
          <w:sz w:val="24"/>
          <w:szCs w:val="24"/>
        </w:rPr>
      </w:pPr>
      <w:r>
        <w:rPr>
          <w:rFonts w:hint="eastAsia" w:ascii="Times New Roman"/>
          <w:sz w:val="24"/>
          <w:szCs w:val="24"/>
          <w:lang w:val="en-US" w:eastAsia="zh-CN"/>
        </w:rPr>
        <w:t>本标准规定了土猪关键肉质指标参数及量化标准，适用于指导土猪肉品质分级评价。</w:t>
      </w:r>
      <w:r>
        <w:rPr>
          <w:rFonts w:hint="eastAsia" w:ascii="宋体" w:hAnsi="宋体" w:cs="Arial"/>
          <w:sz w:val="24"/>
          <w:szCs w:val="24"/>
          <w:lang w:val="en-US" w:eastAsia="zh-CN"/>
        </w:rPr>
        <w:t>通过</w:t>
      </w:r>
      <w:r>
        <w:rPr>
          <w:rFonts w:hint="eastAsia" w:ascii="宋体" w:hAnsi="宋体" w:eastAsia="宋体" w:cs="宋体"/>
          <w:sz w:val="24"/>
          <w:szCs w:val="24"/>
          <w:lang w:val="en-US" w:eastAsia="zh-CN"/>
        </w:rPr>
        <w:t>系统</w:t>
      </w:r>
      <w:r>
        <w:rPr>
          <w:rFonts w:hint="eastAsia" w:ascii="Times New Roman" w:hAnsi="Times New Roman" w:cs="Times New Roman"/>
          <w:color w:val="000000"/>
          <w:sz w:val="24"/>
          <w:szCs w:val="24"/>
          <w:lang w:eastAsia="zh-CN"/>
        </w:rPr>
        <w:t>测定土猪肉品质性能指标，</w:t>
      </w:r>
      <w:r>
        <w:rPr>
          <w:rFonts w:hint="eastAsia" w:ascii="宋体" w:hAnsi="宋体"/>
          <w:sz w:val="24"/>
          <w:szCs w:val="24"/>
        </w:rPr>
        <w:t>筛选代表性的关键</w:t>
      </w:r>
      <w:r>
        <w:rPr>
          <w:rFonts w:hint="eastAsia" w:ascii="宋体" w:hAnsi="宋体"/>
          <w:sz w:val="24"/>
          <w:szCs w:val="24"/>
          <w:lang w:eastAsia="zh-CN"/>
        </w:rPr>
        <w:t>参数，合理设置区间阈值，</w:t>
      </w:r>
      <w:r>
        <w:rPr>
          <w:rFonts w:hint="eastAsia" w:hAnsi="宋体"/>
          <w:sz w:val="24"/>
          <w:szCs w:val="24"/>
          <w:lang w:val="en-US" w:eastAsia="zh-CN"/>
        </w:rPr>
        <w:t>构成</w:t>
      </w:r>
      <w:r>
        <w:rPr>
          <w:rFonts w:hint="eastAsia" w:ascii="宋体" w:hAnsi="宋体"/>
          <w:sz w:val="24"/>
          <w:szCs w:val="24"/>
          <w:lang w:eastAsia="zh-CN"/>
        </w:rPr>
        <w:t>土猪肉质分级评价</w:t>
      </w:r>
      <w:r>
        <w:rPr>
          <w:rFonts w:hint="eastAsia" w:ascii="宋体" w:hAnsi="宋体"/>
          <w:sz w:val="24"/>
          <w:szCs w:val="24"/>
          <w:lang w:val="en-US" w:eastAsia="zh-CN"/>
        </w:rPr>
        <w:t>体系</w:t>
      </w:r>
      <w:r>
        <w:rPr>
          <w:rFonts w:hint="eastAsia" w:hAnsi="宋体"/>
          <w:sz w:val="24"/>
          <w:szCs w:val="24"/>
          <w:lang w:eastAsia="zh-CN"/>
        </w:rPr>
        <w:t>，</w:t>
      </w:r>
      <w:r>
        <w:rPr>
          <w:rFonts w:hint="eastAsia" w:hAnsi="宋体" w:cs="Arial"/>
          <w:sz w:val="24"/>
          <w:szCs w:val="24"/>
          <w:lang w:val="en-US" w:eastAsia="zh-CN"/>
        </w:rPr>
        <w:t>实现优质优价，可淘汰市场中劣质假冒土猪肉，净化土猪消费市场</w:t>
      </w:r>
      <w:r>
        <w:rPr>
          <w:rFonts w:hint="eastAsia" w:ascii="宋体" w:hAnsi="宋体" w:cs="Arial"/>
          <w:sz w:val="24"/>
          <w:szCs w:val="24"/>
          <w:lang w:val="en-US" w:eastAsia="zh-CN"/>
        </w:rPr>
        <w:t>。</w:t>
      </w:r>
    </w:p>
    <w:p>
      <w:pPr>
        <w:pStyle w:val="10"/>
        <w:keepNext w:val="0"/>
        <w:keepLines w:val="0"/>
        <w:pageBreakBefore w:val="0"/>
        <w:numPr>
          <w:ilvl w:val="0"/>
          <w:numId w:val="0"/>
        </w:numPr>
        <w:kinsoku/>
        <w:wordWrap/>
        <w:overflowPunct/>
        <w:topLinePunct w:val="0"/>
        <w:bidi w:val="0"/>
        <w:spacing w:line="360" w:lineRule="auto"/>
        <w:textAlignment w:val="auto"/>
        <w:outlineLvl w:val="0"/>
        <w:rPr>
          <w:rFonts w:ascii="Times New Roman" w:eastAsia="黑体"/>
          <w:kern w:val="2"/>
          <w:sz w:val="24"/>
          <w:szCs w:val="24"/>
        </w:rPr>
      </w:pPr>
      <w:r>
        <w:rPr>
          <w:rFonts w:hint="eastAsia" w:ascii="Times New Roman" w:eastAsia="黑体"/>
          <w:kern w:val="2"/>
          <w:sz w:val="24"/>
          <w:szCs w:val="24"/>
          <w:lang w:val="en-US" w:eastAsia="zh-CN"/>
        </w:rPr>
        <w:t>六、</w:t>
      </w:r>
      <w:r>
        <w:rPr>
          <w:rFonts w:ascii="Times New Roman" w:eastAsia="黑体"/>
          <w:kern w:val="2"/>
          <w:sz w:val="24"/>
          <w:szCs w:val="24"/>
        </w:rPr>
        <w:t>主要</w:t>
      </w:r>
      <w:r>
        <w:rPr>
          <w:rFonts w:hint="eastAsia" w:ascii="Times New Roman" w:eastAsia="黑体"/>
          <w:kern w:val="2"/>
          <w:sz w:val="24"/>
          <w:szCs w:val="24"/>
          <w:lang w:val="en-US" w:eastAsia="zh-CN"/>
        </w:rPr>
        <w:t>试验测试报告及</w:t>
      </w:r>
      <w:r>
        <w:rPr>
          <w:rFonts w:ascii="Times New Roman" w:eastAsia="黑体"/>
          <w:kern w:val="2"/>
          <w:sz w:val="24"/>
          <w:szCs w:val="24"/>
        </w:rPr>
        <w:t>验证分析</w:t>
      </w:r>
    </w:p>
    <w:p>
      <w:pPr>
        <w:pStyle w:val="10"/>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80" w:firstLineChars="200"/>
        <w:textAlignment w:val="auto"/>
        <w:outlineLvl w:val="0"/>
        <w:rPr>
          <w:rFonts w:hint="default" w:ascii="Times New Roman" w:hAnsi="Times New Roman" w:eastAsia="宋体" w:cs="Times New Roman"/>
          <w:color w:val="000000"/>
          <w:kern w:val="0"/>
          <w:sz w:val="24"/>
          <w:szCs w:val="24"/>
          <w:lang w:val="en-US" w:eastAsia="zh-CN" w:bidi="ar"/>
        </w:rPr>
      </w:pPr>
      <w:r>
        <w:rPr>
          <w:rFonts w:hint="eastAsia" w:hAnsi="宋体" w:eastAsia="宋体" w:cs="宋体"/>
          <w:bCs/>
          <w:kern w:val="0"/>
          <w:sz w:val="24"/>
          <w:szCs w:val="24"/>
          <w:lang w:val="en-US" w:eastAsia="zh-CN" w:bidi="ar-SA"/>
        </w:rPr>
        <w:t>本</w:t>
      </w:r>
      <w:r>
        <w:rPr>
          <w:rFonts w:hint="eastAsia" w:hAnsi="宋体" w:cs="宋体"/>
          <w:bCs/>
          <w:kern w:val="0"/>
          <w:sz w:val="24"/>
          <w:szCs w:val="24"/>
          <w:lang w:val="en-US" w:eastAsia="zh-CN" w:bidi="ar-SA"/>
        </w:rPr>
        <w:t>标准</w:t>
      </w:r>
      <w:r>
        <w:rPr>
          <w:rFonts w:hint="eastAsia" w:hAnsi="宋体" w:eastAsia="宋体" w:cs="宋体"/>
          <w:bCs/>
          <w:kern w:val="0"/>
          <w:sz w:val="24"/>
          <w:szCs w:val="24"/>
          <w:lang w:val="en-US" w:eastAsia="zh-CN" w:bidi="ar-SA"/>
        </w:rPr>
        <w:t>中所定义的土猪所指</w:t>
      </w:r>
      <w:r>
        <w:rPr>
          <w:rFonts w:hint="eastAsia" w:ascii="宋体" w:hAnsi="宋体" w:eastAsia="宋体" w:cs="宋体"/>
          <w:sz w:val="24"/>
          <w:szCs w:val="24"/>
          <w:lang w:val="en-US" w:eastAsia="zh-CN"/>
        </w:rPr>
        <w:t>经品种审定的地方猪及其含有地方</w:t>
      </w:r>
      <w:r>
        <w:rPr>
          <w:rFonts w:hint="default" w:ascii="Times New Roman" w:hAnsi="Times New Roman" w:eastAsia="宋体" w:cs="Times New Roman"/>
          <w:sz w:val="24"/>
          <w:szCs w:val="24"/>
          <w:lang w:val="en-US" w:eastAsia="zh-CN"/>
        </w:rPr>
        <w:t>猪50%以上血缘的杂交猪种，且</w:t>
      </w:r>
      <w:r>
        <w:rPr>
          <w:rFonts w:hint="default" w:ascii="Times New Roman" w:hAnsi="Times New Roman" w:eastAsia="宋体" w:cs="Times New Roman"/>
          <w:color w:val="000000"/>
          <w:kern w:val="0"/>
          <w:sz w:val="24"/>
          <w:szCs w:val="24"/>
          <w:lang w:val="en-US" w:eastAsia="zh-CN" w:bidi="ar"/>
        </w:rPr>
        <w:t>宰前活重处于60kg～80 kg之间。</w:t>
      </w:r>
    </w:p>
    <w:p>
      <w:pPr>
        <w:pStyle w:val="10"/>
        <w:keepNext w:val="0"/>
        <w:keepLines w:val="0"/>
        <w:pageBreakBefore w:val="0"/>
        <w:widowControl/>
        <w:numPr>
          <w:ilvl w:val="0"/>
          <w:numId w:val="0"/>
        </w:numPr>
        <w:kinsoku/>
        <w:wordWrap/>
        <w:overflowPunct/>
        <w:topLinePunct w:val="0"/>
        <w:autoSpaceDE w:val="0"/>
        <w:autoSpaceDN w:val="0"/>
        <w:bidi w:val="0"/>
        <w:adjustRightInd/>
        <w:snapToGrid/>
        <w:spacing w:line="360" w:lineRule="auto"/>
        <w:ind w:firstLine="480" w:firstLineChars="200"/>
        <w:textAlignment w:val="auto"/>
        <w:outlineLvl w:val="0"/>
        <w:rPr>
          <w:rFonts w:hint="default" w:ascii="Times New Roman"/>
          <w:b/>
          <w:sz w:val="24"/>
          <w:lang w:val="en-US"/>
        </w:rPr>
      </w:pPr>
      <w:r>
        <w:rPr>
          <w:rFonts w:hint="default" w:ascii="Times New Roman" w:hAnsi="Times New Roman" w:eastAsia="宋体" w:cs="Times New Roman"/>
          <w:color w:val="000000"/>
          <w:kern w:val="0"/>
          <w:sz w:val="24"/>
          <w:szCs w:val="24"/>
          <w:lang w:val="en-US" w:eastAsia="zh-CN" w:bidi="ar"/>
        </w:rPr>
        <w:t>张凤</w:t>
      </w:r>
      <w:r>
        <w:rPr>
          <w:rFonts w:hint="eastAsia" w:hAnsi="宋体" w:eastAsia="宋体" w:cs="宋体"/>
          <w:color w:val="000000"/>
          <w:kern w:val="0"/>
          <w:sz w:val="24"/>
          <w:szCs w:val="24"/>
          <w:lang w:val="en-US" w:eastAsia="zh-CN" w:bidi="ar"/>
        </w:rPr>
        <w:t>鸣在</w:t>
      </w:r>
      <w:r>
        <w:rPr>
          <w:rFonts w:hint="default" w:ascii="Times New Roman" w:hAnsi="Times New Roman" w:eastAsia="宋体" w:cs="Times New Roman"/>
          <w:color w:val="000000"/>
          <w:sz w:val="24"/>
          <w:szCs w:val="24"/>
        </w:rPr>
        <w:t>《</w:t>
      </w:r>
      <w:r>
        <w:rPr>
          <w:rFonts w:hint="eastAsia" w:ascii="宋体" w:hAnsi="宋体" w:eastAsia="宋体" w:cs="宋体"/>
          <w:color w:val="000000"/>
          <w:kern w:val="0"/>
          <w:sz w:val="24"/>
          <w:szCs w:val="24"/>
          <w:lang w:val="en-US" w:eastAsia="zh-CN" w:bidi="ar"/>
        </w:rPr>
        <w:t>当前我国土猪养殖发展的瓶颈及对策</w:t>
      </w:r>
      <w:r>
        <w:rPr>
          <w:rFonts w:hint="default" w:ascii="Times New Roman" w:hAnsi="Times New Roman" w:eastAsia="宋体" w:cs="Times New Roman"/>
          <w:color w:val="000000"/>
          <w:sz w:val="24"/>
          <w:szCs w:val="24"/>
        </w:rPr>
        <w:t>》</w:t>
      </w:r>
      <w:r>
        <w:rPr>
          <w:rFonts w:hint="eastAsia" w:ascii="Times New Roman" w:hAnsi="Times New Roman" w:eastAsia="宋体" w:cs="Times New Roman"/>
          <w:color w:val="000000"/>
          <w:sz w:val="24"/>
          <w:szCs w:val="24"/>
          <w:lang w:val="en-US" w:eastAsia="zh-CN"/>
        </w:rPr>
        <w:t>中指出</w:t>
      </w:r>
      <w:r>
        <w:rPr>
          <w:rFonts w:hint="eastAsia" w:ascii="Times New Roman" w:cs="Times New Roman"/>
          <w:color w:val="000000"/>
          <w:sz w:val="24"/>
          <w:szCs w:val="24"/>
          <w:lang w:val="en-US" w:eastAsia="zh-CN"/>
        </w:rPr>
        <w:t>，</w:t>
      </w:r>
      <w:r>
        <w:rPr>
          <w:rFonts w:hint="eastAsia" w:ascii="宋体" w:hAnsi="Times New Roman" w:eastAsia="宋体" w:cs="Times New Roman"/>
          <w:kern w:val="0"/>
          <w:sz w:val="24"/>
          <w:szCs w:val="24"/>
          <w:lang w:val="en-US" w:eastAsia="zh-CN" w:bidi="ar-SA"/>
        </w:rPr>
        <w:t>土猪是对我国传统品种猪的统称，如今广泛指在自然环境下养殖的猪，主要是区别于国外进口猪的一种称呼</w:t>
      </w:r>
      <w:r>
        <w:rPr>
          <w:rFonts w:hint="eastAsia" w:ascii="Times New Roman"/>
          <w:kern w:val="2"/>
          <w:sz w:val="24"/>
          <w:szCs w:val="24"/>
          <w:vertAlign w:val="superscript"/>
        </w:rPr>
        <w:t>[</w:t>
      </w:r>
      <w:r>
        <w:rPr>
          <w:rFonts w:hint="eastAsia" w:ascii="Times New Roman"/>
          <w:kern w:val="2"/>
          <w:sz w:val="24"/>
          <w:szCs w:val="24"/>
          <w:vertAlign w:val="superscript"/>
          <w:lang w:val="en-US" w:eastAsia="zh-CN"/>
        </w:rPr>
        <w:t>1</w:t>
      </w:r>
      <w:r>
        <w:rPr>
          <w:rFonts w:hint="eastAsia" w:ascii="Times New Roman"/>
          <w:kern w:val="2"/>
          <w:sz w:val="24"/>
          <w:szCs w:val="24"/>
          <w:vertAlign w:val="superscript"/>
        </w:rPr>
        <w:t>]</w:t>
      </w:r>
      <w:r>
        <w:rPr>
          <w:rFonts w:hint="eastAsia" w:ascii="宋体" w:hAnsi="Times New Roman" w:eastAsia="宋体" w:cs="Times New Roman"/>
          <w:kern w:val="0"/>
          <w:sz w:val="24"/>
          <w:szCs w:val="24"/>
          <w:lang w:val="en-US" w:eastAsia="zh-CN" w:bidi="ar-SA"/>
        </w:rPr>
        <w:t>。而在本</w:t>
      </w:r>
      <w:r>
        <w:rPr>
          <w:rFonts w:hint="eastAsia" w:cs="Times New Roman"/>
          <w:kern w:val="0"/>
          <w:sz w:val="24"/>
          <w:szCs w:val="24"/>
          <w:lang w:val="en-US" w:eastAsia="zh-CN" w:bidi="ar-SA"/>
        </w:rPr>
        <w:t>标准</w:t>
      </w:r>
      <w:r>
        <w:rPr>
          <w:rFonts w:hint="eastAsia" w:ascii="宋体" w:hAnsi="Times New Roman" w:eastAsia="宋体" w:cs="Times New Roman"/>
          <w:kern w:val="0"/>
          <w:sz w:val="24"/>
          <w:szCs w:val="24"/>
          <w:lang w:val="en-US" w:eastAsia="zh-CN" w:bidi="ar-SA"/>
        </w:rPr>
        <w:t>中，起草组对土猪进行了更明确的定义，将范围缩小，指向更加清晰。</w:t>
      </w:r>
    </w:p>
    <w:p>
      <w:pPr>
        <w:pStyle w:val="10"/>
        <w:keepNext w:val="0"/>
        <w:keepLines w:val="0"/>
        <w:pageBreakBefore w:val="0"/>
        <w:numPr>
          <w:ilvl w:val="0"/>
          <w:numId w:val="2"/>
        </w:numPr>
        <w:kinsoku/>
        <w:wordWrap/>
        <w:overflowPunct/>
        <w:topLinePunct w:val="0"/>
        <w:bidi w:val="0"/>
        <w:spacing w:line="360" w:lineRule="auto"/>
        <w:ind w:firstLine="482"/>
        <w:textAlignment w:val="auto"/>
        <w:rPr>
          <w:rFonts w:hint="eastAsia" w:ascii="Times New Roman"/>
          <w:b/>
          <w:sz w:val="24"/>
          <w:lang w:val="en-US" w:eastAsia="zh-CN"/>
        </w:rPr>
      </w:pPr>
      <w:r>
        <w:rPr>
          <w:rFonts w:hint="eastAsia" w:ascii="Times New Roman"/>
          <w:b/>
          <w:sz w:val="24"/>
          <w:lang w:val="en-US" w:eastAsia="zh-CN"/>
        </w:rPr>
        <w:t>生产环境与管理</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eastAsia="宋体"/>
          <w:sz w:val="24"/>
          <w:szCs w:val="24"/>
          <w:lang w:val="en-US" w:eastAsia="zh-CN"/>
        </w:rPr>
      </w:pPr>
      <w:r>
        <w:rPr>
          <w:rFonts w:hint="eastAsia" w:ascii="宋体" w:hAnsi="宋体" w:eastAsia="宋体" w:cs="宋体"/>
          <w:sz w:val="24"/>
          <w:szCs w:val="24"/>
        </w:rPr>
        <w:t>①</w:t>
      </w:r>
      <w:r>
        <w:rPr>
          <w:rFonts w:hint="eastAsia" w:hAnsi="宋体" w:eastAsia="宋体" w:cs="宋体"/>
          <w:sz w:val="24"/>
          <w:szCs w:val="24"/>
          <w:lang w:val="en-US" w:eastAsia="zh-CN"/>
        </w:rPr>
        <w:t xml:space="preserve"> 猪舍选址</w:t>
      </w:r>
      <w:r>
        <w:rPr>
          <w:rFonts w:hint="eastAsia" w:ascii="宋体" w:hAnsi="宋体" w:eastAsia="宋体" w:cs="宋体"/>
          <w:sz w:val="24"/>
          <w:szCs w:val="24"/>
        </w:rPr>
        <w:t>：</w:t>
      </w:r>
      <w:r>
        <w:rPr>
          <w:rFonts w:hint="eastAsia" w:hAnsi="宋体" w:eastAsia="宋体" w:cs="宋体"/>
          <w:sz w:val="24"/>
          <w:szCs w:val="24"/>
          <w:lang w:val="en-US" w:eastAsia="zh-CN"/>
        </w:rPr>
        <w:t>土猪养殖的猪场选址及布</w:t>
      </w:r>
      <w:r>
        <w:rPr>
          <w:rFonts w:hint="default" w:ascii="Times New Roman" w:hAnsi="Times New Roman" w:eastAsia="宋体" w:cs="Times New Roman"/>
          <w:sz w:val="24"/>
          <w:szCs w:val="24"/>
          <w:lang w:val="en-US" w:eastAsia="zh-CN"/>
        </w:rPr>
        <w:t>置</w:t>
      </w:r>
      <w:r>
        <w:rPr>
          <w:rFonts w:hint="eastAsia" w:ascii="Times New Roman" w:hAnsi="Times New Roman" w:eastAsia="宋体" w:cs="Times New Roman"/>
          <w:sz w:val="24"/>
          <w:szCs w:val="24"/>
          <w:lang w:val="en-US" w:eastAsia="zh-CN"/>
        </w:rPr>
        <w:t>应</w:t>
      </w:r>
      <w:r>
        <w:rPr>
          <w:rFonts w:hint="default" w:ascii="Times New Roman" w:hAnsi="Times New Roman" w:eastAsia="宋体" w:cs="Times New Roman"/>
          <w:color w:val="000000"/>
          <w:kern w:val="0"/>
          <w:sz w:val="24"/>
          <w:szCs w:val="24"/>
          <w:lang w:val="en-US" w:eastAsia="zh-CN" w:bidi="ar"/>
        </w:rPr>
        <w:t>符合GB/T 17824.1要求，生产环境符合GB/T 17824.3</w:t>
      </w:r>
      <w:r>
        <w:rPr>
          <w:rFonts w:hint="eastAsia" w:ascii="Times New Roman" w:hAnsi="Times New Roman" w:eastAsia="宋体" w:cs="Times New Roman"/>
          <w:color w:val="000000"/>
          <w:kern w:val="0"/>
          <w:sz w:val="24"/>
          <w:szCs w:val="24"/>
          <w:lang w:val="en-US" w:eastAsia="zh-CN" w:bidi="ar"/>
        </w:rPr>
        <w:t>要求</w:t>
      </w:r>
      <w:r>
        <w:rPr>
          <w:rFonts w:hint="eastAsia" w:ascii="Times New Roman" w:hAnsi="Times New Roman" w:eastAsia="宋体" w:cs="Times New Roman"/>
          <w:color w:val="000000"/>
          <w:sz w:val="24"/>
          <w:szCs w:val="24"/>
          <w:lang w:eastAsia="zh-CN"/>
        </w:rPr>
        <w:t>。</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sz w:val="24"/>
          <w:szCs w:val="24"/>
        </w:rPr>
      </w:pPr>
      <w:r>
        <w:rPr>
          <w:rFonts w:hint="eastAsia" w:ascii="宋体" w:hAnsi="宋体" w:eastAsia="宋体" w:cs="宋体"/>
          <w:sz w:val="24"/>
          <w:szCs w:val="24"/>
          <w:lang w:val="en-US" w:eastAsia="zh-CN"/>
        </w:rPr>
        <w:t>②</w:t>
      </w:r>
      <w:r>
        <w:rPr>
          <w:rFonts w:hint="eastAsia" w:hAnsi="宋体" w:eastAsia="宋体" w:cs="宋体"/>
          <w:sz w:val="24"/>
          <w:szCs w:val="24"/>
          <w:lang w:val="en-US" w:eastAsia="zh-CN"/>
        </w:rPr>
        <w:t xml:space="preserve"> 饲料原料与添加剂选择</w:t>
      </w:r>
      <w:r>
        <w:rPr>
          <w:rFonts w:hint="eastAsia" w:ascii="宋体" w:hAnsi="宋体" w:eastAsia="宋体" w:cs="宋体"/>
          <w:sz w:val="24"/>
          <w:szCs w:val="24"/>
        </w:rPr>
        <w:t>：</w:t>
      </w:r>
      <w:r>
        <w:rPr>
          <w:rFonts w:hint="default" w:ascii="Times New Roman" w:hAnsi="Times New Roman" w:eastAsia="宋体" w:cs="Times New Roman"/>
          <w:sz w:val="24"/>
          <w:szCs w:val="24"/>
          <w:lang w:val="en-US" w:eastAsia="zh-CN"/>
        </w:rPr>
        <w:t>土猪养殖过程中</w:t>
      </w:r>
      <w:r>
        <w:rPr>
          <w:rFonts w:hint="default" w:ascii="Times New Roman" w:hAnsi="Times New Roman" w:eastAsia="宋体" w:cs="Times New Roman"/>
          <w:color w:val="000000"/>
          <w:kern w:val="0"/>
          <w:sz w:val="24"/>
          <w:szCs w:val="24"/>
          <w:lang w:val="en-US" w:eastAsia="zh-CN" w:bidi="ar"/>
        </w:rPr>
        <w:t>猪用饲料原料、饲料添加剂要符合国家饲料原料与饲料添加剂目录，卫生</w:t>
      </w:r>
      <w:r>
        <w:rPr>
          <w:rFonts w:hint="eastAsia" w:ascii="Times New Roman" w:hAnsi="Times New Roman" w:eastAsia="宋体" w:cs="Times New Roman"/>
          <w:color w:val="000000"/>
          <w:kern w:val="0"/>
          <w:sz w:val="24"/>
          <w:szCs w:val="24"/>
          <w:lang w:val="en-US" w:eastAsia="zh-CN" w:bidi="ar"/>
        </w:rPr>
        <w:t>应符合</w:t>
      </w:r>
      <w:r>
        <w:rPr>
          <w:rFonts w:hint="default" w:ascii="Times New Roman" w:hAnsi="Times New Roman" w:eastAsia="宋体" w:cs="Times New Roman"/>
          <w:color w:val="000000"/>
          <w:kern w:val="0"/>
          <w:sz w:val="24"/>
          <w:szCs w:val="24"/>
          <w:lang w:val="en-US" w:eastAsia="zh-CN" w:bidi="ar"/>
        </w:rPr>
        <w:t>GB 13078</w:t>
      </w:r>
      <w:r>
        <w:rPr>
          <w:rFonts w:hint="eastAsia" w:ascii="宋体" w:hAnsi="宋体" w:eastAsia="宋体" w:cs="宋体"/>
          <w:color w:val="000000"/>
          <w:kern w:val="0"/>
          <w:sz w:val="24"/>
          <w:szCs w:val="24"/>
          <w:lang w:val="en-US" w:eastAsia="zh-CN" w:bidi="ar"/>
        </w:rPr>
        <w:t>要求。</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default" w:ascii="宋体" w:hAnsi="宋体" w:eastAsia="宋体" w:cs="宋体"/>
          <w:bCs/>
          <w:kern w:val="0"/>
          <w:sz w:val="24"/>
          <w:szCs w:val="24"/>
          <w:lang w:val="en-US" w:eastAsia="zh-CN" w:bidi="ar-SA"/>
        </w:rPr>
      </w:pPr>
      <w:r>
        <w:rPr>
          <w:rFonts w:hint="eastAsia" w:ascii="宋体" w:hAnsi="宋体" w:eastAsia="宋体" w:cs="宋体"/>
          <w:sz w:val="24"/>
          <w:szCs w:val="24"/>
          <w:lang w:val="en-US" w:eastAsia="zh-CN"/>
        </w:rPr>
        <w:t>③</w:t>
      </w:r>
      <w:r>
        <w:rPr>
          <w:rFonts w:hint="eastAsia" w:hAnsi="宋体" w:eastAsia="宋体" w:cs="宋体"/>
          <w:sz w:val="24"/>
          <w:szCs w:val="24"/>
          <w:lang w:val="en-US" w:eastAsia="zh-CN"/>
        </w:rPr>
        <w:t xml:space="preserve"> 生产管理</w:t>
      </w:r>
      <w:r>
        <w:rPr>
          <w:rFonts w:hint="eastAsia" w:ascii="宋体" w:hAnsi="宋体" w:eastAsia="宋体" w:cs="宋体"/>
          <w:sz w:val="24"/>
          <w:szCs w:val="24"/>
        </w:rPr>
        <w:t>：</w:t>
      </w:r>
      <w:r>
        <w:rPr>
          <w:rFonts w:hint="eastAsia" w:ascii="宋体" w:hAnsi="宋体" w:eastAsia="宋体" w:cs="宋体"/>
          <w:color w:val="000000"/>
          <w:kern w:val="0"/>
          <w:sz w:val="24"/>
          <w:szCs w:val="24"/>
          <w:lang w:val="en-US" w:eastAsia="zh-CN" w:bidi="ar"/>
        </w:rPr>
        <w:t>猪场兽</w:t>
      </w:r>
      <w:r>
        <w:rPr>
          <w:rFonts w:hint="default" w:ascii="Times New Roman" w:hAnsi="Times New Roman" w:eastAsia="宋体" w:cs="Times New Roman"/>
          <w:color w:val="000000"/>
          <w:kern w:val="0"/>
          <w:sz w:val="24"/>
          <w:szCs w:val="24"/>
          <w:lang w:val="en-US" w:eastAsia="zh-CN" w:bidi="ar"/>
        </w:rPr>
        <w:t>医防疫与生产管理</w:t>
      </w:r>
      <w:r>
        <w:rPr>
          <w:rFonts w:hint="eastAsia" w:ascii="Times New Roman" w:hAnsi="Times New Roman" w:eastAsia="宋体" w:cs="Times New Roman"/>
          <w:color w:val="000000"/>
          <w:kern w:val="0"/>
          <w:sz w:val="24"/>
          <w:szCs w:val="24"/>
          <w:lang w:val="en-US" w:eastAsia="zh-CN" w:bidi="ar"/>
        </w:rPr>
        <w:t>应</w:t>
      </w:r>
      <w:r>
        <w:rPr>
          <w:rFonts w:hint="default" w:ascii="Times New Roman" w:hAnsi="Times New Roman" w:eastAsia="宋体" w:cs="Times New Roman"/>
          <w:color w:val="000000"/>
          <w:kern w:val="0"/>
          <w:sz w:val="24"/>
          <w:szCs w:val="24"/>
          <w:lang w:val="en-US" w:eastAsia="zh-CN" w:bidi="ar"/>
        </w:rPr>
        <w:t>符合GB/T 17824.2</w:t>
      </w:r>
      <w:r>
        <w:rPr>
          <w:rFonts w:hint="eastAsia" w:ascii="宋体" w:hAnsi="宋体" w:eastAsia="宋体" w:cs="宋体"/>
          <w:color w:val="000000"/>
          <w:kern w:val="0"/>
          <w:sz w:val="24"/>
          <w:szCs w:val="24"/>
          <w:lang w:val="en-US" w:eastAsia="zh-CN" w:bidi="ar"/>
        </w:rPr>
        <w:t>要求。</w:t>
      </w:r>
    </w:p>
    <w:p>
      <w:pPr>
        <w:pStyle w:val="10"/>
        <w:keepNext w:val="0"/>
        <w:keepLines w:val="0"/>
        <w:pageBreakBefore w:val="0"/>
        <w:kinsoku/>
        <w:wordWrap/>
        <w:overflowPunct/>
        <w:topLinePunct w:val="0"/>
        <w:bidi w:val="0"/>
        <w:spacing w:line="360" w:lineRule="auto"/>
        <w:ind w:firstLine="482"/>
        <w:textAlignment w:val="auto"/>
        <w:rPr>
          <w:rFonts w:hint="default" w:ascii="Times New Roman" w:eastAsia="宋体"/>
          <w:b/>
          <w:sz w:val="24"/>
          <w:lang w:val="en-US" w:eastAsia="zh-CN"/>
        </w:rPr>
      </w:pPr>
      <w:r>
        <w:rPr>
          <w:rFonts w:ascii="Times New Roman"/>
          <w:b/>
          <w:sz w:val="24"/>
        </w:rPr>
        <w:t>（</w:t>
      </w:r>
      <w:r>
        <w:rPr>
          <w:rFonts w:hint="eastAsia" w:ascii="Times New Roman"/>
          <w:b/>
          <w:sz w:val="24"/>
          <w:lang w:val="en-US" w:eastAsia="zh-CN"/>
        </w:rPr>
        <w:t>2</w:t>
      </w:r>
      <w:r>
        <w:rPr>
          <w:rFonts w:ascii="Times New Roman"/>
          <w:b/>
          <w:sz w:val="24"/>
        </w:rPr>
        <w:t>）</w:t>
      </w:r>
      <w:r>
        <w:rPr>
          <w:rFonts w:hint="eastAsia" w:ascii="Times New Roman"/>
          <w:b/>
          <w:sz w:val="24"/>
          <w:lang w:val="en-US" w:eastAsia="zh-CN"/>
        </w:rPr>
        <w:t>屠宰免疫与前处理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Cs/>
          <w:kern w:val="0"/>
          <w:sz w:val="24"/>
          <w:szCs w:val="24"/>
          <w:lang w:val="en-US" w:eastAsia="zh-CN" w:bidi="ar-SA"/>
        </w:rPr>
      </w:pPr>
      <w:r>
        <w:rPr>
          <w:rFonts w:hint="eastAsia" w:ascii="宋体" w:hAnsi="宋体" w:eastAsia="宋体" w:cs="宋体"/>
          <w:sz w:val="24"/>
          <w:szCs w:val="24"/>
        </w:rPr>
        <w:t>①</w:t>
      </w:r>
      <w:r>
        <w:rPr>
          <w:rFonts w:hint="eastAsia" w:hAnsi="宋体" w:eastAsia="宋体" w:cs="宋体"/>
          <w:sz w:val="24"/>
          <w:szCs w:val="24"/>
          <w:lang w:val="en-US" w:eastAsia="zh-CN"/>
        </w:rPr>
        <w:t xml:space="preserve"> 屠宰检疫</w:t>
      </w:r>
      <w:r>
        <w:rPr>
          <w:rFonts w:hint="eastAsia" w:ascii="宋体" w:hAnsi="宋体" w:eastAsia="宋体" w:cs="宋体"/>
          <w:sz w:val="24"/>
          <w:szCs w:val="24"/>
        </w:rPr>
        <w:t>：</w:t>
      </w:r>
      <w:r>
        <w:rPr>
          <w:rFonts w:hint="eastAsia" w:hAnsi="宋体" w:eastAsia="宋体" w:cs="宋体"/>
          <w:sz w:val="24"/>
          <w:szCs w:val="24"/>
          <w:lang w:val="en-US" w:eastAsia="zh-CN"/>
        </w:rPr>
        <w:t>土猪</w:t>
      </w:r>
      <w:r>
        <w:rPr>
          <w:rFonts w:hint="eastAsia" w:ascii="宋体" w:hAnsi="宋体" w:eastAsia="宋体" w:cs="宋体"/>
          <w:color w:val="000000"/>
          <w:kern w:val="0"/>
          <w:sz w:val="24"/>
          <w:szCs w:val="24"/>
          <w:lang w:val="en-US" w:eastAsia="zh-CN" w:bidi="ar"/>
        </w:rPr>
        <w:t>屠宰应按照</w:t>
      </w:r>
      <w:r>
        <w:rPr>
          <w:rFonts w:hint="default" w:ascii="Times New Roman" w:hAnsi="Times New Roman" w:eastAsia="宋体" w:cs="Times New Roman"/>
          <w:color w:val="000000"/>
          <w:kern w:val="0"/>
          <w:sz w:val="24"/>
          <w:szCs w:val="24"/>
          <w:lang w:val="en-US" w:eastAsia="zh-CN" w:bidi="ar"/>
        </w:rPr>
        <w:t>NY/T 909</w:t>
      </w:r>
      <w:r>
        <w:rPr>
          <w:rFonts w:hint="eastAsia" w:ascii="宋体" w:hAnsi="宋体" w:eastAsia="宋体" w:cs="宋体"/>
          <w:color w:val="000000"/>
          <w:kern w:val="0"/>
          <w:sz w:val="24"/>
          <w:szCs w:val="24"/>
          <w:lang w:val="en-US" w:eastAsia="zh-CN" w:bidi="ar"/>
        </w:rPr>
        <w:t>行业标准严格检疫。</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黑体" w:cs="Times New Roman"/>
          <w:color w:val="000000"/>
          <w:kern w:val="0"/>
          <w:sz w:val="24"/>
          <w:szCs w:val="24"/>
          <w:lang w:val="en-US" w:eastAsia="zh-CN" w:bidi="ar"/>
        </w:rPr>
      </w:pPr>
      <w:r>
        <w:rPr>
          <w:rFonts w:hint="eastAsia" w:ascii="宋体" w:hAnsi="宋体" w:eastAsia="宋体" w:cs="宋体"/>
          <w:bCs/>
          <w:kern w:val="0"/>
          <w:sz w:val="24"/>
          <w:szCs w:val="24"/>
          <w:lang w:val="en-US" w:eastAsia="zh-CN" w:bidi="ar-SA"/>
        </w:rPr>
        <w:t>为避免环</w:t>
      </w:r>
      <w:r>
        <w:rPr>
          <w:rFonts w:hint="default" w:ascii="Times New Roman" w:hAnsi="Times New Roman" w:eastAsia="宋体" w:cs="Times New Roman"/>
          <w:bCs/>
          <w:kern w:val="0"/>
          <w:sz w:val="24"/>
          <w:szCs w:val="24"/>
          <w:lang w:val="en-US" w:eastAsia="zh-CN" w:bidi="ar-SA"/>
        </w:rPr>
        <w:t>境和饲养方式对屠宰肉质测定产生影响，本标准严格进行猪屠宰前期处理，屠宰前</w:t>
      </w:r>
      <w:r>
        <w:rPr>
          <w:rFonts w:hint="default" w:ascii="Times New Roman" w:hAnsi="Times New Roman" w:eastAsia="宋体" w:cs="Times New Roman"/>
          <w:color w:val="000000"/>
          <w:kern w:val="0"/>
          <w:sz w:val="24"/>
          <w:szCs w:val="24"/>
          <w:lang w:val="en-US" w:eastAsia="zh-CN" w:bidi="ar"/>
        </w:rPr>
        <w:t>猪空腹24</w:t>
      </w:r>
      <w:r>
        <w:rPr>
          <w:rFonts w:hint="eastAsia" w:ascii="Times New Roman" w:hAnsi="Times New Roman" w:eastAsia="宋体" w:cs="Times New Roman"/>
          <w:color w:val="000000"/>
          <w:kern w:val="0"/>
          <w:sz w:val="24"/>
          <w:szCs w:val="24"/>
          <w:lang w:val="en-US" w:eastAsia="zh-CN" w:bidi="ar"/>
        </w:rPr>
        <w:t>h</w:t>
      </w:r>
      <w:r>
        <w:rPr>
          <w:rFonts w:hint="default" w:ascii="Times New Roman" w:hAnsi="Times New Roman" w:eastAsia="宋体" w:cs="Times New Roman"/>
          <w:color w:val="000000"/>
          <w:kern w:val="0"/>
          <w:sz w:val="24"/>
          <w:szCs w:val="24"/>
          <w:lang w:val="en-US" w:eastAsia="zh-CN" w:bidi="ar"/>
        </w:rPr>
        <w:t>，期间避免相互打斗并提供充足饮水，具体工艺参考</w:t>
      </w:r>
      <w:r>
        <w:rPr>
          <w:rFonts w:hint="default" w:ascii="Times New Roman" w:hAnsi="Times New Roman" w:eastAsia="宋体" w:cs="Times New Roman"/>
          <w:bCs/>
          <w:kern w:val="0"/>
          <w:sz w:val="24"/>
          <w:szCs w:val="24"/>
          <w:lang w:val="en-US" w:eastAsia="zh-CN" w:bidi="ar-SA"/>
        </w:rPr>
        <w:t>陈平衡等</w:t>
      </w:r>
      <w:r>
        <w:rPr>
          <w:rFonts w:hint="default" w:ascii="Times New Roman" w:hAnsi="Times New Roman" w:cs="Times New Roman"/>
          <w:kern w:val="2"/>
          <w:sz w:val="24"/>
          <w:szCs w:val="24"/>
          <w:vertAlign w:val="superscript"/>
        </w:rPr>
        <w:t>[</w:t>
      </w:r>
      <w:r>
        <w:rPr>
          <w:rFonts w:hint="default" w:ascii="Times New Roman" w:hAnsi="Times New Roman" w:cs="Times New Roman"/>
          <w:kern w:val="2"/>
          <w:sz w:val="24"/>
          <w:szCs w:val="24"/>
          <w:vertAlign w:val="superscript"/>
          <w:lang w:val="en-US" w:eastAsia="zh-CN"/>
        </w:rPr>
        <w:t>2</w:t>
      </w:r>
      <w:r>
        <w:rPr>
          <w:rFonts w:hint="default" w:ascii="Times New Roman" w:hAnsi="Times New Roman" w:cs="Times New Roman"/>
          <w:kern w:val="2"/>
          <w:sz w:val="24"/>
          <w:szCs w:val="24"/>
          <w:vertAlign w:val="superscript"/>
        </w:rPr>
        <w:t>]</w:t>
      </w:r>
      <w:r>
        <w:rPr>
          <w:rFonts w:hint="default" w:ascii="Times New Roman" w:hAnsi="Times New Roman" w:eastAsia="宋体" w:cs="Times New Roman"/>
          <w:bCs/>
          <w:kern w:val="0"/>
          <w:sz w:val="24"/>
          <w:szCs w:val="24"/>
          <w:lang w:val="en-US" w:eastAsia="zh-CN" w:bidi="ar-SA"/>
        </w:rPr>
        <w:t>编写的《生猪屠宰工艺与品质检验技术》著作，放血部位由猪咽喉正中偏右3cm-3.5cm刺入心脏</w:t>
      </w:r>
      <w:r>
        <w:rPr>
          <w:rFonts w:hint="default" w:ascii="Times New Roman" w:hAnsi="Times New Roman" w:eastAsia="宋体" w:cs="Times New Roman"/>
          <w:color w:val="000000"/>
          <w:kern w:val="0"/>
          <w:sz w:val="24"/>
          <w:szCs w:val="24"/>
          <w:lang w:val="en-US" w:eastAsia="zh-CN" w:bidi="ar"/>
        </w:rPr>
        <w:t>附近，割断前腔或颈动脉，保证顺利放血，土猪黑毛比较多，硬度偏高，烫毛温度不宜过高或过低，最适62℃-65℃，时间维持在5</w:t>
      </w:r>
      <w:r>
        <w:rPr>
          <w:rFonts w:hint="eastAsia" w:ascii="Times New Roman" w:hAnsi="Times New Roman" w:eastAsia="宋体" w:cs="Times New Roman"/>
          <w:color w:val="000000"/>
          <w:kern w:val="0"/>
          <w:sz w:val="24"/>
          <w:szCs w:val="24"/>
          <w:lang w:val="en-US" w:eastAsia="zh-CN" w:bidi="ar"/>
        </w:rPr>
        <w:t>min</w:t>
      </w:r>
      <w:r>
        <w:rPr>
          <w:rFonts w:hint="default" w:ascii="Times New Roman" w:hAnsi="Times New Roman" w:eastAsia="宋体" w:cs="Times New Roman"/>
          <w:color w:val="000000"/>
          <w:kern w:val="0"/>
          <w:sz w:val="24"/>
          <w:szCs w:val="24"/>
          <w:lang w:val="en-US" w:eastAsia="zh-CN" w:bidi="ar"/>
        </w:rPr>
        <w:t>-7</w:t>
      </w:r>
      <w:r>
        <w:rPr>
          <w:rFonts w:hint="eastAsia" w:ascii="Times New Roman" w:hAnsi="Times New Roman" w:eastAsia="宋体" w:cs="Times New Roman"/>
          <w:color w:val="000000"/>
          <w:kern w:val="0"/>
          <w:sz w:val="24"/>
          <w:szCs w:val="24"/>
          <w:lang w:val="en-US" w:eastAsia="zh-CN" w:bidi="ar"/>
        </w:rPr>
        <w:t>min</w:t>
      </w:r>
      <w:r>
        <w:rPr>
          <w:rFonts w:hint="default" w:ascii="Times New Roman" w:hAnsi="Times New Roman" w:eastAsia="宋体" w:cs="Times New Roman"/>
          <w:color w:val="000000"/>
          <w:kern w:val="0"/>
          <w:sz w:val="24"/>
          <w:szCs w:val="24"/>
          <w:lang w:val="en-US" w:eastAsia="zh-CN" w:bidi="ar"/>
        </w:rPr>
        <w:t>。</w:t>
      </w:r>
    </w:p>
    <w:p>
      <w:pPr>
        <w:pStyle w:val="10"/>
        <w:keepNext w:val="0"/>
        <w:keepLines w:val="0"/>
        <w:pageBreakBefore w:val="0"/>
        <w:kinsoku/>
        <w:wordWrap/>
        <w:overflowPunct/>
        <w:topLinePunct w:val="0"/>
        <w:bidi w:val="0"/>
        <w:spacing w:line="360" w:lineRule="auto"/>
        <w:ind w:firstLine="482"/>
        <w:textAlignment w:val="auto"/>
        <w:rPr>
          <w:rFonts w:hint="default" w:ascii="Times New Roman" w:eastAsia="宋体"/>
          <w:b/>
          <w:sz w:val="24"/>
          <w:lang w:val="en-US" w:eastAsia="zh-CN"/>
        </w:rPr>
      </w:pPr>
      <w:r>
        <w:rPr>
          <w:rFonts w:ascii="Times New Roman"/>
          <w:b/>
          <w:sz w:val="24"/>
        </w:rPr>
        <w:t>（</w:t>
      </w:r>
      <w:r>
        <w:rPr>
          <w:rFonts w:hint="eastAsia" w:ascii="Times New Roman"/>
          <w:b/>
          <w:sz w:val="24"/>
          <w:lang w:val="en-US" w:eastAsia="zh-CN"/>
        </w:rPr>
        <w:t>3</w:t>
      </w:r>
      <w:r>
        <w:rPr>
          <w:rFonts w:ascii="Times New Roman"/>
          <w:b/>
          <w:sz w:val="24"/>
        </w:rPr>
        <w:t>）</w:t>
      </w:r>
      <w:r>
        <w:rPr>
          <w:rFonts w:hint="eastAsia" w:ascii="Times New Roman"/>
          <w:b/>
          <w:sz w:val="24"/>
          <w:lang w:val="en-US" w:eastAsia="zh-CN"/>
        </w:rPr>
        <w:t>猪肉部位的采集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color w:val="000000"/>
          <w:kern w:val="0"/>
          <w:sz w:val="24"/>
          <w:szCs w:val="24"/>
          <w:lang w:val="en-US" w:eastAsia="zh-CN" w:bidi="ar"/>
        </w:rPr>
      </w:pPr>
      <w:r>
        <w:rPr>
          <w:rFonts w:hint="default" w:ascii="Times New Roman" w:hAnsi="Times New Roman" w:eastAsia="宋体" w:cs="Times New Roman"/>
          <w:color w:val="000000"/>
          <w:kern w:val="0"/>
          <w:sz w:val="24"/>
          <w:szCs w:val="24"/>
          <w:lang w:val="en-US" w:eastAsia="zh-CN" w:bidi="ar"/>
        </w:rPr>
        <w:t>土猪</w:t>
      </w:r>
      <w:r>
        <w:rPr>
          <w:rFonts w:hint="eastAsia" w:ascii="Times New Roman" w:hAnsi="Times New Roman" w:eastAsia="宋体" w:cs="Times New Roman"/>
          <w:color w:val="000000"/>
          <w:kern w:val="0"/>
          <w:sz w:val="24"/>
          <w:szCs w:val="24"/>
          <w:lang w:val="en-US" w:eastAsia="zh-CN" w:bidi="ar"/>
        </w:rPr>
        <w:t>应按照</w:t>
      </w:r>
      <w:r>
        <w:rPr>
          <w:rFonts w:hint="default" w:ascii="Times New Roman" w:hAnsi="Times New Roman" w:eastAsia="宋体" w:cs="Times New Roman"/>
          <w:color w:val="000000"/>
          <w:kern w:val="0"/>
          <w:sz w:val="24"/>
          <w:szCs w:val="24"/>
          <w:lang w:val="en-US" w:eastAsia="zh-CN" w:bidi="ar"/>
        </w:rPr>
        <w:t>GB/T 9959.2分割后，胴体开膛劈半保持左右对称，</w:t>
      </w:r>
      <w:r>
        <w:rPr>
          <w:rFonts w:hint="eastAsia" w:ascii="Times New Roman" w:hAnsi="Times New Roman" w:eastAsia="宋体" w:cs="Times New Roman"/>
          <w:color w:val="000000"/>
          <w:kern w:val="0"/>
          <w:sz w:val="24"/>
          <w:szCs w:val="24"/>
          <w:lang w:val="en-US" w:eastAsia="zh-CN" w:bidi="ar"/>
        </w:rPr>
        <w:t>按照</w:t>
      </w:r>
      <w:r>
        <w:rPr>
          <w:rFonts w:hint="default" w:ascii="Times New Roman" w:hAnsi="Times New Roman" w:eastAsia="宋体" w:cs="Times New Roman"/>
          <w:color w:val="000000"/>
          <w:sz w:val="24"/>
          <w:szCs w:val="24"/>
        </w:rPr>
        <w:t>NY/T 821</w:t>
      </w:r>
      <w:r>
        <w:rPr>
          <w:rFonts w:hint="eastAsia" w:ascii="Times New Roman" w:hAnsi="Times New Roman" w:eastAsia="宋体" w:cs="Times New Roman"/>
          <w:color w:val="000000"/>
          <w:sz w:val="24"/>
          <w:szCs w:val="24"/>
          <w:lang w:val="en-US" w:eastAsia="zh-CN"/>
        </w:rPr>
        <w:t>要求</w:t>
      </w:r>
      <w:r>
        <w:rPr>
          <w:rFonts w:hint="default" w:ascii="Times New Roman" w:hAnsi="Times New Roman" w:eastAsia="宋体" w:cs="Times New Roman"/>
          <w:color w:val="000000"/>
          <w:sz w:val="24"/>
          <w:szCs w:val="24"/>
          <w:lang w:val="en-US" w:eastAsia="zh-CN"/>
        </w:rPr>
        <w:t>进行测定部位样品采集，主要位于猪</w:t>
      </w:r>
      <w:r>
        <w:rPr>
          <w:rFonts w:hint="default" w:ascii="Times New Roman" w:hAnsi="Times New Roman" w:eastAsia="宋体" w:cs="Times New Roman"/>
          <w:color w:val="000000"/>
          <w:kern w:val="0"/>
          <w:sz w:val="24"/>
          <w:szCs w:val="24"/>
          <w:lang w:val="en-US" w:eastAsia="zh-CN" w:bidi="ar"/>
        </w:rPr>
        <w:t>9-11肋骨间背最长肌组织。</w:t>
      </w:r>
    </w:p>
    <w:p>
      <w:pPr>
        <w:pStyle w:val="10"/>
        <w:keepNext w:val="0"/>
        <w:keepLines w:val="0"/>
        <w:pageBreakBefore w:val="0"/>
        <w:kinsoku/>
        <w:wordWrap/>
        <w:overflowPunct/>
        <w:topLinePunct w:val="0"/>
        <w:bidi w:val="0"/>
        <w:spacing w:line="360" w:lineRule="auto"/>
        <w:ind w:firstLine="482"/>
        <w:textAlignment w:val="auto"/>
        <w:rPr>
          <w:rFonts w:hint="default" w:ascii="Times New Roman" w:eastAsia="宋体"/>
          <w:b/>
          <w:sz w:val="24"/>
          <w:lang w:val="en-US" w:eastAsia="zh-CN"/>
        </w:rPr>
      </w:pPr>
      <w:r>
        <w:rPr>
          <w:rFonts w:ascii="Times New Roman"/>
          <w:b/>
          <w:sz w:val="24"/>
        </w:rPr>
        <w:t>（</w:t>
      </w:r>
      <w:r>
        <w:rPr>
          <w:rFonts w:hint="eastAsia" w:ascii="Times New Roman"/>
          <w:b/>
          <w:sz w:val="24"/>
          <w:lang w:val="en-US" w:eastAsia="zh-CN"/>
        </w:rPr>
        <w:t>4</w:t>
      </w:r>
      <w:r>
        <w:rPr>
          <w:rFonts w:ascii="Times New Roman"/>
          <w:b/>
          <w:sz w:val="24"/>
        </w:rPr>
        <w:t>）</w:t>
      </w:r>
      <w:r>
        <w:rPr>
          <w:rFonts w:hint="eastAsia" w:ascii="Times New Roman"/>
          <w:b/>
          <w:sz w:val="24"/>
          <w:lang w:val="en-US" w:eastAsia="zh-CN"/>
        </w:rPr>
        <w:t>猪肉安全性检测</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b w:val="0"/>
          <w:bCs/>
          <w:sz w:val="24"/>
          <w:szCs w:val="24"/>
          <w:lang w:val="en-US" w:eastAsia="zh-CN"/>
        </w:rPr>
      </w:pPr>
      <w:r>
        <w:rPr>
          <w:rFonts w:hint="default" w:ascii="Times New Roman" w:hAnsi="Times New Roman" w:eastAsia="宋体" w:cs="Times New Roman"/>
          <w:b w:val="0"/>
          <w:bCs/>
          <w:sz w:val="24"/>
          <w:szCs w:val="24"/>
          <w:lang w:val="en-US" w:eastAsia="zh-CN"/>
        </w:rPr>
        <w:t>土猪猪肉安全性检测是开展猪肉肉品质分级评价的前提，只有保证肉质的安全性，才能进一步评价其质量水平。</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b w:val="0"/>
          <w:bCs/>
          <w:color w:val="000000"/>
          <w:sz w:val="24"/>
          <w:szCs w:val="24"/>
          <w:lang w:val="en-US" w:eastAsia="zh-CN"/>
        </w:rPr>
      </w:pPr>
      <w:r>
        <w:rPr>
          <w:rFonts w:hint="default" w:ascii="Times New Roman" w:hAnsi="Times New Roman" w:eastAsia="宋体" w:cs="Times New Roman"/>
          <w:b w:val="0"/>
          <w:bCs/>
          <w:sz w:val="24"/>
          <w:szCs w:val="24"/>
          <w:lang w:val="en-US" w:eastAsia="zh-CN"/>
        </w:rPr>
        <w:t>本</w:t>
      </w:r>
      <w:r>
        <w:rPr>
          <w:rFonts w:hint="eastAsia" w:ascii="Times New Roman" w:hAnsi="Times New Roman" w:eastAsia="宋体" w:cs="Times New Roman"/>
          <w:b w:val="0"/>
          <w:bCs/>
          <w:sz w:val="24"/>
          <w:szCs w:val="24"/>
          <w:lang w:val="en-US" w:eastAsia="zh-CN"/>
        </w:rPr>
        <w:t>标准</w:t>
      </w:r>
      <w:r>
        <w:rPr>
          <w:rFonts w:hint="default" w:ascii="Times New Roman" w:hAnsi="Times New Roman" w:eastAsia="宋体" w:cs="Times New Roman"/>
          <w:b w:val="0"/>
          <w:bCs/>
          <w:sz w:val="24"/>
          <w:szCs w:val="24"/>
          <w:lang w:val="en-US" w:eastAsia="zh-CN"/>
        </w:rPr>
        <w:t>中，</w:t>
      </w:r>
      <w:r>
        <w:rPr>
          <w:rFonts w:hint="eastAsia" w:ascii="Times New Roman" w:hAnsi="Times New Roman" w:eastAsia="宋体" w:cs="Times New Roman"/>
          <w:b w:val="0"/>
          <w:bCs/>
          <w:kern w:val="0"/>
          <w:sz w:val="24"/>
          <w:szCs w:val="24"/>
          <w:lang w:val="en-US" w:eastAsia="zh-CN" w:bidi="ar-SA"/>
        </w:rPr>
        <w:t>土猪肉必需</w:t>
      </w:r>
      <w:r>
        <w:rPr>
          <w:rFonts w:hint="eastAsia" w:ascii="Times New Roman" w:hAnsi="Times New Roman" w:eastAsia="宋体" w:cs="Times New Roman"/>
          <w:b w:val="0"/>
          <w:bCs/>
          <w:sz w:val="24"/>
          <w:szCs w:val="24"/>
          <w:lang w:val="en-US" w:eastAsia="zh-CN"/>
        </w:rPr>
        <w:t>符合GB 29921、GB 2762和GB 31650要求规定，系统</w:t>
      </w:r>
      <w:r>
        <w:rPr>
          <w:rFonts w:hint="default" w:ascii="Times New Roman" w:hAnsi="Times New Roman" w:eastAsia="宋体" w:cs="Times New Roman"/>
          <w:b w:val="0"/>
          <w:bCs/>
          <w:color w:val="000000"/>
          <w:kern w:val="0"/>
          <w:sz w:val="24"/>
          <w:szCs w:val="24"/>
          <w:lang w:val="en-US" w:eastAsia="zh-CN" w:bidi="ar"/>
        </w:rPr>
        <w:t>开展鲜肉中细菌学指标和重金属、兽药残留分析（</w:t>
      </w:r>
      <w:r>
        <w:rPr>
          <w:rFonts w:hint="default" w:ascii="Times New Roman" w:hAnsi="Times New Roman" w:eastAsia="宋体" w:cs="Times New Roman"/>
          <w:b w:val="0"/>
          <w:bCs/>
          <w:color w:val="000000"/>
          <w:sz w:val="24"/>
          <w:szCs w:val="24"/>
        </w:rPr>
        <w:t>细菌菌落总数、大肠杆菌群、沙门氏菌微生物指标</w:t>
      </w:r>
      <w:r>
        <w:rPr>
          <w:rFonts w:hint="default" w:ascii="Times New Roman" w:hAnsi="Times New Roman" w:eastAsia="宋体" w:cs="Times New Roman"/>
          <w:b w:val="0"/>
          <w:bCs/>
          <w:color w:val="000000"/>
          <w:sz w:val="24"/>
          <w:szCs w:val="24"/>
          <w:lang w:eastAsia="zh-CN"/>
        </w:rPr>
        <w:t>，</w:t>
      </w:r>
      <w:r>
        <w:rPr>
          <w:rFonts w:hint="default" w:ascii="Times New Roman" w:hAnsi="Times New Roman" w:eastAsia="宋体" w:cs="Times New Roman"/>
          <w:b w:val="0"/>
          <w:bCs/>
          <w:color w:val="000000"/>
          <w:sz w:val="24"/>
          <w:szCs w:val="24"/>
        </w:rPr>
        <w:t>汞、铅、砷、镉、铬等重金属残留以及金霉素、土霉素、磺胺类药物、伊维菌素、喹乙醇、盐酸克伦特罗和莱克多巴胺等兽药残留理化指标</w:t>
      </w:r>
      <w:r>
        <w:rPr>
          <w:rFonts w:hint="default" w:ascii="Times New Roman" w:hAnsi="Times New Roman" w:eastAsia="宋体" w:cs="Times New Roman"/>
          <w:b w:val="0"/>
          <w:bCs/>
          <w:color w:val="000000"/>
          <w:kern w:val="0"/>
          <w:sz w:val="24"/>
          <w:szCs w:val="24"/>
          <w:lang w:val="en-US" w:eastAsia="zh-CN" w:bidi="ar"/>
        </w:rPr>
        <w:t>），</w:t>
      </w:r>
      <w:r>
        <w:rPr>
          <w:rFonts w:hint="default" w:ascii="Times New Roman" w:hAnsi="Times New Roman" w:eastAsia="宋体" w:cs="Times New Roman"/>
          <w:b w:val="0"/>
          <w:bCs/>
          <w:color w:val="000000"/>
          <w:sz w:val="24"/>
          <w:szCs w:val="24"/>
          <w:lang w:val="en-US" w:eastAsia="zh-CN"/>
        </w:rPr>
        <w:t>各项指标合格率必须达到100%。</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eastAsia="宋体" w:cs="Times New Roman"/>
          <w:b w:val="0"/>
          <w:bCs/>
          <w:color w:val="000000"/>
          <w:kern w:val="0"/>
          <w:sz w:val="24"/>
          <w:szCs w:val="24"/>
          <w:lang w:val="en-US" w:eastAsia="zh-CN" w:bidi="ar"/>
        </w:rPr>
      </w:pPr>
      <w:r>
        <w:rPr>
          <w:rFonts w:hint="default" w:ascii="Times New Roman" w:hAnsi="Times New Roman" w:eastAsia="宋体" w:cs="Times New Roman"/>
          <w:sz w:val="24"/>
          <w:szCs w:val="24"/>
          <w:lang w:val="en-US" w:eastAsia="zh-CN"/>
        </w:rPr>
        <w:t>魏玉明在《</w:t>
      </w:r>
      <w:r>
        <w:rPr>
          <w:rFonts w:hint="default" w:ascii="Times New Roman" w:hAnsi="Times New Roman" w:eastAsia="宋体" w:cs="Times New Roman"/>
          <w:color w:val="000000"/>
          <w:kern w:val="0"/>
          <w:sz w:val="24"/>
          <w:szCs w:val="24"/>
          <w:lang w:val="en-US" w:eastAsia="zh-CN" w:bidi="ar"/>
        </w:rPr>
        <w:t>猪鲜肉中细菌学指标和重金属、兽药残留分析》文章中指出，必需掌握猪鲜肉产品中微生物指标、重金属和兽药等有害物质的残留情况，做到指标检测全部合格</w:t>
      </w:r>
      <w:r>
        <w:rPr>
          <w:rFonts w:hint="default" w:ascii="Times New Roman" w:hAnsi="Times New Roman" w:cs="Times New Roman"/>
          <w:kern w:val="2"/>
          <w:sz w:val="24"/>
          <w:szCs w:val="24"/>
          <w:vertAlign w:val="superscript"/>
        </w:rPr>
        <w:t>[</w:t>
      </w:r>
      <w:r>
        <w:rPr>
          <w:rFonts w:hint="default" w:ascii="Times New Roman" w:hAnsi="Times New Roman" w:cs="Times New Roman"/>
          <w:kern w:val="2"/>
          <w:sz w:val="24"/>
          <w:szCs w:val="24"/>
          <w:vertAlign w:val="superscript"/>
          <w:lang w:val="en-US" w:eastAsia="zh-CN"/>
        </w:rPr>
        <w:t>3</w:t>
      </w:r>
      <w:r>
        <w:rPr>
          <w:rFonts w:hint="default" w:ascii="Times New Roman" w:hAnsi="Times New Roman" w:cs="Times New Roman"/>
          <w:kern w:val="2"/>
          <w:sz w:val="24"/>
          <w:szCs w:val="24"/>
          <w:vertAlign w:val="superscript"/>
        </w:rPr>
        <w:t>]</w:t>
      </w:r>
      <w:r>
        <w:rPr>
          <w:rFonts w:hint="default" w:ascii="Times New Roman" w:hAnsi="Times New Roman" w:eastAsia="宋体" w:cs="Times New Roman"/>
          <w:color w:val="000000"/>
          <w:kern w:val="0"/>
          <w:sz w:val="24"/>
          <w:szCs w:val="24"/>
          <w:lang w:val="en-US" w:eastAsia="zh-CN" w:bidi="ar"/>
        </w:rPr>
        <w:t>，保障食品安全，稳定人们对猪肉产品的消费信心。</w:t>
      </w:r>
    </w:p>
    <w:p>
      <w:pPr>
        <w:pStyle w:val="10"/>
        <w:keepNext w:val="0"/>
        <w:keepLines w:val="0"/>
        <w:pageBreakBefore w:val="0"/>
        <w:kinsoku/>
        <w:wordWrap/>
        <w:overflowPunct/>
        <w:topLinePunct w:val="0"/>
        <w:bidi w:val="0"/>
        <w:spacing w:line="360" w:lineRule="auto"/>
        <w:ind w:firstLine="482"/>
        <w:textAlignment w:val="auto"/>
        <w:rPr>
          <w:rFonts w:hint="eastAsia" w:ascii="宋体" w:hAnsi="宋体" w:eastAsia="宋体" w:cs="宋体"/>
          <w:sz w:val="24"/>
          <w:szCs w:val="24"/>
        </w:rPr>
      </w:pPr>
      <w:r>
        <w:rPr>
          <w:rFonts w:ascii="Times New Roman"/>
          <w:b/>
          <w:sz w:val="24"/>
        </w:rPr>
        <w:t>（</w:t>
      </w:r>
      <w:r>
        <w:rPr>
          <w:rFonts w:hint="eastAsia" w:ascii="Times New Roman"/>
          <w:b/>
          <w:sz w:val="24"/>
          <w:lang w:val="en-US" w:eastAsia="zh-CN"/>
        </w:rPr>
        <w:t>5</w:t>
      </w:r>
      <w:r>
        <w:rPr>
          <w:rFonts w:ascii="Times New Roman"/>
          <w:b/>
          <w:sz w:val="24"/>
        </w:rPr>
        <w:t>）</w:t>
      </w:r>
      <w:r>
        <w:rPr>
          <w:rFonts w:hint="eastAsia" w:ascii="Times New Roman"/>
          <w:b/>
          <w:sz w:val="24"/>
          <w:lang w:val="en-US" w:eastAsia="zh-CN"/>
        </w:rPr>
        <w:t>猪肉肉质性能指标</w:t>
      </w:r>
      <w:r>
        <w:rPr>
          <w:rFonts w:hint="eastAsia" w:ascii="宋体" w:hAnsi="宋体" w:eastAsia="宋体" w:cs="宋体"/>
          <w:sz w:val="24"/>
          <w:szCs w:val="24"/>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default" w:ascii="宋体" w:hAnsi="宋体" w:eastAsia="宋体" w:cs="宋体"/>
          <w:sz w:val="24"/>
          <w:szCs w:val="24"/>
          <w:lang w:val="en-US" w:eastAsia="zh-CN"/>
        </w:rPr>
        <w:t>①</w:t>
      </w:r>
      <w:r>
        <w:rPr>
          <w:rFonts w:hint="eastAsia" w:ascii="宋体" w:hAnsi="宋体" w:eastAsia="宋体" w:cs="宋体"/>
          <w:sz w:val="24"/>
          <w:szCs w:val="24"/>
          <w:lang w:val="en-US" w:eastAsia="zh-CN"/>
        </w:rPr>
        <w:t xml:space="preserve"> 肉色</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肌肉横截面颜色的鲜亮程度。采用比色板测定法，在猪屠宰1-2</w:t>
      </w:r>
      <w:r>
        <w:rPr>
          <w:rFonts w:hint="eastAsia" w:ascii="Times New Roman" w:hAnsi="Times New Roman" w:eastAsia="宋体" w:cs="Times New Roman"/>
          <w:sz w:val="24"/>
          <w:szCs w:val="24"/>
          <w:lang w:val="en-US" w:eastAsia="zh-CN"/>
        </w:rPr>
        <w:t>h</w:t>
      </w:r>
      <w:r>
        <w:rPr>
          <w:rFonts w:hint="default" w:ascii="Times New Roman" w:hAnsi="Times New Roman" w:eastAsia="宋体" w:cs="Times New Roman"/>
          <w:sz w:val="24"/>
          <w:szCs w:val="24"/>
          <w:lang w:val="en-US" w:eastAsia="zh-CN"/>
        </w:rPr>
        <w:t>后，采集10-11肋骨间背最长肌肉横截面，放在4</w:t>
      </w:r>
      <w:r>
        <w:rPr>
          <w:rFonts w:hint="default" w:ascii="Times New Roman" w:hAnsi="Times New Roman" w:eastAsia="宋体" w:cs="Times New Roman"/>
          <w:color w:val="000000"/>
          <w:kern w:val="0"/>
          <w:sz w:val="24"/>
          <w:szCs w:val="24"/>
          <w:lang w:val="en-US" w:eastAsia="zh-CN" w:bidi="ar"/>
        </w:rPr>
        <w:t>℃</w:t>
      </w:r>
      <w:r>
        <w:rPr>
          <w:rFonts w:hint="default" w:ascii="Times New Roman" w:hAnsi="Times New Roman" w:eastAsia="宋体" w:cs="Times New Roman"/>
          <w:sz w:val="24"/>
          <w:szCs w:val="24"/>
          <w:lang w:val="en-US" w:eastAsia="zh-CN"/>
        </w:rPr>
        <w:t>左右冰箱中存放24</w:t>
      </w:r>
      <w:r>
        <w:rPr>
          <w:rFonts w:hint="eastAsia" w:ascii="Times New Roman" w:hAnsi="Times New Roman" w:eastAsia="宋体" w:cs="Times New Roman"/>
          <w:sz w:val="24"/>
          <w:szCs w:val="24"/>
          <w:lang w:val="en-US" w:eastAsia="zh-CN"/>
        </w:rPr>
        <w:t>h</w:t>
      </w:r>
      <w:r>
        <w:rPr>
          <w:rFonts w:hint="default" w:ascii="Times New Roman" w:hAnsi="Times New Roman" w:eastAsia="宋体" w:cs="Times New Roman"/>
          <w:sz w:val="24"/>
          <w:szCs w:val="24"/>
          <w:lang w:val="en-US" w:eastAsia="zh-CN"/>
        </w:rPr>
        <w:t>，用美制标准肉色谱比色板与肉样对照，采用1-5分评分</w:t>
      </w:r>
      <w:r>
        <w:rPr>
          <w:rFonts w:hint="eastAsia" w:ascii="Times New Roman" w:hAnsi="Times New Roman" w:eastAsia="宋体" w:cs="Times New Roman"/>
          <w:sz w:val="24"/>
          <w:szCs w:val="24"/>
          <w:lang w:val="en-US" w:eastAsia="zh-CN"/>
        </w:rPr>
        <w:t>，分级数值按照</w:t>
      </w:r>
      <w:r>
        <w:rPr>
          <w:rFonts w:hint="default" w:ascii="Times New Roman" w:hAnsi="Times New Roman" w:eastAsia="宋体" w:cs="Times New Roman"/>
          <w:color w:val="000000"/>
          <w:sz w:val="24"/>
          <w:szCs w:val="24"/>
        </w:rPr>
        <w:t>NY/T 821</w:t>
      </w:r>
      <w:r>
        <w:rPr>
          <w:rFonts w:hint="eastAsia" w:ascii="Times New Roman" w:hAnsi="Times New Roman" w:eastAsia="宋体" w:cs="Times New Roman"/>
          <w:color w:val="000000"/>
          <w:sz w:val="24"/>
          <w:szCs w:val="24"/>
          <w:lang w:val="en-US" w:eastAsia="zh-CN"/>
        </w:rPr>
        <w:t>标准进行</w:t>
      </w:r>
      <w:r>
        <w:rPr>
          <w:rFonts w:hint="eastAsia" w:ascii="Times New Roman" w:hAnsi="Times New Roman" w:eastAsia="宋体" w:cs="Times New Roman"/>
          <w:sz w:val="24"/>
          <w:szCs w:val="24"/>
          <w:lang w:val="en-US" w:eastAsia="zh-CN"/>
        </w:rPr>
        <w:t>设置</w:t>
      </w:r>
      <w:r>
        <w:rPr>
          <w:rFonts w:hint="eastAsia" w:ascii="Times New Roman" w:hAnsi="Times New Roman" w:eastAsia="宋体" w:cs="Times New Roman"/>
          <w:color w:val="000000"/>
          <w:sz w:val="24"/>
          <w:szCs w:val="24"/>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② pH值</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sz w:val="24"/>
          <w:szCs w:val="24"/>
          <w:lang w:val="en-US" w:eastAsia="zh-CN"/>
        </w:rPr>
      </w:pPr>
      <w:r>
        <w:rPr>
          <w:rFonts w:hint="default" w:ascii="Times New Roman" w:hAnsi="Times New Roman" w:eastAsia="宋体" w:cs="Times New Roman"/>
          <w:sz w:val="24"/>
          <w:szCs w:val="24"/>
          <w:lang w:val="en-US" w:eastAsia="zh-CN"/>
        </w:rPr>
        <w:t>宰后一定时间内肌肉的酸碱度，简称pH。采用酸度计测定法，pH计于猪停止呼吸后45 min内进行现场测定。</w:t>
      </w:r>
      <w:r>
        <w:rPr>
          <w:rFonts w:hint="eastAsia" w:ascii="Times New Roman" w:hAnsi="Times New Roman" w:eastAsia="宋体" w:cs="Times New Roman"/>
          <w:sz w:val="24"/>
          <w:szCs w:val="24"/>
          <w:lang w:val="en-US" w:eastAsia="zh-CN"/>
        </w:rPr>
        <w:t>分级数值按照</w:t>
      </w:r>
      <w:r>
        <w:rPr>
          <w:rFonts w:hint="default" w:ascii="Times New Roman" w:hAnsi="Times New Roman" w:eastAsia="宋体" w:cs="Times New Roman"/>
          <w:color w:val="000000"/>
          <w:sz w:val="24"/>
          <w:szCs w:val="24"/>
        </w:rPr>
        <w:t>NY/T 821</w:t>
      </w:r>
      <w:r>
        <w:rPr>
          <w:rFonts w:hint="eastAsia" w:ascii="Times New Roman" w:hAnsi="Times New Roman" w:eastAsia="宋体" w:cs="Times New Roman"/>
          <w:color w:val="000000"/>
          <w:sz w:val="24"/>
          <w:szCs w:val="24"/>
          <w:lang w:val="en-US" w:eastAsia="zh-CN"/>
        </w:rPr>
        <w:t>标准进行设置。</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③ 嫩度</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采用肌肉嫩度仪测定法</w:t>
      </w:r>
      <w:r>
        <w:rPr>
          <w:rFonts w:hint="eastAsia" w:ascii="Times New Roman" w:hAnsi="Times New Roman" w:eastAsia="宋体" w:cs="Times New Roman"/>
          <w:sz w:val="24"/>
          <w:szCs w:val="24"/>
          <w:lang w:val="en-US" w:eastAsia="zh-CN"/>
        </w:rPr>
        <w:t>，分级数值按照</w:t>
      </w:r>
      <w:r>
        <w:rPr>
          <w:rFonts w:hint="default" w:ascii="Times New Roman" w:hAnsi="Times New Roman" w:eastAsia="宋体" w:cs="Times New Roman"/>
          <w:color w:val="000000"/>
          <w:sz w:val="24"/>
          <w:szCs w:val="24"/>
        </w:rPr>
        <w:t xml:space="preserve">NY/T </w:t>
      </w:r>
      <w:r>
        <w:rPr>
          <w:rFonts w:hint="eastAsia" w:ascii="Times New Roman" w:hAnsi="Times New Roman" w:eastAsia="宋体" w:cs="Times New Roman"/>
          <w:color w:val="000000"/>
          <w:sz w:val="24"/>
          <w:szCs w:val="24"/>
          <w:lang w:val="en-US" w:eastAsia="zh-CN"/>
        </w:rPr>
        <w:t>1180标准进行设置</w:t>
      </w:r>
      <w:r>
        <w:rPr>
          <w:rFonts w:hint="default" w:ascii="Times New Roman" w:hAnsi="Times New Roman" w:eastAsia="宋体" w:cs="Times New Roman"/>
          <w:sz w:val="24"/>
          <w:szCs w:val="24"/>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④ 滴水损失</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肌肉在不施加外力情况下，在规定时间内其内含水的外渗损失量</w:t>
      </w:r>
      <w:r>
        <w:rPr>
          <w:rFonts w:hint="eastAsia" w:ascii="Times New Roman" w:hAnsi="Times New Roman" w:eastAsia="宋体" w:cs="Times New Roman"/>
          <w:sz w:val="24"/>
          <w:szCs w:val="24"/>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杨蓉等</w:t>
      </w:r>
      <w:r>
        <w:rPr>
          <w:rFonts w:hint="default" w:ascii="Times New Roman" w:hAnsi="Times New Roman" w:cs="Times New Roman"/>
          <w:kern w:val="2"/>
          <w:sz w:val="24"/>
          <w:szCs w:val="24"/>
          <w:vertAlign w:val="superscript"/>
        </w:rPr>
        <w:t>[</w:t>
      </w:r>
      <w:r>
        <w:rPr>
          <w:rFonts w:hint="default" w:ascii="Times New Roman" w:hAnsi="Times New Roman" w:cs="Times New Roman"/>
          <w:kern w:val="2"/>
          <w:sz w:val="24"/>
          <w:szCs w:val="24"/>
          <w:vertAlign w:val="superscript"/>
          <w:lang w:val="en-US" w:eastAsia="zh-CN"/>
        </w:rPr>
        <w:t>4</w:t>
      </w:r>
      <w:r>
        <w:rPr>
          <w:rFonts w:hint="default" w:ascii="Times New Roman" w:hAnsi="Times New Roman" w:cs="Times New Roman"/>
          <w:kern w:val="2"/>
          <w:sz w:val="24"/>
          <w:szCs w:val="24"/>
          <w:vertAlign w:val="superscript"/>
        </w:rPr>
        <w:t>]</w:t>
      </w:r>
      <w:r>
        <w:rPr>
          <w:rFonts w:hint="default" w:ascii="Times New Roman" w:hAnsi="Times New Roman" w:eastAsia="宋体" w:cs="Times New Roman"/>
          <w:sz w:val="24"/>
          <w:szCs w:val="24"/>
          <w:lang w:val="en-US" w:eastAsia="zh-CN"/>
        </w:rPr>
        <w:t>为进一步探究</w:t>
      </w:r>
      <w:r>
        <w:rPr>
          <w:rFonts w:hint="eastAsia" w:ascii="Times New Roman" w:hAnsi="Times New Roman" w:eastAsia="宋体" w:cs="Times New Roman"/>
          <w:sz w:val="24"/>
          <w:szCs w:val="24"/>
          <w:lang w:val="en-US" w:eastAsia="zh-CN"/>
        </w:rPr>
        <w:t>贵州</w:t>
      </w:r>
      <w:r>
        <w:rPr>
          <w:rFonts w:hint="default" w:ascii="Times New Roman" w:hAnsi="Times New Roman" w:eastAsia="宋体" w:cs="Times New Roman"/>
          <w:sz w:val="24"/>
          <w:szCs w:val="24"/>
          <w:lang w:val="en-US" w:eastAsia="zh-CN"/>
        </w:rPr>
        <w:t>柯乐猪的最佳屠宰期，在相同条件下饲养，</w:t>
      </w:r>
      <w:r>
        <w:rPr>
          <w:rFonts w:hint="eastAsia" w:ascii="Times New Roman" w:hAnsi="Times New Roman" w:eastAsia="宋体" w:cs="Times New Roman"/>
          <w:sz w:val="24"/>
          <w:szCs w:val="24"/>
          <w:lang w:val="en-US" w:eastAsia="zh-CN"/>
        </w:rPr>
        <w:t>对</w:t>
      </w:r>
      <w:r>
        <w:rPr>
          <w:rFonts w:hint="default" w:ascii="Times New Roman" w:hAnsi="Times New Roman" w:eastAsia="宋体" w:cs="Times New Roman"/>
          <w:sz w:val="24"/>
          <w:szCs w:val="24"/>
          <w:lang w:val="en-US" w:eastAsia="zh-CN"/>
        </w:rPr>
        <w:t>不同体重阶段</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90kg，100kg，110 kg</w:t>
      </w:r>
      <w:r>
        <w:rPr>
          <w:rFonts w:hint="eastAsia" w:ascii="Times New Roman" w:hAnsi="Times New Roman" w:eastAsia="宋体" w:cs="Times New Roman"/>
          <w:sz w:val="24"/>
          <w:szCs w:val="24"/>
          <w:lang w:val="en-US" w:eastAsia="zh-CN"/>
        </w:rPr>
        <w:t>）柯乐猪进行</w:t>
      </w:r>
      <w:r>
        <w:rPr>
          <w:rFonts w:hint="default" w:ascii="Times New Roman" w:hAnsi="Times New Roman" w:eastAsia="宋体" w:cs="Times New Roman"/>
          <w:sz w:val="24"/>
          <w:szCs w:val="24"/>
          <w:lang w:val="en-US" w:eastAsia="zh-CN"/>
        </w:rPr>
        <w:t>屠宰，分别对其肉品质指标进行测定。《</w:t>
      </w:r>
      <w:r>
        <w:rPr>
          <w:rFonts w:hint="default" w:ascii="Times New Roman" w:hAnsi="Times New Roman" w:eastAsia="宋体" w:cs="Times New Roman"/>
          <w:sz w:val="24"/>
          <w:lang w:val="en-US" w:eastAsia="zh-CN"/>
        </w:rPr>
        <w:t>不同屠宰期柯乐猪肉品质的差异研究</w:t>
      </w:r>
      <w:r>
        <w:rPr>
          <w:rFonts w:hint="default" w:ascii="Times New Roman" w:hAnsi="Times New Roman" w:eastAsia="宋体" w:cs="Times New Roman"/>
          <w:color w:val="000000"/>
          <w:kern w:val="0"/>
          <w:sz w:val="24"/>
          <w:szCs w:val="24"/>
          <w:lang w:val="en-US" w:eastAsia="zh-CN" w:bidi="ar"/>
        </w:rPr>
        <w:t>》</w:t>
      </w:r>
      <w:r>
        <w:rPr>
          <w:rFonts w:hint="eastAsia" w:ascii="Times New Roman" w:hAnsi="Times New Roman" w:eastAsia="宋体" w:cs="Times New Roman"/>
          <w:color w:val="000000"/>
          <w:kern w:val="0"/>
          <w:sz w:val="24"/>
          <w:szCs w:val="24"/>
          <w:lang w:val="en-US" w:eastAsia="zh-CN" w:bidi="ar"/>
        </w:rPr>
        <w:t>报告中</w:t>
      </w:r>
      <w:r>
        <w:rPr>
          <w:rFonts w:hint="default" w:ascii="Times New Roman" w:hAnsi="Times New Roman" w:eastAsia="宋体" w:cs="Times New Roman"/>
          <w:sz w:val="24"/>
          <w:szCs w:val="24"/>
          <w:lang w:val="en-US" w:eastAsia="zh-CN"/>
        </w:rPr>
        <w:t>发现100kg体重阶段</w:t>
      </w:r>
      <w:r>
        <w:rPr>
          <w:rFonts w:hint="eastAsia" w:ascii="Times New Roman" w:hAnsi="Times New Roman" w:eastAsia="宋体" w:cs="Times New Roman"/>
          <w:sz w:val="24"/>
          <w:szCs w:val="24"/>
          <w:lang w:val="en-US" w:eastAsia="zh-CN"/>
        </w:rPr>
        <w:t>贵州柯乐猪</w:t>
      </w:r>
      <w:r>
        <w:rPr>
          <w:rFonts w:hint="default" w:ascii="Times New Roman" w:hAnsi="Times New Roman" w:eastAsia="宋体" w:cs="Times New Roman"/>
          <w:sz w:val="24"/>
          <w:szCs w:val="24"/>
          <w:lang w:val="en-US" w:eastAsia="zh-CN"/>
        </w:rPr>
        <w:t>肉品质</w:t>
      </w:r>
      <w:r>
        <w:rPr>
          <w:rFonts w:hint="eastAsia" w:ascii="Times New Roman" w:hAnsi="Times New Roman" w:eastAsia="宋体" w:cs="Times New Roman"/>
          <w:sz w:val="24"/>
          <w:szCs w:val="24"/>
          <w:lang w:val="en-US" w:eastAsia="zh-CN"/>
        </w:rPr>
        <w:t>最</w:t>
      </w:r>
      <w:r>
        <w:rPr>
          <w:rFonts w:hint="default" w:ascii="Times New Roman" w:hAnsi="Times New Roman" w:eastAsia="宋体" w:cs="Times New Roman"/>
          <w:sz w:val="24"/>
          <w:szCs w:val="24"/>
          <w:lang w:val="en-US" w:eastAsia="zh-CN"/>
        </w:rPr>
        <w:t>优，该阶段贵州柯乐猪滴水损失指标为1.55%，并结合课题组前期的试</w:t>
      </w:r>
      <w:r>
        <w:rPr>
          <w:rFonts w:hint="default" w:ascii="Times New Roman" w:hAnsi="Times New Roman" w:cs="Times New Roman"/>
          <w:sz w:val="24"/>
          <w:szCs w:val="24"/>
          <w:lang w:val="en-US" w:eastAsia="zh-CN"/>
        </w:rPr>
        <w:t>验数据，划分了土猪</w:t>
      </w:r>
      <w:r>
        <w:rPr>
          <w:rFonts w:hint="eastAsia" w:ascii="Times New Roman" w:hAnsi="Times New Roman" w:cs="Times New Roman"/>
          <w:sz w:val="24"/>
          <w:szCs w:val="24"/>
          <w:lang w:val="en-US" w:eastAsia="zh-CN"/>
        </w:rPr>
        <w:t>肉质</w:t>
      </w:r>
      <w:r>
        <w:rPr>
          <w:rFonts w:hint="default" w:ascii="Times New Roman" w:hAnsi="Times New Roman" w:cs="Times New Roman"/>
          <w:sz w:val="24"/>
          <w:szCs w:val="24"/>
          <w:lang w:val="en-US" w:eastAsia="zh-CN"/>
        </w:rPr>
        <w:t>滴水损失指标分级评价区间。</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⑤ 熟肉率</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肌肉蒸至熟肉状态下重量差，采用蒸煮称重测定；</w:t>
      </w:r>
      <w:r>
        <w:rPr>
          <w:rFonts w:hint="default" w:ascii="Times New Roman" w:hAnsi="Times New Roman" w:eastAsia="宋体" w:cs="Times New Roman"/>
          <w:sz w:val="24"/>
          <w:szCs w:val="24"/>
        </w:rPr>
        <w:t>切取约100 g左右的肉块</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称取肉样蒸前重（Wl）并标记，肉样放入已加入适量的沸水铝锅内，在电炉上持续沸蒸，35</w:t>
      </w:r>
      <w:r>
        <w:rPr>
          <w:rFonts w:hint="default" w:ascii="Times New Roman" w:hAnsi="Times New Roman" w:eastAsia="宋体" w:cs="Times New Roman"/>
          <w:sz w:val="24"/>
          <w:szCs w:val="24"/>
          <w:lang w:val="en-US" w:eastAsia="zh-CN"/>
        </w:rPr>
        <w:t>分钟</w:t>
      </w:r>
      <w:r>
        <w:rPr>
          <w:rFonts w:hint="default" w:ascii="Times New Roman" w:hAnsi="Times New Roman" w:eastAsia="宋体" w:cs="Times New Roman"/>
          <w:sz w:val="24"/>
          <w:szCs w:val="24"/>
        </w:rPr>
        <w:t>后取出挂凉</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待冷却至室温后，用滤纸吸除肉样表面的水分后称取蒸后重（W2），</w:t>
      </w:r>
      <w:r>
        <w:rPr>
          <w:rFonts w:hint="eastAsia" w:ascii="Times New Roman" w:hAnsi="Times New Roman" w:eastAsia="宋体" w:cs="Times New Roman"/>
          <w:sz w:val="24"/>
          <w:szCs w:val="24"/>
          <w:lang w:val="en-US" w:eastAsia="zh-CN"/>
        </w:rPr>
        <w:t>熟</w:t>
      </w:r>
      <w:r>
        <w:rPr>
          <w:rFonts w:hint="default" w:ascii="Times New Roman" w:hAnsi="Times New Roman" w:eastAsia="宋体" w:cs="Times New Roman"/>
          <w:sz w:val="24"/>
          <w:szCs w:val="24"/>
          <w:lang w:val="en-US" w:eastAsia="zh-CN"/>
        </w:rPr>
        <w:t>肉率（%）=W2/W1。</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在</w:t>
      </w:r>
      <w:r>
        <w:rPr>
          <w:rFonts w:hint="default" w:ascii="Times New Roman" w:hAnsi="Times New Roman" w:eastAsia="宋体" w:cs="Times New Roman"/>
          <w:sz w:val="24"/>
          <w:szCs w:val="24"/>
          <w:lang w:val="en-US" w:eastAsia="zh-CN"/>
        </w:rPr>
        <w:t>《</w:t>
      </w:r>
      <w:r>
        <w:rPr>
          <w:rFonts w:hint="default" w:ascii="Times New Roman" w:hAnsi="Times New Roman" w:eastAsia="宋体" w:cs="Times New Roman"/>
          <w:sz w:val="24"/>
          <w:lang w:val="en-US" w:eastAsia="zh-CN"/>
        </w:rPr>
        <w:t>不同屠宰期柯乐猪肉品质的差异研究</w:t>
      </w:r>
      <w:r>
        <w:rPr>
          <w:rFonts w:hint="default" w:ascii="Times New Roman" w:hAnsi="Times New Roman" w:eastAsia="宋体" w:cs="Times New Roman"/>
          <w:color w:val="000000"/>
          <w:kern w:val="0"/>
          <w:sz w:val="24"/>
          <w:szCs w:val="24"/>
          <w:lang w:val="en-US" w:eastAsia="zh-CN" w:bidi="ar"/>
        </w:rPr>
        <w:t>》</w:t>
      </w:r>
      <w:r>
        <w:rPr>
          <w:rFonts w:hint="eastAsia" w:ascii="Times New Roman" w:hAnsi="Times New Roman" w:eastAsia="宋体" w:cs="Times New Roman"/>
          <w:color w:val="000000"/>
          <w:kern w:val="0"/>
          <w:sz w:val="24"/>
          <w:szCs w:val="24"/>
          <w:lang w:val="en-US" w:eastAsia="zh-CN" w:bidi="ar"/>
        </w:rPr>
        <w:t>报告中</w:t>
      </w:r>
      <w:r>
        <w:rPr>
          <w:rFonts w:hint="default" w:ascii="Times New Roman" w:hAnsi="Times New Roman" w:eastAsia="宋体" w:cs="Times New Roman"/>
          <w:sz w:val="24"/>
          <w:szCs w:val="24"/>
          <w:lang w:val="en-US" w:eastAsia="zh-CN"/>
        </w:rPr>
        <w:t>发现100kg体重阶段</w:t>
      </w:r>
      <w:r>
        <w:rPr>
          <w:rFonts w:hint="eastAsia" w:ascii="Times New Roman" w:hAnsi="Times New Roman" w:eastAsia="宋体" w:cs="Times New Roman"/>
          <w:sz w:val="24"/>
          <w:szCs w:val="24"/>
          <w:lang w:val="en-US" w:eastAsia="zh-CN"/>
        </w:rPr>
        <w:t>贵州柯乐猪</w:t>
      </w:r>
      <w:r>
        <w:rPr>
          <w:rFonts w:hint="default" w:ascii="Times New Roman" w:hAnsi="Times New Roman" w:eastAsia="宋体" w:cs="Times New Roman"/>
          <w:sz w:val="24"/>
          <w:szCs w:val="24"/>
          <w:lang w:val="en-US" w:eastAsia="zh-CN"/>
        </w:rPr>
        <w:t>肉品质</w:t>
      </w:r>
      <w:r>
        <w:rPr>
          <w:rFonts w:hint="eastAsia" w:ascii="Times New Roman" w:hAnsi="Times New Roman" w:eastAsia="宋体" w:cs="Times New Roman"/>
          <w:sz w:val="24"/>
          <w:szCs w:val="24"/>
          <w:lang w:val="en-US" w:eastAsia="zh-CN"/>
        </w:rPr>
        <w:t>最</w:t>
      </w:r>
      <w:r>
        <w:rPr>
          <w:rFonts w:hint="default" w:ascii="Times New Roman" w:hAnsi="Times New Roman" w:eastAsia="宋体" w:cs="Times New Roman"/>
          <w:sz w:val="24"/>
          <w:szCs w:val="24"/>
          <w:lang w:val="en-US" w:eastAsia="zh-CN"/>
        </w:rPr>
        <w:t>优，该阶段柯乐猪</w:t>
      </w:r>
      <w:r>
        <w:rPr>
          <w:rFonts w:hint="eastAsia" w:ascii="Times New Roman" w:hAnsi="Times New Roman" w:eastAsia="宋体" w:cs="Times New Roman"/>
          <w:sz w:val="24"/>
          <w:szCs w:val="24"/>
          <w:lang w:val="en-US" w:eastAsia="zh-CN"/>
        </w:rPr>
        <w:t>熟肉率</w:t>
      </w:r>
      <w:r>
        <w:rPr>
          <w:rFonts w:hint="default" w:ascii="Times New Roman" w:hAnsi="Times New Roman" w:eastAsia="宋体" w:cs="Times New Roman"/>
          <w:sz w:val="24"/>
          <w:szCs w:val="24"/>
          <w:lang w:val="en-US" w:eastAsia="zh-CN"/>
        </w:rPr>
        <w:t>指标为</w:t>
      </w:r>
      <w:r>
        <w:rPr>
          <w:rFonts w:hint="eastAsia" w:ascii="Times New Roman" w:hAnsi="Times New Roman" w:eastAsia="宋体" w:cs="Times New Roman"/>
          <w:sz w:val="24"/>
          <w:szCs w:val="24"/>
          <w:lang w:val="en-US" w:eastAsia="zh-CN"/>
        </w:rPr>
        <w:t>77.75</w:t>
      </w: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显著高于</w:t>
      </w:r>
      <w:r>
        <w:rPr>
          <w:rFonts w:hint="default" w:ascii="Times New Roman" w:hAnsi="Times New Roman" w:eastAsia="宋体" w:cs="Times New Roman"/>
          <w:sz w:val="24"/>
          <w:szCs w:val="24"/>
          <w:lang w:val="en-US" w:eastAsia="zh-CN"/>
        </w:rPr>
        <w:t>90kg</w:t>
      </w:r>
      <w:r>
        <w:rPr>
          <w:rFonts w:hint="eastAsia" w:ascii="Times New Roman" w:hAnsi="Times New Roman" w:eastAsia="宋体" w:cs="Times New Roman"/>
          <w:sz w:val="24"/>
          <w:szCs w:val="24"/>
          <w:lang w:val="en-US" w:eastAsia="zh-CN"/>
        </w:rPr>
        <w:t>阶段的64.77%，</w:t>
      </w:r>
      <w:r>
        <w:rPr>
          <w:rFonts w:hint="default" w:ascii="Times New Roman" w:hAnsi="Times New Roman" w:eastAsia="宋体" w:cs="Times New Roman"/>
          <w:sz w:val="24"/>
          <w:szCs w:val="24"/>
          <w:lang w:val="en-US" w:eastAsia="zh-CN"/>
        </w:rPr>
        <w:t>并结合课题组前期的试</w:t>
      </w:r>
      <w:r>
        <w:rPr>
          <w:rFonts w:hint="default" w:ascii="Times New Roman" w:hAnsi="Times New Roman" w:cs="Times New Roman"/>
          <w:sz w:val="24"/>
          <w:szCs w:val="24"/>
          <w:lang w:val="en-US" w:eastAsia="zh-CN"/>
        </w:rPr>
        <w:t>验数据，划分了土猪</w:t>
      </w:r>
      <w:r>
        <w:rPr>
          <w:rFonts w:hint="eastAsia" w:ascii="Times New Roman" w:hAnsi="Times New Roman" w:cs="Times New Roman"/>
          <w:sz w:val="24"/>
          <w:szCs w:val="24"/>
          <w:lang w:val="en-US" w:eastAsia="zh-CN"/>
        </w:rPr>
        <w:t>肉熟肉率</w:t>
      </w:r>
      <w:r>
        <w:rPr>
          <w:rFonts w:hint="default" w:ascii="Times New Roman" w:hAnsi="Times New Roman" w:cs="Times New Roman"/>
          <w:sz w:val="24"/>
          <w:szCs w:val="24"/>
          <w:lang w:val="en-US" w:eastAsia="zh-CN"/>
        </w:rPr>
        <w:t>指标分级评价区间。</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sz w:val="24"/>
          <w:szCs w:val="24"/>
          <w:lang w:val="en-US" w:eastAsia="zh-CN"/>
        </w:rPr>
      </w:pPr>
      <w:r>
        <w:rPr>
          <w:rFonts w:hint="eastAsia" w:hAnsi="宋体" w:cs="宋体"/>
          <w:sz w:val="24"/>
        </w:rPr>
        <w:t>⑥</w:t>
      </w:r>
      <w:r>
        <w:rPr>
          <w:rFonts w:hint="eastAsia" w:hAnsi="宋体" w:cs="宋体"/>
          <w:sz w:val="24"/>
          <w:lang w:val="en-US" w:eastAsia="zh-CN"/>
        </w:rPr>
        <w:t xml:space="preserve"> </w:t>
      </w:r>
      <w:r>
        <w:rPr>
          <w:rFonts w:hint="eastAsia" w:ascii="宋体" w:hAnsi="宋体" w:eastAsia="宋体" w:cs="宋体"/>
          <w:sz w:val="24"/>
          <w:szCs w:val="24"/>
          <w:lang w:val="en-US" w:eastAsia="zh-CN"/>
        </w:rPr>
        <w:t>大理石纹</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eastAsia="宋体" w:cs="Times New Roman"/>
          <w:color w:val="000000"/>
          <w:sz w:val="24"/>
          <w:szCs w:val="24"/>
          <w:lang w:val="en-US" w:eastAsia="zh-CN"/>
        </w:rPr>
      </w:pPr>
      <w:r>
        <w:rPr>
          <w:rFonts w:hint="eastAsia" w:ascii="宋体" w:hAnsi="宋体" w:eastAsia="宋体" w:cs="宋体"/>
          <w:sz w:val="24"/>
          <w:szCs w:val="24"/>
          <w:lang w:val="en-US" w:eastAsia="zh-CN"/>
        </w:rPr>
        <w:t>根据肉块横断面自然沉积的脂肪呈雪花状分布的比例（雪花纹），对照猪肉大理石纹评定标准图，评定猪肉大理石纹等级。</w:t>
      </w:r>
      <w:r>
        <w:rPr>
          <w:rFonts w:hint="eastAsia" w:ascii="Times New Roman" w:hAnsi="Times New Roman" w:eastAsia="宋体" w:cs="Times New Roman"/>
          <w:sz w:val="24"/>
          <w:szCs w:val="24"/>
          <w:lang w:val="en-US" w:eastAsia="zh-CN"/>
        </w:rPr>
        <w:t>分级数值按照</w:t>
      </w:r>
      <w:r>
        <w:rPr>
          <w:rFonts w:hint="default" w:ascii="Times New Roman" w:hAnsi="Times New Roman" w:eastAsia="宋体" w:cs="Times New Roman"/>
          <w:color w:val="000000"/>
          <w:sz w:val="24"/>
          <w:szCs w:val="24"/>
        </w:rPr>
        <w:t>NY/T 821</w:t>
      </w:r>
      <w:r>
        <w:rPr>
          <w:rFonts w:hint="eastAsia" w:ascii="Times New Roman" w:hAnsi="Times New Roman" w:eastAsia="宋体" w:cs="Times New Roman"/>
          <w:color w:val="000000"/>
          <w:sz w:val="24"/>
          <w:szCs w:val="24"/>
          <w:lang w:val="en-US" w:eastAsia="zh-CN"/>
        </w:rPr>
        <w:t>标准进行设置。</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cs="宋体"/>
          <w:sz w:val="24"/>
        </w:rPr>
        <w:t>⑦</w:t>
      </w:r>
      <w:r>
        <w:rPr>
          <w:rFonts w:hint="eastAsia" w:ascii="宋体" w:hAnsi="宋体" w:cs="宋体"/>
          <w:sz w:val="24"/>
          <w:lang w:val="en-US" w:eastAsia="zh-CN"/>
        </w:rPr>
        <w:t xml:space="preserve"> </w:t>
      </w:r>
      <w:r>
        <w:rPr>
          <w:rFonts w:hint="eastAsia" w:ascii="宋体" w:hAnsi="宋体" w:eastAsia="宋体" w:cs="宋体"/>
          <w:sz w:val="24"/>
          <w:szCs w:val="24"/>
          <w:lang w:val="en-US" w:eastAsia="zh-CN"/>
        </w:rPr>
        <w:t>肌内脂肪</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肌肉组织内的脂肪含量，采用乙醚索式抽提法。</w:t>
      </w:r>
      <w:r>
        <w:rPr>
          <w:rFonts w:hint="eastAsia" w:ascii="Times New Roman" w:hAnsi="Times New Roman" w:eastAsia="宋体" w:cs="Times New Roman"/>
          <w:sz w:val="24"/>
          <w:szCs w:val="24"/>
          <w:lang w:val="en-US" w:eastAsia="zh-CN"/>
        </w:rPr>
        <w:t>标准起草组</w:t>
      </w:r>
      <w:r>
        <w:rPr>
          <w:rFonts w:hint="default" w:ascii="Times New Roman" w:hAnsi="Times New Roman" w:eastAsia="宋体" w:cs="Times New Roman"/>
          <w:sz w:val="24"/>
          <w:szCs w:val="24"/>
          <w:lang w:val="en-US" w:eastAsia="zh-CN"/>
        </w:rPr>
        <w:t>在《</w:t>
      </w:r>
      <w:r>
        <w:rPr>
          <w:rFonts w:hint="default" w:ascii="Times New Roman" w:hAnsi="Times New Roman" w:cs="Times New Roman"/>
          <w:sz w:val="24"/>
          <w:lang w:val="en-US" w:eastAsia="zh-CN"/>
        </w:rPr>
        <w:t>从江香猪胴体及肉品质性状研究</w:t>
      </w:r>
      <w:r>
        <w:rPr>
          <w:rFonts w:hint="default" w:ascii="Times New Roman" w:hAnsi="Times New Roman" w:eastAsia="宋体" w:cs="Times New Roman"/>
          <w:color w:val="000000"/>
          <w:kern w:val="0"/>
          <w:sz w:val="24"/>
          <w:szCs w:val="24"/>
          <w:lang w:val="en-US" w:eastAsia="zh-CN" w:bidi="ar"/>
        </w:rPr>
        <w:t>》</w:t>
      </w:r>
      <w:r>
        <w:rPr>
          <w:rFonts w:hint="eastAsia" w:ascii="Times New Roman" w:hAnsi="Times New Roman" w:eastAsia="宋体" w:cs="Times New Roman"/>
          <w:color w:val="000000"/>
          <w:kern w:val="0"/>
          <w:sz w:val="24"/>
          <w:szCs w:val="24"/>
          <w:lang w:val="en-US" w:eastAsia="zh-CN" w:bidi="ar"/>
        </w:rPr>
        <w:t>报告</w:t>
      </w:r>
      <w:r>
        <w:rPr>
          <w:rFonts w:hint="default" w:ascii="Times New Roman" w:hAnsi="Times New Roman" w:eastAsia="宋体" w:cs="Times New Roman"/>
          <w:color w:val="000000"/>
          <w:kern w:val="0"/>
          <w:sz w:val="24"/>
          <w:szCs w:val="24"/>
          <w:lang w:val="en-US" w:eastAsia="zh-CN" w:bidi="ar"/>
        </w:rPr>
        <w:t>中</w:t>
      </w:r>
      <w:r>
        <w:rPr>
          <w:rFonts w:hint="eastAsia" w:ascii="Times New Roman" w:hAnsi="Times New Roman" w:eastAsia="宋体" w:cs="Times New Roman"/>
          <w:color w:val="000000"/>
          <w:kern w:val="0"/>
          <w:sz w:val="24"/>
          <w:szCs w:val="24"/>
          <w:lang w:val="en-US" w:eastAsia="zh-CN" w:bidi="ar"/>
        </w:rPr>
        <w:t>以</w:t>
      </w:r>
      <w:r>
        <w:rPr>
          <w:rFonts w:hint="default" w:ascii="Times New Roman" w:hAnsi="Times New Roman" w:eastAsia="宋体" w:cs="Times New Roman"/>
          <w:color w:val="000000"/>
          <w:kern w:val="0"/>
          <w:sz w:val="24"/>
          <w:szCs w:val="24"/>
          <w:lang w:val="en-US" w:eastAsia="zh-CN" w:bidi="ar"/>
        </w:rPr>
        <w:t>贵州从江香猪</w:t>
      </w:r>
      <w:r>
        <w:rPr>
          <w:rFonts w:hint="eastAsia" w:ascii="Times New Roman" w:hAnsi="Times New Roman" w:eastAsia="宋体" w:cs="Times New Roman"/>
          <w:color w:val="000000"/>
          <w:kern w:val="0"/>
          <w:sz w:val="24"/>
          <w:szCs w:val="24"/>
          <w:lang w:val="en-US" w:eastAsia="zh-CN" w:bidi="ar"/>
        </w:rPr>
        <w:t>为研究对象，</w:t>
      </w:r>
      <w:r>
        <w:rPr>
          <w:rFonts w:hint="default" w:ascii="Times New Roman" w:hAnsi="Times New Roman" w:eastAsia="宋体" w:cs="Times New Roman"/>
          <w:sz w:val="24"/>
          <w:szCs w:val="24"/>
          <w:lang w:val="en-US" w:eastAsia="zh-CN"/>
        </w:rPr>
        <w:t>在贵阳市绿生源香猪生态福利养殖场，选择体重为35～75 kg、健康的117头从江香猪进行定点屠宰。试验猪屠宰前称量体重</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屠宰后采集背最长肌300g，用锡箔纸包裹</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编号，迅速保存于-20℃，用于</w:t>
      </w:r>
      <w:r>
        <w:rPr>
          <w:rFonts w:hint="eastAsia" w:ascii="Times New Roman" w:hAnsi="Times New Roman" w:eastAsia="宋体" w:cs="Times New Roman"/>
          <w:sz w:val="24"/>
          <w:szCs w:val="24"/>
          <w:lang w:val="en-US" w:eastAsia="zh-CN"/>
        </w:rPr>
        <w:t>测定肌内脂肪指标</w:t>
      </w:r>
      <w:r>
        <w:rPr>
          <w:rFonts w:hint="default" w:ascii="Times New Roman" w:hAnsi="Times New Roman" w:eastAsia="宋体" w:cs="Times New Roman"/>
          <w:sz w:val="24"/>
          <w:szCs w:val="24"/>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由表1可知，整个研究群体、去势公猪和母猪中肌内脂肪含量指标差异水平均不显著（P&gt;0.05），其中，去势公猪肌内脂肪含量均高于全群体和母猪均值。</w:t>
      </w:r>
    </w:p>
    <w:p>
      <w:pPr>
        <w:spacing w:line="360" w:lineRule="auto"/>
        <w:jc w:val="center"/>
        <w:rPr>
          <w:rFonts w:ascii="Times New Roman" w:hAnsi="Times New Roman" w:eastAsia="黑体" w:cs="Times New Roman"/>
          <w:b/>
          <w:bCs/>
          <w:szCs w:val="21"/>
        </w:rPr>
      </w:pPr>
      <w:r>
        <w:rPr>
          <w:rFonts w:ascii="Times New Roman" w:hAnsi="Times New Roman" w:eastAsia="黑体" w:cs="Times New Roman"/>
          <w:b/>
          <w:bCs/>
          <w:szCs w:val="21"/>
        </w:rPr>
        <w:t>表1性别对从江香猪肉用性状指标的影响</w:t>
      </w:r>
    </w:p>
    <w:tbl>
      <w:tblPr>
        <w:tblStyle w:val="7"/>
        <w:tblW w:w="6111" w:type="dxa"/>
        <w:jc w:val="center"/>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036"/>
        <w:gridCol w:w="1845"/>
        <w:gridCol w:w="2230"/>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9" w:hRule="atLeast"/>
          <w:jc w:val="center"/>
        </w:trPr>
        <w:tc>
          <w:tcPr>
            <w:tcW w:w="2036" w:type="dxa"/>
            <w:vMerge w:val="restart"/>
            <w:shd w:val="clear" w:color="auto" w:fill="auto"/>
            <w:vAlign w:val="center"/>
          </w:tcPr>
          <w:p>
            <w:pPr>
              <w:widowControl/>
              <w:spacing w:after="0"/>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分类</w:t>
            </w:r>
          </w:p>
        </w:tc>
        <w:tc>
          <w:tcPr>
            <w:tcW w:w="1845" w:type="dxa"/>
            <w:vMerge w:val="restart"/>
            <w:shd w:val="clear" w:color="auto" w:fill="auto"/>
            <w:vAlign w:val="center"/>
          </w:tcPr>
          <w:p>
            <w:pPr>
              <w:widowControl/>
              <w:spacing w:after="0"/>
              <w:jc w:val="center"/>
              <w:textAlignment w:val="center"/>
              <w:rPr>
                <w:rFonts w:ascii="Times New Roman" w:hAnsi="Times New Roman" w:eastAsia="宋体" w:cs="Times New Roman"/>
                <w:color w:val="000000"/>
                <w:szCs w:val="21"/>
              </w:rPr>
            </w:pPr>
            <w:r>
              <w:rPr>
                <w:rFonts w:hint="eastAsia" w:ascii="Times New Roman" w:hAnsi="Times New Roman" w:eastAsia="宋体" w:cs="Times New Roman"/>
                <w:color w:val="000000"/>
                <w:kern w:val="0"/>
                <w:szCs w:val="21"/>
              </w:rPr>
              <w:t>平均</w:t>
            </w:r>
            <w:r>
              <w:rPr>
                <w:rFonts w:ascii="Times New Roman" w:hAnsi="Times New Roman" w:eastAsia="宋体" w:cs="Times New Roman"/>
                <w:color w:val="000000"/>
                <w:kern w:val="0"/>
                <w:szCs w:val="21"/>
              </w:rPr>
              <w:t>体重/kg</w:t>
            </w:r>
          </w:p>
        </w:tc>
        <w:tc>
          <w:tcPr>
            <w:tcW w:w="2230" w:type="dxa"/>
            <w:vMerge w:val="restart"/>
            <w:shd w:val="clear" w:color="auto" w:fill="auto"/>
            <w:vAlign w:val="center"/>
          </w:tcPr>
          <w:p>
            <w:pPr>
              <w:widowControl/>
              <w:spacing w:after="0"/>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肌内脂肪/%</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jc w:val="center"/>
        </w:trPr>
        <w:tc>
          <w:tcPr>
            <w:tcW w:w="2036" w:type="dxa"/>
            <w:vMerge w:val="continue"/>
            <w:shd w:val="clear" w:color="auto" w:fill="auto"/>
            <w:vAlign w:val="center"/>
          </w:tcPr>
          <w:p>
            <w:pPr>
              <w:spacing w:after="0"/>
              <w:jc w:val="center"/>
              <w:rPr>
                <w:rFonts w:ascii="Times New Roman" w:hAnsi="Times New Roman" w:eastAsia="宋体" w:cs="Times New Roman"/>
                <w:color w:val="000000"/>
                <w:szCs w:val="21"/>
              </w:rPr>
            </w:pPr>
          </w:p>
        </w:tc>
        <w:tc>
          <w:tcPr>
            <w:tcW w:w="1845" w:type="dxa"/>
            <w:vMerge w:val="continue"/>
            <w:shd w:val="clear" w:color="auto" w:fill="auto"/>
            <w:vAlign w:val="center"/>
          </w:tcPr>
          <w:p>
            <w:pPr>
              <w:spacing w:after="0"/>
              <w:jc w:val="center"/>
              <w:rPr>
                <w:rFonts w:ascii="Times New Roman" w:hAnsi="Times New Roman" w:eastAsia="宋体" w:cs="Times New Roman"/>
                <w:color w:val="000000"/>
                <w:szCs w:val="21"/>
              </w:rPr>
            </w:pPr>
          </w:p>
        </w:tc>
        <w:tc>
          <w:tcPr>
            <w:tcW w:w="2230" w:type="dxa"/>
            <w:vMerge w:val="continue"/>
            <w:shd w:val="clear" w:color="auto" w:fill="auto"/>
            <w:vAlign w:val="center"/>
          </w:tcPr>
          <w:p>
            <w:pPr>
              <w:spacing w:after="0"/>
              <w:jc w:val="center"/>
              <w:rPr>
                <w:rFonts w:ascii="Times New Roman" w:hAnsi="Times New Roman" w:eastAsia="宋体" w:cs="Times New Roman"/>
                <w:color w:val="000000"/>
                <w:szCs w:val="21"/>
              </w:rPr>
            </w:pP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2036" w:type="dxa"/>
            <w:tcBorders>
              <w:top w:val="single" w:color="auto" w:sz="4" w:space="0"/>
              <w:tl2br w:val="nil"/>
              <w:tr2bl w:val="nil"/>
            </w:tcBorders>
            <w:shd w:val="clear" w:color="auto" w:fill="auto"/>
            <w:vAlign w:val="center"/>
          </w:tcPr>
          <w:p>
            <w:pPr>
              <w:widowControl/>
              <w:spacing w:after="0"/>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群体 </w:t>
            </w:r>
          </w:p>
        </w:tc>
        <w:tc>
          <w:tcPr>
            <w:tcW w:w="1845" w:type="dxa"/>
            <w:vMerge w:val="restart"/>
            <w:tcBorders>
              <w:top w:val="single" w:color="auto" w:sz="4" w:space="0"/>
              <w:tl2br w:val="nil"/>
              <w:tr2bl w:val="nil"/>
            </w:tcBorders>
            <w:shd w:val="clear" w:color="auto" w:fill="auto"/>
            <w:vAlign w:val="center"/>
          </w:tcPr>
          <w:p>
            <w:pPr>
              <w:widowControl/>
              <w:spacing w:after="0"/>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57.13±14.07</w:t>
            </w:r>
          </w:p>
        </w:tc>
        <w:tc>
          <w:tcPr>
            <w:tcW w:w="2230" w:type="dxa"/>
            <w:vMerge w:val="restart"/>
            <w:tcBorders>
              <w:top w:val="single" w:color="auto" w:sz="4" w:space="0"/>
              <w:tl2br w:val="nil"/>
              <w:tr2bl w:val="nil"/>
            </w:tcBorders>
            <w:shd w:val="clear" w:color="auto" w:fill="auto"/>
            <w:vAlign w:val="center"/>
          </w:tcPr>
          <w:p>
            <w:pPr>
              <w:widowControl/>
              <w:spacing w:after="0"/>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3.15±1.02</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2036" w:type="dxa"/>
            <w:tcBorders>
              <w:tl2br w:val="nil"/>
              <w:tr2bl w:val="nil"/>
            </w:tcBorders>
            <w:shd w:val="clear" w:color="auto" w:fill="auto"/>
            <w:vAlign w:val="center"/>
          </w:tcPr>
          <w:p>
            <w:pPr>
              <w:widowControl/>
              <w:spacing w:after="0"/>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N=117</w:t>
            </w:r>
          </w:p>
        </w:tc>
        <w:tc>
          <w:tcPr>
            <w:tcW w:w="1845" w:type="dxa"/>
            <w:vMerge w:val="continue"/>
            <w:tcBorders>
              <w:tl2br w:val="nil"/>
              <w:tr2bl w:val="nil"/>
            </w:tcBorders>
            <w:shd w:val="clear" w:color="auto" w:fill="auto"/>
            <w:vAlign w:val="center"/>
          </w:tcPr>
          <w:p>
            <w:pPr>
              <w:spacing w:after="0"/>
              <w:jc w:val="center"/>
              <w:rPr>
                <w:rFonts w:ascii="Times New Roman" w:hAnsi="Times New Roman" w:eastAsia="宋体" w:cs="Times New Roman"/>
                <w:color w:val="000000"/>
                <w:szCs w:val="21"/>
              </w:rPr>
            </w:pPr>
          </w:p>
        </w:tc>
        <w:tc>
          <w:tcPr>
            <w:tcW w:w="2230" w:type="dxa"/>
            <w:vMerge w:val="continue"/>
            <w:tcBorders>
              <w:tl2br w:val="nil"/>
              <w:tr2bl w:val="nil"/>
            </w:tcBorders>
            <w:shd w:val="clear" w:color="auto" w:fill="auto"/>
            <w:vAlign w:val="center"/>
          </w:tcPr>
          <w:p>
            <w:pPr>
              <w:spacing w:after="0"/>
              <w:jc w:val="center"/>
              <w:rPr>
                <w:rFonts w:ascii="Times New Roman" w:hAnsi="Times New Roman" w:eastAsia="宋体" w:cs="Times New Roman"/>
                <w:color w:val="000000"/>
                <w:szCs w:val="21"/>
              </w:rPr>
            </w:pP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2036" w:type="dxa"/>
            <w:tcBorders>
              <w:tl2br w:val="nil"/>
              <w:tr2bl w:val="nil"/>
            </w:tcBorders>
            <w:shd w:val="clear" w:color="auto" w:fill="auto"/>
            <w:vAlign w:val="center"/>
          </w:tcPr>
          <w:p>
            <w:pPr>
              <w:widowControl/>
              <w:spacing w:after="0"/>
              <w:jc w:val="center"/>
              <w:textAlignment w:val="center"/>
              <w:rPr>
                <w:rFonts w:ascii="Times New Roman" w:hAnsi="Times New Roman" w:eastAsia="宋体" w:cs="Times New Roman"/>
                <w:color w:val="000000"/>
                <w:szCs w:val="21"/>
              </w:rPr>
            </w:pPr>
            <w:r>
              <w:rPr>
                <w:rFonts w:hint="eastAsia" w:ascii="Times New Roman" w:hAnsi="Times New Roman" w:eastAsia="宋体" w:cs="Times New Roman"/>
                <w:color w:val="000000"/>
                <w:kern w:val="0"/>
                <w:szCs w:val="21"/>
              </w:rPr>
              <w:t>去势</w:t>
            </w:r>
            <w:r>
              <w:rPr>
                <w:rFonts w:ascii="Times New Roman" w:hAnsi="Times New Roman" w:eastAsia="宋体" w:cs="Times New Roman"/>
                <w:color w:val="000000"/>
                <w:kern w:val="0"/>
                <w:szCs w:val="21"/>
              </w:rPr>
              <w:t xml:space="preserve">公猪 </w:t>
            </w:r>
          </w:p>
        </w:tc>
        <w:tc>
          <w:tcPr>
            <w:tcW w:w="1845" w:type="dxa"/>
            <w:vMerge w:val="restart"/>
            <w:tcBorders>
              <w:tl2br w:val="nil"/>
              <w:tr2bl w:val="nil"/>
            </w:tcBorders>
            <w:shd w:val="clear" w:color="auto" w:fill="auto"/>
            <w:vAlign w:val="center"/>
          </w:tcPr>
          <w:p>
            <w:pPr>
              <w:widowControl/>
              <w:spacing w:after="0"/>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58.79±14.42</w:t>
            </w:r>
          </w:p>
        </w:tc>
        <w:tc>
          <w:tcPr>
            <w:tcW w:w="2230" w:type="dxa"/>
            <w:vMerge w:val="restart"/>
            <w:tcBorders>
              <w:tl2br w:val="nil"/>
              <w:tr2bl w:val="nil"/>
            </w:tcBorders>
            <w:shd w:val="clear" w:color="auto" w:fill="auto"/>
            <w:vAlign w:val="center"/>
          </w:tcPr>
          <w:p>
            <w:pPr>
              <w:widowControl/>
              <w:spacing w:after="0"/>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3.26±1.06</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2036" w:type="dxa"/>
            <w:tcBorders>
              <w:tl2br w:val="nil"/>
              <w:tr2bl w:val="nil"/>
            </w:tcBorders>
            <w:shd w:val="clear" w:color="auto" w:fill="auto"/>
            <w:vAlign w:val="center"/>
          </w:tcPr>
          <w:p>
            <w:pPr>
              <w:widowControl/>
              <w:spacing w:after="0"/>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N=64</w:t>
            </w:r>
          </w:p>
        </w:tc>
        <w:tc>
          <w:tcPr>
            <w:tcW w:w="1845" w:type="dxa"/>
            <w:vMerge w:val="continue"/>
            <w:tcBorders>
              <w:tl2br w:val="nil"/>
              <w:tr2bl w:val="nil"/>
            </w:tcBorders>
            <w:shd w:val="clear" w:color="auto" w:fill="auto"/>
            <w:vAlign w:val="center"/>
          </w:tcPr>
          <w:p>
            <w:pPr>
              <w:spacing w:after="0"/>
              <w:jc w:val="center"/>
              <w:rPr>
                <w:rFonts w:ascii="Times New Roman" w:hAnsi="Times New Roman" w:eastAsia="宋体" w:cs="Times New Roman"/>
                <w:color w:val="000000"/>
                <w:szCs w:val="21"/>
              </w:rPr>
            </w:pPr>
          </w:p>
        </w:tc>
        <w:tc>
          <w:tcPr>
            <w:tcW w:w="2230" w:type="dxa"/>
            <w:vMerge w:val="continue"/>
            <w:tcBorders>
              <w:tl2br w:val="nil"/>
              <w:tr2bl w:val="nil"/>
            </w:tcBorders>
            <w:shd w:val="clear" w:color="auto" w:fill="auto"/>
            <w:vAlign w:val="center"/>
          </w:tcPr>
          <w:p>
            <w:pPr>
              <w:spacing w:after="0"/>
              <w:jc w:val="center"/>
              <w:rPr>
                <w:rFonts w:ascii="Times New Roman" w:hAnsi="Times New Roman" w:eastAsia="宋体" w:cs="Times New Roman"/>
                <w:color w:val="000000"/>
                <w:szCs w:val="21"/>
              </w:rPr>
            </w:pP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2036" w:type="dxa"/>
            <w:tcBorders>
              <w:tl2br w:val="nil"/>
              <w:tr2bl w:val="nil"/>
            </w:tcBorders>
            <w:shd w:val="clear" w:color="auto" w:fill="auto"/>
            <w:vAlign w:val="center"/>
          </w:tcPr>
          <w:p>
            <w:pPr>
              <w:widowControl/>
              <w:spacing w:after="0"/>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母猪 </w:t>
            </w:r>
          </w:p>
        </w:tc>
        <w:tc>
          <w:tcPr>
            <w:tcW w:w="1845" w:type="dxa"/>
            <w:vMerge w:val="restart"/>
            <w:tcBorders>
              <w:tl2br w:val="nil"/>
              <w:tr2bl w:val="nil"/>
            </w:tcBorders>
            <w:shd w:val="clear" w:color="auto" w:fill="auto"/>
            <w:vAlign w:val="center"/>
          </w:tcPr>
          <w:p>
            <w:pPr>
              <w:widowControl/>
              <w:spacing w:after="0"/>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54.85±13.38</w:t>
            </w:r>
          </w:p>
        </w:tc>
        <w:tc>
          <w:tcPr>
            <w:tcW w:w="2230" w:type="dxa"/>
            <w:vMerge w:val="restart"/>
            <w:tcBorders>
              <w:tl2br w:val="nil"/>
              <w:tr2bl w:val="nil"/>
            </w:tcBorders>
            <w:shd w:val="clear" w:color="auto" w:fill="auto"/>
            <w:vAlign w:val="center"/>
          </w:tcPr>
          <w:p>
            <w:pPr>
              <w:widowControl/>
              <w:spacing w:after="0"/>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3.02±1.03</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jc w:val="center"/>
        </w:trPr>
        <w:tc>
          <w:tcPr>
            <w:tcW w:w="2036" w:type="dxa"/>
            <w:tcBorders>
              <w:tl2br w:val="nil"/>
              <w:tr2bl w:val="nil"/>
            </w:tcBorders>
            <w:shd w:val="clear" w:color="auto" w:fill="auto"/>
            <w:vAlign w:val="center"/>
          </w:tcPr>
          <w:p>
            <w:pPr>
              <w:widowControl/>
              <w:spacing w:after="0"/>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 xml:space="preserve">N=53 </w:t>
            </w:r>
          </w:p>
        </w:tc>
        <w:tc>
          <w:tcPr>
            <w:tcW w:w="1845" w:type="dxa"/>
            <w:vMerge w:val="continue"/>
            <w:tcBorders>
              <w:tl2br w:val="nil"/>
              <w:tr2bl w:val="nil"/>
            </w:tcBorders>
            <w:shd w:val="clear" w:color="auto" w:fill="auto"/>
            <w:vAlign w:val="center"/>
          </w:tcPr>
          <w:p>
            <w:pPr>
              <w:spacing w:after="0"/>
              <w:jc w:val="center"/>
              <w:rPr>
                <w:rFonts w:ascii="Times New Roman" w:hAnsi="Times New Roman" w:eastAsia="宋体" w:cs="Times New Roman"/>
                <w:color w:val="000000"/>
                <w:szCs w:val="21"/>
              </w:rPr>
            </w:pPr>
          </w:p>
        </w:tc>
        <w:tc>
          <w:tcPr>
            <w:tcW w:w="2230" w:type="dxa"/>
            <w:vMerge w:val="continue"/>
            <w:tcBorders>
              <w:tl2br w:val="nil"/>
              <w:tr2bl w:val="nil"/>
            </w:tcBorders>
            <w:shd w:val="clear" w:color="auto" w:fill="auto"/>
            <w:vAlign w:val="center"/>
          </w:tcPr>
          <w:p>
            <w:pPr>
              <w:spacing w:after="0"/>
              <w:jc w:val="center"/>
              <w:rPr>
                <w:rFonts w:ascii="Times New Roman" w:hAnsi="Times New Roman" w:eastAsia="宋体" w:cs="Times New Roman"/>
                <w:color w:val="000000"/>
                <w:szCs w:val="21"/>
              </w:rPr>
            </w:pPr>
          </w:p>
        </w:tc>
      </w:tr>
    </w:tbl>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注：同列数据肩标字母不同表示差异显著（P&lt;0.05）。</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本研究中由于试验猪屠宰体重跨度较大，样本划分为35 kg～45 kg、45 kg～55 kg、55 kg～65 kg、65 kg～75 kg 4个阶段体重组，分析不同生长阶段对肉用性状的影响（表2）。由表2可知，前3个体重组肌内脂肪呈现出缓慢增加的趋势，而65 kg～75 kg体重组肌内脂肪含量比前3个体重组有较大的提高幅度，但差异水平未达到显著（P&gt;0.05）。</w:t>
      </w:r>
    </w:p>
    <w:p>
      <w:pPr>
        <w:spacing w:line="360" w:lineRule="auto"/>
        <w:jc w:val="center"/>
        <w:rPr>
          <w:rFonts w:ascii="Times New Roman" w:hAnsi="Times New Roman" w:eastAsia="宋体" w:cs="Times New Roman"/>
          <w:szCs w:val="21"/>
        </w:rPr>
      </w:pPr>
      <w:r>
        <w:rPr>
          <w:rFonts w:ascii="Times New Roman" w:hAnsi="Times New Roman" w:eastAsia="黑体" w:cs="Times New Roman"/>
          <w:b/>
          <w:bCs/>
          <w:szCs w:val="21"/>
        </w:rPr>
        <w:t>表</w:t>
      </w:r>
      <w:r>
        <w:rPr>
          <w:rFonts w:hint="eastAsia" w:ascii="Times New Roman" w:hAnsi="Times New Roman" w:eastAsia="黑体" w:cs="Times New Roman"/>
          <w:b/>
          <w:bCs/>
          <w:szCs w:val="21"/>
        </w:rPr>
        <w:t>2</w:t>
      </w:r>
      <w:r>
        <w:rPr>
          <w:rFonts w:ascii="Times New Roman" w:hAnsi="Times New Roman" w:eastAsia="黑体" w:cs="Times New Roman"/>
          <w:b/>
          <w:bCs/>
          <w:szCs w:val="21"/>
        </w:rPr>
        <w:t xml:space="preserve"> 不同体重阶段对从江香猪肉用性状指标的影响</w:t>
      </w:r>
    </w:p>
    <w:tbl>
      <w:tblPr>
        <w:tblStyle w:val="7"/>
        <w:tblW w:w="6162" w:type="dxa"/>
        <w:jc w:val="center"/>
        <w:tblLayout w:type="fixed"/>
        <w:tblCellMar>
          <w:top w:w="15" w:type="dxa"/>
          <w:left w:w="15" w:type="dxa"/>
          <w:bottom w:w="15" w:type="dxa"/>
          <w:right w:w="15" w:type="dxa"/>
        </w:tblCellMar>
      </w:tblPr>
      <w:tblGrid>
        <w:gridCol w:w="1970"/>
        <w:gridCol w:w="1844"/>
        <w:gridCol w:w="2348"/>
      </w:tblGrid>
      <w:tr>
        <w:tblPrEx>
          <w:tblCellMar>
            <w:top w:w="15" w:type="dxa"/>
            <w:left w:w="15" w:type="dxa"/>
            <w:bottom w:w="15" w:type="dxa"/>
            <w:right w:w="15" w:type="dxa"/>
          </w:tblCellMar>
        </w:tblPrEx>
        <w:trPr>
          <w:trHeight w:val="360" w:hRule="atLeast"/>
          <w:jc w:val="center"/>
        </w:trPr>
        <w:tc>
          <w:tcPr>
            <w:tcW w:w="1970" w:type="dxa"/>
            <w:vMerge w:val="restart"/>
            <w:tcBorders>
              <w:top w:val="single" w:color="000000" w:sz="4" w:space="0"/>
              <w:left w:val="nil"/>
              <w:bottom w:val="single" w:color="000000" w:sz="4" w:space="0"/>
              <w:right w:val="nil"/>
            </w:tcBorders>
            <w:shd w:val="clear" w:color="auto" w:fill="auto"/>
            <w:vAlign w:val="center"/>
          </w:tcPr>
          <w:p>
            <w:pPr>
              <w:widowControl/>
              <w:spacing w:after="0"/>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体重范围/kg</w:t>
            </w:r>
          </w:p>
        </w:tc>
        <w:tc>
          <w:tcPr>
            <w:tcW w:w="1844" w:type="dxa"/>
            <w:vMerge w:val="restart"/>
            <w:tcBorders>
              <w:top w:val="single" w:color="000000" w:sz="4" w:space="0"/>
              <w:left w:val="nil"/>
              <w:bottom w:val="single" w:color="000000" w:sz="4" w:space="0"/>
              <w:right w:val="nil"/>
            </w:tcBorders>
            <w:shd w:val="clear" w:color="auto" w:fill="auto"/>
            <w:vAlign w:val="center"/>
          </w:tcPr>
          <w:p>
            <w:pPr>
              <w:widowControl/>
              <w:spacing w:after="0"/>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平均体重/kg</w:t>
            </w:r>
          </w:p>
        </w:tc>
        <w:tc>
          <w:tcPr>
            <w:tcW w:w="2348" w:type="dxa"/>
            <w:vMerge w:val="restart"/>
            <w:tcBorders>
              <w:top w:val="single" w:color="000000" w:sz="4" w:space="0"/>
              <w:left w:val="nil"/>
              <w:bottom w:val="single" w:color="000000" w:sz="4" w:space="0"/>
              <w:right w:val="nil"/>
            </w:tcBorders>
            <w:shd w:val="clear" w:color="auto" w:fill="auto"/>
            <w:vAlign w:val="center"/>
          </w:tcPr>
          <w:p>
            <w:pPr>
              <w:widowControl/>
              <w:spacing w:after="0"/>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肌内脂肪/%</w:t>
            </w:r>
          </w:p>
        </w:tc>
      </w:tr>
      <w:tr>
        <w:tblPrEx>
          <w:tblCellMar>
            <w:top w:w="15" w:type="dxa"/>
            <w:left w:w="15" w:type="dxa"/>
            <w:bottom w:w="15" w:type="dxa"/>
            <w:right w:w="15" w:type="dxa"/>
          </w:tblCellMar>
        </w:tblPrEx>
        <w:trPr>
          <w:trHeight w:val="312" w:hRule="atLeast"/>
          <w:jc w:val="center"/>
        </w:trPr>
        <w:tc>
          <w:tcPr>
            <w:tcW w:w="1970" w:type="dxa"/>
            <w:vMerge w:val="continue"/>
            <w:tcBorders>
              <w:top w:val="single" w:color="000000" w:sz="4" w:space="0"/>
              <w:left w:val="nil"/>
              <w:bottom w:val="single" w:color="000000" w:sz="4" w:space="0"/>
            </w:tcBorders>
            <w:shd w:val="clear" w:color="auto" w:fill="auto"/>
            <w:vAlign w:val="center"/>
          </w:tcPr>
          <w:p>
            <w:pPr>
              <w:spacing w:after="0"/>
              <w:jc w:val="center"/>
              <w:rPr>
                <w:rFonts w:ascii="Times New Roman" w:hAnsi="Times New Roman" w:eastAsia="宋体" w:cs="Times New Roman"/>
                <w:color w:val="000000"/>
                <w:szCs w:val="21"/>
              </w:rPr>
            </w:pPr>
          </w:p>
        </w:tc>
        <w:tc>
          <w:tcPr>
            <w:tcW w:w="1844" w:type="dxa"/>
            <w:vMerge w:val="continue"/>
            <w:tcBorders>
              <w:top w:val="single" w:color="000000" w:sz="4" w:space="0"/>
              <w:bottom w:val="single" w:color="000000" w:sz="4" w:space="0"/>
            </w:tcBorders>
            <w:shd w:val="clear" w:color="auto" w:fill="auto"/>
            <w:vAlign w:val="center"/>
          </w:tcPr>
          <w:p>
            <w:pPr>
              <w:spacing w:after="0"/>
              <w:jc w:val="center"/>
              <w:rPr>
                <w:rFonts w:ascii="Times New Roman" w:hAnsi="Times New Roman" w:eastAsia="宋体" w:cs="Times New Roman"/>
                <w:color w:val="000000"/>
                <w:szCs w:val="21"/>
              </w:rPr>
            </w:pPr>
          </w:p>
        </w:tc>
        <w:tc>
          <w:tcPr>
            <w:tcW w:w="2348" w:type="dxa"/>
            <w:vMerge w:val="continue"/>
            <w:tcBorders>
              <w:top w:val="single" w:color="000000" w:sz="4" w:space="0"/>
              <w:bottom w:val="single" w:color="000000" w:sz="4" w:space="0"/>
              <w:right w:val="nil"/>
            </w:tcBorders>
            <w:shd w:val="clear" w:color="auto" w:fill="auto"/>
            <w:vAlign w:val="center"/>
          </w:tcPr>
          <w:p>
            <w:pPr>
              <w:spacing w:after="0"/>
              <w:jc w:val="center"/>
              <w:rPr>
                <w:rFonts w:ascii="Times New Roman" w:hAnsi="Times New Roman" w:eastAsia="宋体" w:cs="Times New Roman"/>
                <w:color w:val="000000"/>
                <w:szCs w:val="21"/>
              </w:rPr>
            </w:pPr>
          </w:p>
        </w:tc>
      </w:tr>
      <w:tr>
        <w:tblPrEx>
          <w:tblCellMar>
            <w:top w:w="15" w:type="dxa"/>
            <w:left w:w="15" w:type="dxa"/>
            <w:bottom w:w="15" w:type="dxa"/>
            <w:right w:w="15" w:type="dxa"/>
          </w:tblCellMar>
        </w:tblPrEx>
        <w:trPr>
          <w:trHeight w:val="387" w:hRule="atLeast"/>
          <w:jc w:val="center"/>
        </w:trPr>
        <w:tc>
          <w:tcPr>
            <w:tcW w:w="1970" w:type="dxa"/>
            <w:tcBorders>
              <w:top w:val="single" w:color="000000" w:sz="4" w:space="0"/>
            </w:tcBorders>
            <w:shd w:val="clear" w:color="auto" w:fill="auto"/>
            <w:vAlign w:val="center"/>
          </w:tcPr>
          <w:p>
            <w:pPr>
              <w:widowControl/>
              <w:spacing w:after="0"/>
              <w:jc w:val="center"/>
              <w:textAlignment w:val="center"/>
              <w:rPr>
                <w:rFonts w:ascii="Times New Roman" w:hAnsi="Times New Roman" w:eastAsia="宋体" w:cs="Times New Roman"/>
                <w:color w:val="000000"/>
                <w:szCs w:val="21"/>
              </w:rPr>
            </w:pPr>
            <w:r>
              <w:rPr>
                <w:rFonts w:ascii="Times New Roman" w:hAnsi="Times New Roman" w:eastAsia="font-weight : 400" w:cs="Times New Roman"/>
                <w:color w:val="000000"/>
                <w:kern w:val="0"/>
                <w:szCs w:val="21"/>
              </w:rPr>
              <w:t>35</w:t>
            </w:r>
            <w:r>
              <w:rPr>
                <w:rStyle w:val="11"/>
                <w:rFonts w:hint="default" w:ascii="Times New Roman" w:hAnsi="Times New Roman" w:cs="Times New Roman"/>
                <w:sz w:val="21"/>
                <w:szCs w:val="21"/>
              </w:rPr>
              <w:t>～45</w:t>
            </w:r>
          </w:p>
        </w:tc>
        <w:tc>
          <w:tcPr>
            <w:tcW w:w="1844" w:type="dxa"/>
            <w:vMerge w:val="restart"/>
            <w:tcBorders>
              <w:top w:val="single" w:color="000000" w:sz="4" w:space="0"/>
            </w:tcBorders>
            <w:shd w:val="clear" w:color="auto" w:fill="auto"/>
            <w:vAlign w:val="center"/>
          </w:tcPr>
          <w:p>
            <w:pPr>
              <w:widowControl/>
              <w:spacing w:after="0"/>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40.77±2.83</w:t>
            </w:r>
          </w:p>
        </w:tc>
        <w:tc>
          <w:tcPr>
            <w:tcW w:w="2348" w:type="dxa"/>
            <w:vMerge w:val="restart"/>
            <w:tcBorders>
              <w:top w:val="single" w:color="000000" w:sz="4" w:space="0"/>
            </w:tcBorders>
            <w:shd w:val="clear" w:color="auto" w:fill="auto"/>
            <w:vAlign w:val="center"/>
          </w:tcPr>
          <w:p>
            <w:pPr>
              <w:widowControl/>
              <w:spacing w:after="0"/>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3.04±0.91</w:t>
            </w:r>
          </w:p>
        </w:tc>
      </w:tr>
      <w:tr>
        <w:tblPrEx>
          <w:tblCellMar>
            <w:top w:w="15" w:type="dxa"/>
            <w:left w:w="15" w:type="dxa"/>
            <w:bottom w:w="15" w:type="dxa"/>
            <w:right w:w="15" w:type="dxa"/>
          </w:tblCellMar>
        </w:tblPrEx>
        <w:trPr>
          <w:trHeight w:val="367" w:hRule="atLeast"/>
          <w:jc w:val="center"/>
        </w:trPr>
        <w:tc>
          <w:tcPr>
            <w:tcW w:w="1970" w:type="dxa"/>
            <w:shd w:val="clear" w:color="auto" w:fill="auto"/>
            <w:vAlign w:val="center"/>
          </w:tcPr>
          <w:p>
            <w:pPr>
              <w:widowControl/>
              <w:spacing w:after="0"/>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N=27</w:t>
            </w:r>
          </w:p>
        </w:tc>
        <w:tc>
          <w:tcPr>
            <w:tcW w:w="1844" w:type="dxa"/>
            <w:vMerge w:val="continue"/>
            <w:shd w:val="clear" w:color="auto" w:fill="auto"/>
            <w:vAlign w:val="center"/>
          </w:tcPr>
          <w:p>
            <w:pPr>
              <w:spacing w:after="0"/>
              <w:jc w:val="center"/>
              <w:rPr>
                <w:rFonts w:ascii="Times New Roman" w:hAnsi="Times New Roman" w:eastAsia="宋体" w:cs="Times New Roman"/>
                <w:color w:val="000000"/>
                <w:szCs w:val="21"/>
              </w:rPr>
            </w:pPr>
          </w:p>
        </w:tc>
        <w:tc>
          <w:tcPr>
            <w:tcW w:w="2348" w:type="dxa"/>
            <w:vMerge w:val="continue"/>
            <w:shd w:val="clear" w:color="auto" w:fill="auto"/>
            <w:vAlign w:val="center"/>
          </w:tcPr>
          <w:p>
            <w:pPr>
              <w:spacing w:after="0"/>
              <w:jc w:val="center"/>
              <w:rPr>
                <w:rFonts w:ascii="Times New Roman" w:hAnsi="Times New Roman" w:eastAsia="宋体" w:cs="Times New Roman"/>
                <w:color w:val="000000"/>
                <w:szCs w:val="21"/>
              </w:rPr>
            </w:pPr>
          </w:p>
        </w:tc>
      </w:tr>
      <w:tr>
        <w:tblPrEx>
          <w:tblCellMar>
            <w:top w:w="15" w:type="dxa"/>
            <w:left w:w="15" w:type="dxa"/>
            <w:bottom w:w="15" w:type="dxa"/>
            <w:right w:w="15" w:type="dxa"/>
          </w:tblCellMar>
        </w:tblPrEx>
        <w:trPr>
          <w:trHeight w:val="367" w:hRule="atLeast"/>
          <w:jc w:val="center"/>
        </w:trPr>
        <w:tc>
          <w:tcPr>
            <w:tcW w:w="1970" w:type="dxa"/>
            <w:shd w:val="clear" w:color="auto" w:fill="auto"/>
            <w:vAlign w:val="center"/>
          </w:tcPr>
          <w:p>
            <w:pPr>
              <w:widowControl/>
              <w:spacing w:after="0"/>
              <w:jc w:val="center"/>
              <w:textAlignment w:val="center"/>
              <w:rPr>
                <w:rFonts w:ascii="Times New Roman" w:hAnsi="Times New Roman" w:eastAsia="宋体" w:cs="Times New Roman"/>
                <w:color w:val="000000"/>
                <w:szCs w:val="21"/>
              </w:rPr>
            </w:pPr>
            <w:r>
              <w:rPr>
                <w:rFonts w:ascii="Times New Roman" w:hAnsi="Times New Roman" w:eastAsia="font-weight : 400" w:cs="Times New Roman"/>
                <w:color w:val="000000"/>
                <w:kern w:val="0"/>
                <w:szCs w:val="21"/>
              </w:rPr>
              <w:t>45</w:t>
            </w:r>
            <w:r>
              <w:rPr>
                <w:rStyle w:val="11"/>
                <w:rFonts w:hint="default" w:ascii="Times New Roman" w:hAnsi="Times New Roman" w:cs="Times New Roman"/>
                <w:sz w:val="21"/>
                <w:szCs w:val="21"/>
              </w:rPr>
              <w:t>～55</w:t>
            </w:r>
          </w:p>
        </w:tc>
        <w:tc>
          <w:tcPr>
            <w:tcW w:w="1844" w:type="dxa"/>
            <w:vMerge w:val="restart"/>
            <w:shd w:val="clear" w:color="auto" w:fill="auto"/>
            <w:vAlign w:val="center"/>
          </w:tcPr>
          <w:p>
            <w:pPr>
              <w:widowControl/>
              <w:spacing w:after="0"/>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49.72±2.99</w:t>
            </w:r>
          </w:p>
        </w:tc>
        <w:tc>
          <w:tcPr>
            <w:tcW w:w="2348" w:type="dxa"/>
            <w:vMerge w:val="restart"/>
            <w:shd w:val="clear" w:color="auto" w:fill="auto"/>
            <w:vAlign w:val="center"/>
          </w:tcPr>
          <w:p>
            <w:pPr>
              <w:widowControl/>
              <w:spacing w:after="0"/>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3.10±1.17</w:t>
            </w:r>
          </w:p>
        </w:tc>
      </w:tr>
      <w:tr>
        <w:tblPrEx>
          <w:tblCellMar>
            <w:top w:w="15" w:type="dxa"/>
            <w:left w:w="15" w:type="dxa"/>
            <w:bottom w:w="15" w:type="dxa"/>
            <w:right w:w="15" w:type="dxa"/>
          </w:tblCellMar>
        </w:tblPrEx>
        <w:trPr>
          <w:trHeight w:val="367" w:hRule="atLeast"/>
          <w:jc w:val="center"/>
        </w:trPr>
        <w:tc>
          <w:tcPr>
            <w:tcW w:w="1970" w:type="dxa"/>
            <w:shd w:val="clear" w:color="auto" w:fill="auto"/>
            <w:vAlign w:val="center"/>
          </w:tcPr>
          <w:p>
            <w:pPr>
              <w:widowControl/>
              <w:spacing w:after="0"/>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N=33</w:t>
            </w:r>
          </w:p>
        </w:tc>
        <w:tc>
          <w:tcPr>
            <w:tcW w:w="1844" w:type="dxa"/>
            <w:vMerge w:val="continue"/>
            <w:shd w:val="clear" w:color="auto" w:fill="auto"/>
            <w:vAlign w:val="center"/>
          </w:tcPr>
          <w:p>
            <w:pPr>
              <w:spacing w:after="0"/>
              <w:jc w:val="center"/>
              <w:rPr>
                <w:rFonts w:ascii="Times New Roman" w:hAnsi="Times New Roman" w:eastAsia="宋体" w:cs="Times New Roman"/>
                <w:color w:val="000000"/>
                <w:szCs w:val="21"/>
              </w:rPr>
            </w:pPr>
          </w:p>
        </w:tc>
        <w:tc>
          <w:tcPr>
            <w:tcW w:w="2348" w:type="dxa"/>
            <w:vMerge w:val="continue"/>
            <w:shd w:val="clear" w:color="auto" w:fill="auto"/>
            <w:vAlign w:val="center"/>
          </w:tcPr>
          <w:p>
            <w:pPr>
              <w:spacing w:after="0"/>
              <w:jc w:val="center"/>
              <w:rPr>
                <w:rFonts w:ascii="Times New Roman" w:hAnsi="Times New Roman" w:eastAsia="宋体" w:cs="Times New Roman"/>
                <w:color w:val="000000"/>
                <w:szCs w:val="21"/>
              </w:rPr>
            </w:pPr>
          </w:p>
        </w:tc>
      </w:tr>
      <w:tr>
        <w:tblPrEx>
          <w:tblCellMar>
            <w:top w:w="15" w:type="dxa"/>
            <w:left w:w="15" w:type="dxa"/>
            <w:bottom w:w="15" w:type="dxa"/>
            <w:right w:w="15" w:type="dxa"/>
          </w:tblCellMar>
        </w:tblPrEx>
        <w:trPr>
          <w:trHeight w:val="367" w:hRule="atLeast"/>
          <w:jc w:val="center"/>
        </w:trPr>
        <w:tc>
          <w:tcPr>
            <w:tcW w:w="1970" w:type="dxa"/>
            <w:shd w:val="clear" w:color="auto" w:fill="auto"/>
            <w:vAlign w:val="center"/>
          </w:tcPr>
          <w:p>
            <w:pPr>
              <w:widowControl/>
              <w:spacing w:after="0"/>
              <w:jc w:val="center"/>
              <w:textAlignment w:val="center"/>
              <w:rPr>
                <w:rFonts w:ascii="Times New Roman" w:hAnsi="Times New Roman" w:eastAsia="宋体" w:cs="Times New Roman"/>
                <w:color w:val="000000"/>
                <w:szCs w:val="21"/>
              </w:rPr>
            </w:pPr>
            <w:r>
              <w:rPr>
                <w:rFonts w:ascii="Times New Roman" w:hAnsi="Times New Roman" w:eastAsia="font-weight : 400" w:cs="Times New Roman"/>
                <w:color w:val="000000"/>
                <w:kern w:val="0"/>
                <w:szCs w:val="21"/>
              </w:rPr>
              <w:t>55</w:t>
            </w:r>
            <w:r>
              <w:rPr>
                <w:rStyle w:val="11"/>
                <w:rFonts w:hint="default" w:ascii="Times New Roman" w:hAnsi="Times New Roman" w:cs="Times New Roman"/>
                <w:sz w:val="21"/>
                <w:szCs w:val="21"/>
              </w:rPr>
              <w:t>～65</w:t>
            </w:r>
          </w:p>
        </w:tc>
        <w:tc>
          <w:tcPr>
            <w:tcW w:w="1844" w:type="dxa"/>
            <w:vMerge w:val="restart"/>
            <w:shd w:val="clear" w:color="auto" w:fill="auto"/>
            <w:vAlign w:val="center"/>
          </w:tcPr>
          <w:p>
            <w:pPr>
              <w:widowControl/>
              <w:spacing w:after="0"/>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60.32±2.88</w:t>
            </w:r>
          </w:p>
        </w:tc>
        <w:tc>
          <w:tcPr>
            <w:tcW w:w="2348" w:type="dxa"/>
            <w:vMerge w:val="restart"/>
            <w:shd w:val="clear" w:color="auto" w:fill="auto"/>
            <w:vAlign w:val="center"/>
          </w:tcPr>
          <w:p>
            <w:pPr>
              <w:widowControl/>
              <w:spacing w:after="0"/>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3.14±1.06</w:t>
            </w:r>
          </w:p>
        </w:tc>
      </w:tr>
      <w:tr>
        <w:tblPrEx>
          <w:tblCellMar>
            <w:top w:w="15" w:type="dxa"/>
            <w:left w:w="15" w:type="dxa"/>
            <w:bottom w:w="15" w:type="dxa"/>
            <w:right w:w="15" w:type="dxa"/>
          </w:tblCellMar>
        </w:tblPrEx>
        <w:trPr>
          <w:trHeight w:val="367" w:hRule="atLeast"/>
          <w:jc w:val="center"/>
        </w:trPr>
        <w:tc>
          <w:tcPr>
            <w:tcW w:w="1970" w:type="dxa"/>
            <w:shd w:val="clear" w:color="auto" w:fill="auto"/>
            <w:vAlign w:val="center"/>
          </w:tcPr>
          <w:p>
            <w:pPr>
              <w:widowControl/>
              <w:spacing w:after="0"/>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N=30</w:t>
            </w:r>
          </w:p>
        </w:tc>
        <w:tc>
          <w:tcPr>
            <w:tcW w:w="1844" w:type="dxa"/>
            <w:vMerge w:val="continue"/>
            <w:shd w:val="clear" w:color="auto" w:fill="auto"/>
            <w:vAlign w:val="center"/>
          </w:tcPr>
          <w:p>
            <w:pPr>
              <w:spacing w:after="0"/>
              <w:jc w:val="center"/>
              <w:rPr>
                <w:rFonts w:ascii="Times New Roman" w:hAnsi="Times New Roman" w:eastAsia="宋体" w:cs="Times New Roman"/>
                <w:color w:val="000000"/>
                <w:szCs w:val="21"/>
              </w:rPr>
            </w:pPr>
          </w:p>
        </w:tc>
        <w:tc>
          <w:tcPr>
            <w:tcW w:w="2348" w:type="dxa"/>
            <w:vMerge w:val="continue"/>
            <w:shd w:val="clear" w:color="auto" w:fill="auto"/>
            <w:vAlign w:val="center"/>
          </w:tcPr>
          <w:p>
            <w:pPr>
              <w:spacing w:after="0"/>
              <w:jc w:val="center"/>
              <w:rPr>
                <w:rFonts w:ascii="Times New Roman" w:hAnsi="Times New Roman" w:eastAsia="宋体" w:cs="Times New Roman"/>
                <w:color w:val="000000"/>
                <w:szCs w:val="21"/>
              </w:rPr>
            </w:pPr>
          </w:p>
        </w:tc>
      </w:tr>
      <w:tr>
        <w:tblPrEx>
          <w:tblCellMar>
            <w:top w:w="15" w:type="dxa"/>
            <w:left w:w="15" w:type="dxa"/>
            <w:bottom w:w="15" w:type="dxa"/>
            <w:right w:w="15" w:type="dxa"/>
          </w:tblCellMar>
        </w:tblPrEx>
        <w:trPr>
          <w:trHeight w:val="367" w:hRule="atLeast"/>
          <w:jc w:val="center"/>
        </w:trPr>
        <w:tc>
          <w:tcPr>
            <w:tcW w:w="1970" w:type="dxa"/>
            <w:shd w:val="clear" w:color="auto" w:fill="auto"/>
            <w:vAlign w:val="center"/>
          </w:tcPr>
          <w:p>
            <w:pPr>
              <w:widowControl/>
              <w:spacing w:after="0"/>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65～75</w:t>
            </w:r>
          </w:p>
        </w:tc>
        <w:tc>
          <w:tcPr>
            <w:tcW w:w="1844" w:type="dxa"/>
            <w:vMerge w:val="restart"/>
            <w:tcBorders>
              <w:bottom w:val="single" w:color="000000" w:sz="4" w:space="0"/>
            </w:tcBorders>
            <w:shd w:val="clear" w:color="auto" w:fill="auto"/>
            <w:vAlign w:val="center"/>
          </w:tcPr>
          <w:p>
            <w:pPr>
              <w:widowControl/>
              <w:spacing w:after="0"/>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71.77±3.47</w:t>
            </w:r>
          </w:p>
        </w:tc>
        <w:tc>
          <w:tcPr>
            <w:tcW w:w="2348" w:type="dxa"/>
            <w:vMerge w:val="restart"/>
            <w:tcBorders>
              <w:bottom w:val="single" w:color="000000" w:sz="4" w:space="0"/>
            </w:tcBorders>
            <w:shd w:val="clear" w:color="auto" w:fill="auto"/>
            <w:vAlign w:val="center"/>
          </w:tcPr>
          <w:p>
            <w:pPr>
              <w:widowControl/>
              <w:spacing w:after="0"/>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3.33±1.05</w:t>
            </w:r>
          </w:p>
        </w:tc>
      </w:tr>
      <w:tr>
        <w:tblPrEx>
          <w:tblCellMar>
            <w:top w:w="15" w:type="dxa"/>
            <w:left w:w="15" w:type="dxa"/>
            <w:bottom w:w="15" w:type="dxa"/>
            <w:right w:w="15" w:type="dxa"/>
          </w:tblCellMar>
        </w:tblPrEx>
        <w:trPr>
          <w:trHeight w:val="407" w:hRule="atLeast"/>
          <w:jc w:val="center"/>
        </w:trPr>
        <w:tc>
          <w:tcPr>
            <w:tcW w:w="1970" w:type="dxa"/>
            <w:tcBorders>
              <w:bottom w:val="single" w:color="000000" w:sz="4" w:space="0"/>
            </w:tcBorders>
            <w:shd w:val="clear" w:color="auto" w:fill="auto"/>
            <w:vAlign w:val="center"/>
          </w:tcPr>
          <w:p>
            <w:pPr>
              <w:widowControl/>
              <w:spacing w:after="0"/>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N=27</w:t>
            </w:r>
          </w:p>
        </w:tc>
        <w:tc>
          <w:tcPr>
            <w:tcW w:w="1844" w:type="dxa"/>
            <w:vMerge w:val="continue"/>
            <w:tcBorders>
              <w:bottom w:val="single" w:color="000000" w:sz="4" w:space="0"/>
            </w:tcBorders>
            <w:shd w:val="clear" w:color="auto" w:fill="auto"/>
            <w:vAlign w:val="center"/>
          </w:tcPr>
          <w:p>
            <w:pPr>
              <w:spacing w:after="0"/>
              <w:jc w:val="center"/>
              <w:rPr>
                <w:rFonts w:ascii="Times New Roman" w:hAnsi="Times New Roman" w:eastAsia="宋体" w:cs="Times New Roman"/>
                <w:color w:val="000000"/>
                <w:szCs w:val="21"/>
              </w:rPr>
            </w:pPr>
          </w:p>
        </w:tc>
        <w:tc>
          <w:tcPr>
            <w:tcW w:w="2348" w:type="dxa"/>
            <w:vMerge w:val="continue"/>
            <w:tcBorders>
              <w:bottom w:val="single" w:color="000000" w:sz="4" w:space="0"/>
            </w:tcBorders>
            <w:shd w:val="clear" w:color="auto" w:fill="auto"/>
            <w:vAlign w:val="center"/>
          </w:tcPr>
          <w:p>
            <w:pPr>
              <w:spacing w:after="0"/>
              <w:jc w:val="center"/>
              <w:rPr>
                <w:rFonts w:ascii="Times New Roman" w:hAnsi="Times New Roman" w:eastAsia="宋体" w:cs="Times New Roman"/>
                <w:color w:val="000000"/>
                <w:szCs w:val="21"/>
              </w:rPr>
            </w:pPr>
          </w:p>
        </w:tc>
      </w:tr>
    </w:tbl>
    <w:p>
      <w:pPr>
        <w:keepNext w:val="0"/>
        <w:keepLines w:val="0"/>
        <w:pageBreakBefore w:val="0"/>
        <w:widowControl/>
        <w:suppressLineNumbers w:val="0"/>
        <w:kinsoku/>
        <w:wordWrap/>
        <w:overflowPunct/>
        <w:topLinePunct w:val="0"/>
        <w:autoSpaceDE/>
        <w:autoSpaceDN/>
        <w:bidi w:val="0"/>
        <w:adjustRightInd/>
        <w:snapToGrid/>
        <w:spacing w:line="360" w:lineRule="auto"/>
        <w:jc w:val="both"/>
        <w:textAlignment w:val="auto"/>
        <w:rPr>
          <w:rFonts w:hint="eastAsia" w:ascii="Times New Roman" w:hAnsi="Times New Roman" w:eastAsia="宋体" w:cs="Times New Roman"/>
          <w:color w:val="000000"/>
          <w:kern w:val="0"/>
          <w:sz w:val="24"/>
          <w:szCs w:val="24"/>
          <w:lang w:val="en-US" w:eastAsia="zh-CN" w:bidi="ar"/>
        </w:rPr>
      </w:pPr>
      <w:r>
        <w:rPr>
          <w:rFonts w:hint="eastAsia" w:ascii="Times New Roman" w:hAnsi="Times New Roman" w:eastAsia="宋体" w:cs="Times New Roman"/>
          <w:sz w:val="24"/>
          <w:szCs w:val="24"/>
          <w:lang w:val="en-US" w:eastAsia="zh-CN"/>
        </w:rPr>
        <w:t>注：同列数据肩标字母不同表示差异显著（P&lt;0.05）。</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color w:val="000000"/>
          <w:kern w:val="0"/>
          <w:sz w:val="24"/>
          <w:szCs w:val="24"/>
          <w:lang w:val="en-US" w:eastAsia="zh-CN" w:bidi="ar"/>
        </w:rPr>
      </w:pPr>
      <w:r>
        <w:rPr>
          <w:rFonts w:hint="eastAsia" w:ascii="Times New Roman" w:hAnsi="Times New Roman" w:eastAsia="宋体" w:cs="Times New Roman"/>
          <w:color w:val="000000"/>
          <w:kern w:val="0"/>
          <w:sz w:val="24"/>
          <w:szCs w:val="24"/>
          <w:lang w:val="en-US" w:eastAsia="zh-CN" w:bidi="ar"/>
        </w:rPr>
        <w:t>小结：报告最终指出无论从不同性别及体重阶段，贵州从江香猪的肌内脂肪含量均未低于3.0%，</w:t>
      </w:r>
      <w:r>
        <w:rPr>
          <w:rFonts w:hint="default" w:ascii="Times New Roman" w:hAnsi="Times New Roman" w:eastAsia="宋体" w:cs="Times New Roman"/>
          <w:color w:val="000000"/>
          <w:kern w:val="0"/>
          <w:sz w:val="24"/>
          <w:szCs w:val="24"/>
          <w:lang w:val="en-US" w:eastAsia="zh-CN" w:bidi="ar"/>
        </w:rPr>
        <w:t>并结合</w:t>
      </w:r>
      <w:r>
        <w:rPr>
          <w:rFonts w:hint="eastAsia" w:ascii="Times New Roman" w:hAnsi="Times New Roman" w:eastAsia="宋体" w:cs="Times New Roman"/>
          <w:color w:val="000000"/>
          <w:kern w:val="0"/>
          <w:sz w:val="24"/>
          <w:szCs w:val="24"/>
          <w:lang w:val="en-US" w:eastAsia="zh-CN" w:bidi="ar"/>
        </w:rPr>
        <w:t>其它土猪</w:t>
      </w:r>
      <w:r>
        <w:rPr>
          <w:rFonts w:hint="default" w:ascii="Times New Roman" w:hAnsi="Times New Roman" w:eastAsia="宋体" w:cs="Times New Roman"/>
          <w:color w:val="000000"/>
          <w:kern w:val="0"/>
          <w:sz w:val="24"/>
          <w:szCs w:val="24"/>
          <w:lang w:val="en-US" w:eastAsia="zh-CN" w:bidi="ar"/>
        </w:rPr>
        <w:t>肌内脂肪指标检测结果，</w:t>
      </w:r>
      <w:r>
        <w:rPr>
          <w:rFonts w:hint="eastAsia" w:ascii="Times New Roman" w:hAnsi="Times New Roman" w:eastAsia="宋体" w:cs="Times New Roman"/>
          <w:color w:val="000000"/>
          <w:kern w:val="0"/>
          <w:sz w:val="24"/>
          <w:szCs w:val="24"/>
          <w:lang w:val="en-US" w:eastAsia="zh-CN" w:bidi="ar"/>
        </w:rPr>
        <w:t>故</w:t>
      </w:r>
      <w:r>
        <w:rPr>
          <w:rFonts w:hint="default" w:ascii="Times New Roman" w:hAnsi="Times New Roman" w:eastAsia="宋体" w:cs="Times New Roman"/>
          <w:color w:val="000000"/>
          <w:kern w:val="0"/>
          <w:sz w:val="24"/>
          <w:szCs w:val="24"/>
          <w:lang w:val="en-US" w:eastAsia="zh-CN" w:bidi="ar"/>
        </w:rPr>
        <w:t>建立了土猪肌内脂肪含量分级评价标准。</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hAnsi="宋体" w:cs="宋体"/>
          <w:sz w:val="24"/>
        </w:rPr>
        <w:t>⑧</w:t>
      </w:r>
      <w:r>
        <w:rPr>
          <w:rFonts w:hint="eastAsia" w:hAnsi="宋体" w:cs="宋体"/>
          <w:sz w:val="24"/>
          <w:lang w:val="en-US" w:eastAsia="zh-CN"/>
        </w:rPr>
        <w:t xml:space="preserve"> </w:t>
      </w:r>
      <w:r>
        <w:rPr>
          <w:rFonts w:hint="eastAsia" w:ascii="宋体" w:hAnsi="宋体" w:eastAsia="宋体" w:cs="宋体"/>
          <w:sz w:val="24"/>
          <w:szCs w:val="24"/>
          <w:lang w:val="en-US" w:eastAsia="zh-CN"/>
        </w:rPr>
        <w:t>鲜味氨基酸</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包含</w:t>
      </w:r>
      <w:r>
        <w:rPr>
          <w:rFonts w:hint="default" w:ascii="Times New Roman" w:hAnsi="Times New Roman" w:eastAsia="宋体" w:cs="Times New Roman"/>
          <w:sz w:val="24"/>
          <w:szCs w:val="24"/>
        </w:rPr>
        <w:t>天冬氨酸</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苏氨酸</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丝氨酸</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谷氨酸</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甘氨酸</w:t>
      </w:r>
      <w:r>
        <w:rPr>
          <w:rFonts w:hint="default" w:ascii="Times New Roman" w:hAnsi="Times New Roman" w:eastAsia="宋体" w:cs="Times New Roman"/>
          <w:sz w:val="24"/>
          <w:szCs w:val="24"/>
          <w:lang w:eastAsia="zh-CN"/>
        </w:rPr>
        <w:t>、</w:t>
      </w:r>
      <w:r>
        <w:rPr>
          <w:rFonts w:hint="default" w:ascii="Times New Roman" w:hAnsi="Times New Roman" w:eastAsia="宋体" w:cs="Times New Roman"/>
          <w:sz w:val="24"/>
          <w:szCs w:val="24"/>
        </w:rPr>
        <w:t>丙氨酸</w:t>
      </w:r>
      <w:r>
        <w:rPr>
          <w:rFonts w:hint="default" w:ascii="Times New Roman" w:hAnsi="Times New Roman" w:eastAsia="宋体" w:cs="Times New Roman"/>
          <w:sz w:val="24"/>
          <w:szCs w:val="24"/>
          <w:lang w:val="en-US" w:eastAsia="zh-CN"/>
        </w:rPr>
        <w:t>和精氨酸7种氨基酸的总和</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采用全自动氨基酸测定法。</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eastAsia" w:hAnsi="宋体" w:cs="宋体"/>
          <w:sz w:val="24"/>
        </w:rPr>
      </w:pPr>
      <w:r>
        <w:rPr>
          <w:rFonts w:hint="default" w:ascii="Times New Roman" w:hAnsi="Times New Roman" w:eastAsia="宋体" w:cs="Times New Roman"/>
          <w:sz w:val="24"/>
          <w:szCs w:val="24"/>
          <w:lang w:val="en-US" w:eastAsia="zh-CN"/>
        </w:rPr>
        <w:t>杨忠诚等</w:t>
      </w:r>
      <w:r>
        <w:rPr>
          <w:rFonts w:hint="default" w:ascii="Times New Roman" w:hAnsi="Times New Roman" w:cs="Times New Roman"/>
          <w:kern w:val="2"/>
          <w:sz w:val="24"/>
          <w:szCs w:val="24"/>
          <w:vertAlign w:val="superscript"/>
        </w:rPr>
        <w:t>[</w:t>
      </w:r>
      <w:r>
        <w:rPr>
          <w:rFonts w:hint="default" w:ascii="Times New Roman" w:hAnsi="Times New Roman" w:cs="Times New Roman"/>
          <w:kern w:val="2"/>
          <w:sz w:val="24"/>
          <w:szCs w:val="24"/>
          <w:vertAlign w:val="superscript"/>
          <w:lang w:val="en-US" w:eastAsia="zh-CN"/>
        </w:rPr>
        <w:t>6</w:t>
      </w:r>
      <w:r>
        <w:rPr>
          <w:rFonts w:hint="default" w:ascii="Times New Roman" w:hAnsi="Times New Roman" w:cs="Times New Roman"/>
          <w:kern w:val="2"/>
          <w:sz w:val="24"/>
          <w:szCs w:val="24"/>
          <w:vertAlign w:val="superscript"/>
        </w:rPr>
        <w:t>]</w:t>
      </w:r>
      <w:r>
        <w:rPr>
          <w:rFonts w:hint="default" w:ascii="Times New Roman" w:hAnsi="Times New Roman" w:eastAsia="宋体" w:cs="Times New Roman"/>
          <w:sz w:val="24"/>
          <w:szCs w:val="24"/>
          <w:lang w:val="en-US" w:eastAsia="zh-CN"/>
        </w:rPr>
        <w:t>在《</w:t>
      </w:r>
      <w:r>
        <w:rPr>
          <w:rFonts w:hint="default" w:ascii="Times New Roman" w:hAnsi="Times New Roman" w:eastAsia="宋体" w:cs="Times New Roman"/>
          <w:color w:val="000000"/>
          <w:kern w:val="0"/>
          <w:sz w:val="24"/>
          <w:szCs w:val="24"/>
          <w:lang w:val="en-US" w:eastAsia="zh-CN" w:bidi="ar"/>
        </w:rPr>
        <w:t>不同屠宰体重对江口萝卜猪胴体性状、肉品质、氨基酸和脂肪酸的影响》</w:t>
      </w:r>
      <w:r>
        <w:rPr>
          <w:rFonts w:hint="eastAsia" w:ascii="Times New Roman" w:hAnsi="Times New Roman" w:eastAsia="宋体" w:cs="Times New Roman"/>
          <w:color w:val="000000"/>
          <w:kern w:val="0"/>
          <w:sz w:val="24"/>
          <w:szCs w:val="24"/>
          <w:lang w:val="en-US" w:eastAsia="zh-CN" w:bidi="ar"/>
        </w:rPr>
        <w:t>报告</w:t>
      </w:r>
      <w:r>
        <w:rPr>
          <w:rFonts w:hint="default" w:ascii="Times New Roman" w:hAnsi="Times New Roman" w:eastAsia="宋体" w:cs="Times New Roman"/>
          <w:color w:val="000000"/>
          <w:kern w:val="0"/>
          <w:sz w:val="24"/>
          <w:szCs w:val="24"/>
          <w:lang w:val="en-US" w:eastAsia="zh-CN" w:bidi="ar"/>
        </w:rPr>
        <w:t>中通过测定贵州江口萝卜猪各项指标，发现</w:t>
      </w:r>
      <w:r>
        <w:rPr>
          <w:rFonts w:hint="eastAsia" w:ascii="Times New Roman" w:hAnsi="Times New Roman" w:eastAsia="宋体" w:cs="Times New Roman"/>
          <w:color w:val="000000"/>
          <w:kern w:val="0"/>
          <w:sz w:val="24"/>
          <w:szCs w:val="24"/>
          <w:lang w:val="en-US" w:eastAsia="zh-CN" w:bidi="ar"/>
        </w:rPr>
        <w:t>其</w:t>
      </w:r>
      <w:r>
        <w:rPr>
          <w:rFonts w:hint="default" w:ascii="Times New Roman" w:hAnsi="Times New Roman" w:eastAsia="宋体" w:cs="Times New Roman"/>
          <w:color w:val="000000"/>
          <w:kern w:val="0"/>
          <w:sz w:val="24"/>
          <w:szCs w:val="24"/>
          <w:lang w:val="en-US" w:eastAsia="zh-CN" w:bidi="ar"/>
        </w:rPr>
        <w:t>在体重达80kg左右屠宰较优，而该阶段猪鲜味氨基酸含量为22.49g/100g</w:t>
      </w:r>
      <w:r>
        <w:rPr>
          <w:rFonts w:hint="eastAsia" w:ascii="Times New Roman" w:hAnsi="Times New Roman" w:eastAsia="宋体" w:cs="Times New Roman"/>
          <w:color w:val="000000"/>
          <w:kern w:val="0"/>
          <w:sz w:val="24"/>
          <w:szCs w:val="24"/>
          <w:lang w:val="en-US" w:eastAsia="zh-CN" w:bidi="ar"/>
        </w:rPr>
        <w:t>，</w:t>
      </w:r>
      <w:r>
        <w:rPr>
          <w:rFonts w:hint="default" w:ascii="Times New Roman" w:hAnsi="Times New Roman" w:eastAsia="宋体" w:cs="Times New Roman"/>
          <w:color w:val="000000"/>
          <w:kern w:val="0"/>
          <w:sz w:val="24"/>
          <w:szCs w:val="24"/>
          <w:lang w:val="en-US" w:eastAsia="zh-CN" w:bidi="ar"/>
        </w:rPr>
        <w:t>故设置本标准的阈值区域。</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eastAsia="zh-CN"/>
        </w:rPr>
      </w:pPr>
      <w:r>
        <w:rPr>
          <w:rFonts w:hint="eastAsia" w:hAnsi="宋体" w:cs="宋体"/>
          <w:sz w:val="24"/>
        </w:rPr>
        <w:t>⑨</w:t>
      </w:r>
      <w:r>
        <w:rPr>
          <w:rFonts w:hint="eastAsia" w:hAnsi="宋体" w:cs="宋体"/>
          <w:sz w:val="24"/>
          <w:lang w:val="en-US" w:eastAsia="zh-CN"/>
        </w:rPr>
        <w:t xml:space="preserve"> </w:t>
      </w:r>
      <w:r>
        <w:rPr>
          <w:rFonts w:hint="eastAsia" w:ascii="宋体" w:hAnsi="宋体" w:eastAsia="宋体" w:cs="宋体"/>
          <w:sz w:val="24"/>
          <w:szCs w:val="24"/>
          <w:lang w:val="en-US" w:eastAsia="zh-CN"/>
        </w:rPr>
        <w:t>必需脂肪酸</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eastAsia" w:ascii="Times New Roman" w:hAnsi="Times New Roman" w:eastAsia="宋体" w:cs="Times New Roman"/>
          <w:sz w:val="24"/>
          <w:szCs w:val="24"/>
          <w:lang w:val="en-US" w:eastAsia="zh-CN"/>
        </w:rPr>
      </w:pPr>
      <w:r>
        <w:rPr>
          <w:rFonts w:hint="default" w:ascii="Times New Roman" w:hAnsi="Times New Roman" w:eastAsia="宋体" w:cs="Times New Roman"/>
          <w:sz w:val="24"/>
          <w:szCs w:val="24"/>
          <w:lang w:val="en-US" w:eastAsia="zh-CN"/>
        </w:rPr>
        <w:t>包含ω-3系列的</w:t>
      </w:r>
      <w:r>
        <w:rPr>
          <w:rFonts w:hint="default" w:ascii="Times New Roman" w:hAnsi="Times New Roman" w:eastAsia="宋体" w:cs="Times New Roman"/>
          <w:sz w:val="24"/>
          <w:szCs w:val="24"/>
          <w:lang w:val="en-US" w:eastAsia="zh-CN"/>
        </w:rPr>
        <w:fldChar w:fldCharType="begin"/>
      </w:r>
      <w:r>
        <w:rPr>
          <w:rFonts w:hint="default" w:ascii="Times New Roman" w:hAnsi="Times New Roman" w:eastAsia="宋体" w:cs="Times New Roman"/>
          <w:sz w:val="24"/>
          <w:szCs w:val="24"/>
          <w:lang w:val="en-US" w:eastAsia="zh-CN"/>
        </w:rPr>
        <w:instrText xml:space="preserve"> HYPERLINK "https://baike.sogou.com/lemma/ShowInnerLink.htm?lemmaId=8225276&amp;ss_c=ssc.citiao.link" \t "https://baike.sogou.com/_blank" </w:instrText>
      </w:r>
      <w:r>
        <w:rPr>
          <w:rFonts w:hint="default" w:ascii="Times New Roman" w:hAnsi="Times New Roman" w:eastAsia="宋体" w:cs="Times New Roman"/>
          <w:sz w:val="24"/>
          <w:szCs w:val="24"/>
          <w:lang w:val="en-US" w:eastAsia="zh-CN"/>
        </w:rPr>
        <w:fldChar w:fldCharType="separate"/>
      </w:r>
      <w:r>
        <w:rPr>
          <w:rFonts w:hint="default" w:ascii="Times New Roman" w:hAnsi="Times New Roman" w:eastAsia="宋体" w:cs="Times New Roman"/>
          <w:sz w:val="24"/>
          <w:szCs w:val="24"/>
          <w:lang w:val="en-US" w:eastAsia="zh-CN"/>
        </w:rPr>
        <w:t>α-亚麻酸</w:t>
      </w:r>
      <w:r>
        <w:rPr>
          <w:rFonts w:hint="default" w:ascii="Times New Roman" w:hAnsi="Times New Roman" w:eastAsia="宋体" w:cs="Times New Roman"/>
          <w:sz w:val="24"/>
          <w:szCs w:val="24"/>
          <w:lang w:val="en-US" w:eastAsia="zh-CN"/>
        </w:rPr>
        <w:fldChar w:fldCharType="end"/>
      </w:r>
      <w:r>
        <w:rPr>
          <w:rFonts w:hint="default" w:ascii="Times New Roman" w:hAnsi="Times New Roman" w:eastAsia="宋体" w:cs="Times New Roman"/>
          <w:sz w:val="24"/>
          <w:szCs w:val="24"/>
          <w:lang w:val="en-US" w:eastAsia="zh-CN"/>
        </w:rPr>
        <w:t>（18：3）和ω-6系列的</w:t>
      </w:r>
      <w:r>
        <w:rPr>
          <w:rFonts w:hint="default" w:ascii="Times New Roman" w:hAnsi="Times New Roman" w:eastAsia="宋体" w:cs="Times New Roman"/>
          <w:sz w:val="24"/>
          <w:szCs w:val="24"/>
          <w:lang w:val="en-US" w:eastAsia="zh-CN"/>
        </w:rPr>
        <w:fldChar w:fldCharType="begin"/>
      </w:r>
      <w:r>
        <w:rPr>
          <w:rFonts w:hint="default" w:ascii="Times New Roman" w:hAnsi="Times New Roman" w:eastAsia="宋体" w:cs="Times New Roman"/>
          <w:sz w:val="24"/>
          <w:szCs w:val="24"/>
          <w:lang w:val="en-US" w:eastAsia="zh-CN"/>
        </w:rPr>
        <w:instrText xml:space="preserve"> HYPERLINK "https://baike.sogou.com/lemma/ShowInnerLink.htm?lemmaId=99841&amp;ss_c=ssc.citiao.link" \t "https://baike.sogou.com/_blank" </w:instrText>
      </w:r>
      <w:r>
        <w:rPr>
          <w:rFonts w:hint="default" w:ascii="Times New Roman" w:hAnsi="Times New Roman" w:eastAsia="宋体" w:cs="Times New Roman"/>
          <w:sz w:val="24"/>
          <w:szCs w:val="24"/>
          <w:lang w:val="en-US" w:eastAsia="zh-CN"/>
        </w:rPr>
        <w:fldChar w:fldCharType="separate"/>
      </w:r>
      <w:r>
        <w:rPr>
          <w:rFonts w:hint="default" w:ascii="Times New Roman" w:hAnsi="Times New Roman" w:eastAsia="宋体" w:cs="Times New Roman"/>
          <w:sz w:val="24"/>
          <w:szCs w:val="24"/>
          <w:lang w:val="en-US" w:eastAsia="zh-CN"/>
        </w:rPr>
        <w:t>亚油酸</w:t>
      </w:r>
      <w:r>
        <w:rPr>
          <w:rFonts w:hint="default" w:ascii="Times New Roman" w:hAnsi="Times New Roman" w:eastAsia="宋体" w:cs="Times New Roman"/>
          <w:sz w:val="24"/>
          <w:szCs w:val="24"/>
          <w:lang w:val="en-US" w:eastAsia="zh-CN"/>
        </w:rPr>
        <w:fldChar w:fldCharType="end"/>
      </w:r>
      <w:r>
        <w:rPr>
          <w:rFonts w:hint="default" w:ascii="Times New Roman" w:hAnsi="Times New Roman" w:eastAsia="宋体" w:cs="Times New Roman"/>
          <w:sz w:val="24"/>
          <w:szCs w:val="24"/>
          <w:lang w:val="en-US" w:eastAsia="zh-CN"/>
        </w:rPr>
        <w:t>（18：2）2种脂肪酸；采用气相色谱</w:t>
      </w:r>
      <w:r>
        <w:rPr>
          <w:rFonts w:hint="eastAsia" w:ascii="Times New Roman" w:hAnsi="Times New Roman" w:eastAsia="宋体" w:cs="Times New Roman"/>
          <w:sz w:val="24"/>
          <w:szCs w:val="24"/>
          <w:lang w:val="en-US" w:eastAsia="zh-CN"/>
        </w:rPr>
        <w:t>测定</w:t>
      </w:r>
      <w:r>
        <w:rPr>
          <w:rFonts w:hint="default" w:ascii="Times New Roman" w:hAnsi="Times New Roman" w:eastAsia="宋体" w:cs="Times New Roman"/>
          <w:sz w:val="24"/>
          <w:szCs w:val="24"/>
          <w:lang w:val="en-US" w:eastAsia="zh-CN"/>
        </w:rPr>
        <w:t>。</w:t>
      </w:r>
      <w:r>
        <w:rPr>
          <w:rFonts w:hint="eastAsia" w:ascii="Times New Roman" w:hAnsi="Times New Roman" w:eastAsia="宋体" w:cs="Times New Roman"/>
          <w:sz w:val="24"/>
          <w:szCs w:val="24"/>
          <w:lang w:val="en-US" w:eastAsia="zh-CN"/>
        </w:rPr>
        <w:t>本标准起草组</w:t>
      </w:r>
      <w:r>
        <w:rPr>
          <w:rFonts w:hint="default" w:ascii="Times New Roman" w:hAnsi="Times New Roman" w:eastAsia="宋体" w:cs="Times New Roman"/>
          <w:sz w:val="24"/>
          <w:szCs w:val="24"/>
          <w:lang w:val="en-US" w:eastAsia="zh-CN"/>
        </w:rPr>
        <w:t>在《</w:t>
      </w:r>
      <w:r>
        <w:rPr>
          <w:rFonts w:hint="default" w:ascii="Times New Roman" w:hAnsi="Times New Roman" w:cs="Times New Roman"/>
          <w:sz w:val="24"/>
          <w:lang w:val="en-US" w:eastAsia="zh-CN"/>
        </w:rPr>
        <w:t>不同生长阶段从江香猪肉品质及脂肪沉积变化研究</w:t>
      </w:r>
      <w:r>
        <w:rPr>
          <w:rFonts w:hint="default" w:ascii="Times New Roman" w:hAnsi="Times New Roman" w:eastAsia="宋体" w:cs="Times New Roman"/>
          <w:color w:val="000000"/>
          <w:kern w:val="0"/>
          <w:sz w:val="24"/>
          <w:szCs w:val="24"/>
          <w:lang w:val="en-US" w:eastAsia="zh-CN" w:bidi="ar"/>
        </w:rPr>
        <w:t>》</w:t>
      </w:r>
      <w:r>
        <w:rPr>
          <w:rFonts w:hint="default" w:ascii="Times New Roman" w:hAnsi="Times New Roman" w:cs="Times New Roman"/>
          <w:kern w:val="2"/>
          <w:sz w:val="24"/>
          <w:szCs w:val="24"/>
          <w:vertAlign w:val="superscript"/>
        </w:rPr>
        <w:t>[</w:t>
      </w:r>
      <w:r>
        <w:rPr>
          <w:rFonts w:hint="default" w:ascii="Times New Roman" w:hAnsi="Times New Roman" w:cs="Times New Roman"/>
          <w:kern w:val="2"/>
          <w:sz w:val="24"/>
          <w:szCs w:val="24"/>
          <w:vertAlign w:val="superscript"/>
          <w:lang w:val="en-US" w:eastAsia="zh-CN"/>
        </w:rPr>
        <w:t>7</w:t>
      </w:r>
      <w:r>
        <w:rPr>
          <w:rFonts w:hint="default" w:ascii="Times New Roman" w:hAnsi="Times New Roman" w:cs="Times New Roman"/>
          <w:kern w:val="2"/>
          <w:sz w:val="24"/>
          <w:szCs w:val="24"/>
          <w:vertAlign w:val="superscript"/>
        </w:rPr>
        <w:t>]</w:t>
      </w:r>
      <w:r>
        <w:rPr>
          <w:rFonts w:hint="eastAsia" w:ascii="Times New Roman" w:hAnsi="Times New Roman" w:eastAsia="宋体" w:cs="Times New Roman"/>
          <w:color w:val="000000"/>
          <w:kern w:val="0"/>
          <w:sz w:val="24"/>
          <w:szCs w:val="24"/>
          <w:lang w:val="en-US" w:eastAsia="zh-CN" w:bidi="ar"/>
        </w:rPr>
        <w:t>报告</w:t>
      </w:r>
      <w:r>
        <w:rPr>
          <w:rFonts w:hint="eastAsia" w:ascii="Times New Roman" w:hAnsi="Times New Roman" w:eastAsia="宋体" w:cs="Times New Roman"/>
          <w:sz w:val="24"/>
          <w:szCs w:val="24"/>
          <w:lang w:val="en-US" w:eastAsia="zh-CN"/>
        </w:rPr>
        <w:t>中</w:t>
      </w:r>
      <w:r>
        <w:rPr>
          <w:rFonts w:hint="default" w:ascii="Times New Roman" w:hAnsi="Times New Roman" w:eastAsia="宋体" w:cs="Times New Roman"/>
          <w:sz w:val="24"/>
          <w:szCs w:val="24"/>
          <w:lang w:val="en-US" w:eastAsia="zh-CN"/>
        </w:rPr>
        <w:t>以</w:t>
      </w:r>
      <w:r>
        <w:rPr>
          <w:rFonts w:hint="eastAsia" w:ascii="Times New Roman" w:hAnsi="Times New Roman" w:eastAsia="宋体" w:cs="Times New Roman"/>
          <w:sz w:val="24"/>
          <w:szCs w:val="24"/>
          <w:lang w:val="en-US" w:eastAsia="zh-CN"/>
        </w:rPr>
        <w:t>35</w:t>
      </w:r>
      <w:r>
        <w:rPr>
          <w:rFonts w:hint="default" w:ascii="Times New Roman" w:hAnsi="Times New Roman" w:eastAsia="宋体" w:cs="Times New Roman"/>
          <w:sz w:val="24"/>
          <w:szCs w:val="24"/>
          <w:lang w:val="en-US" w:eastAsia="zh-CN"/>
        </w:rPr>
        <w:t>头不同</w:t>
      </w:r>
      <w:r>
        <w:rPr>
          <w:rFonts w:hint="eastAsia" w:ascii="Times New Roman" w:hAnsi="Times New Roman" w:eastAsia="宋体" w:cs="Times New Roman"/>
          <w:sz w:val="24"/>
          <w:szCs w:val="24"/>
          <w:lang w:val="en-US" w:eastAsia="zh-CN"/>
        </w:rPr>
        <w:t>生长</w:t>
      </w:r>
      <w:r>
        <w:rPr>
          <w:rFonts w:hint="default" w:ascii="Times New Roman" w:hAnsi="Times New Roman" w:eastAsia="宋体" w:cs="Times New Roman"/>
          <w:sz w:val="24"/>
          <w:szCs w:val="24"/>
          <w:lang w:val="en-US" w:eastAsia="zh-CN"/>
        </w:rPr>
        <w:t>阶段从江香猪为研究对象，系统</w:t>
      </w:r>
      <w:r>
        <w:rPr>
          <w:rFonts w:hint="eastAsia" w:ascii="Times New Roman" w:hAnsi="Times New Roman" w:eastAsia="宋体" w:cs="Times New Roman"/>
          <w:sz w:val="24"/>
          <w:szCs w:val="24"/>
          <w:lang w:val="en-US" w:eastAsia="zh-CN"/>
        </w:rPr>
        <w:t>分析</w:t>
      </w:r>
      <w:r>
        <w:rPr>
          <w:rFonts w:hint="default" w:ascii="Times New Roman" w:hAnsi="Times New Roman" w:eastAsia="宋体" w:cs="Times New Roman"/>
          <w:sz w:val="24"/>
          <w:szCs w:val="24"/>
          <w:lang w:val="en-US" w:eastAsia="zh-CN"/>
        </w:rPr>
        <w:t>其</w:t>
      </w:r>
      <w:r>
        <w:rPr>
          <w:rFonts w:hint="eastAsia" w:ascii="Times New Roman" w:hAnsi="Times New Roman" w:eastAsia="宋体" w:cs="Times New Roman"/>
          <w:sz w:val="24"/>
          <w:szCs w:val="24"/>
          <w:lang w:val="en-US" w:eastAsia="zh-CN"/>
        </w:rPr>
        <w:t>不同月龄阶段猪背肌组织脂肪酸含量。</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样品来源于</w:t>
      </w:r>
      <w:r>
        <w:rPr>
          <w:rFonts w:hint="default" w:ascii="Times New Roman" w:hAnsi="Times New Roman" w:eastAsia="宋体" w:cs="Times New Roman"/>
          <w:sz w:val="24"/>
          <w:szCs w:val="24"/>
          <w:lang w:val="en-US" w:eastAsia="zh-CN"/>
        </w:rPr>
        <w:t>贵阳市绿生源香猪生态福利养殖场，选择</w:t>
      </w:r>
      <w:r>
        <w:rPr>
          <w:rFonts w:hint="eastAsia" w:ascii="Times New Roman" w:hAnsi="Times New Roman" w:eastAsia="宋体" w:cs="Times New Roman"/>
          <w:sz w:val="24"/>
          <w:szCs w:val="24"/>
          <w:lang w:val="en-US" w:eastAsia="zh-CN"/>
        </w:rPr>
        <w:t>2，4，6，8，10月龄</w:t>
      </w:r>
      <w:r>
        <w:rPr>
          <w:rFonts w:hint="default" w:ascii="Times New Roman" w:hAnsi="Times New Roman" w:eastAsia="宋体" w:cs="Times New Roman"/>
          <w:sz w:val="24"/>
          <w:szCs w:val="24"/>
          <w:lang w:val="en-US" w:eastAsia="zh-CN"/>
        </w:rPr>
        <w:t>健康的从江香猪</w:t>
      </w:r>
      <w:r>
        <w:rPr>
          <w:rFonts w:hint="eastAsia" w:ascii="Times New Roman" w:hAnsi="Times New Roman" w:eastAsia="宋体" w:cs="Times New Roman"/>
          <w:sz w:val="24"/>
          <w:szCs w:val="24"/>
          <w:lang w:val="en-US" w:eastAsia="zh-CN"/>
        </w:rPr>
        <w:t>各7头</w:t>
      </w:r>
      <w:r>
        <w:rPr>
          <w:rFonts w:hint="default" w:ascii="Times New Roman" w:hAnsi="Times New Roman" w:eastAsia="宋体" w:cs="Times New Roman"/>
          <w:sz w:val="24"/>
          <w:szCs w:val="24"/>
          <w:lang w:val="en-US" w:eastAsia="zh-CN"/>
        </w:rPr>
        <w:t>进行定点屠宰</w:t>
      </w:r>
      <w:r>
        <w:rPr>
          <w:rFonts w:hint="eastAsia" w:ascii="Times New Roman" w:hAnsi="Times New Roman" w:eastAsia="宋体" w:cs="Times New Roman"/>
          <w:sz w:val="24"/>
          <w:szCs w:val="24"/>
          <w:lang w:val="en-US" w:eastAsia="zh-CN"/>
        </w:rPr>
        <w:t>，</w:t>
      </w:r>
      <w:r>
        <w:rPr>
          <w:rFonts w:hint="default" w:ascii="Times New Roman" w:hAnsi="Times New Roman" w:eastAsia="宋体" w:cs="Times New Roman"/>
          <w:sz w:val="24"/>
          <w:szCs w:val="24"/>
          <w:lang w:val="en-US" w:eastAsia="zh-CN"/>
        </w:rPr>
        <w:t>屠宰后采集背最长肌300 g，锡箔纸包裹。</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由表3可知：不同月龄阶段从江香猪脂肪酸组成呈现出一定规律性变化。在观测范围内，随着月龄增长，从江香猪背肌组织中亚油酸、不饱和脂肪酸、多不饱和脂肪酸含量以及</w:t>
      </w:r>
      <w:r>
        <w:rPr>
          <w:rFonts w:hint="default" w:ascii="Times New Roman" w:hAnsi="Times New Roman" w:eastAsia="宋体" w:cs="Times New Roman"/>
          <w:sz w:val="24"/>
          <w:szCs w:val="24"/>
          <w:lang w:val="en-US" w:eastAsia="zh-CN"/>
        </w:rPr>
        <w:t>多不饱和与饱和脂肪酸比</w:t>
      </w:r>
      <w:r>
        <w:rPr>
          <w:rFonts w:hint="eastAsia" w:ascii="Times New Roman" w:hAnsi="Times New Roman" w:eastAsia="宋体" w:cs="Times New Roman"/>
          <w:sz w:val="24"/>
          <w:szCs w:val="24"/>
          <w:lang w:val="en-US" w:eastAsia="zh-CN"/>
        </w:rPr>
        <w:t>指标在2月龄时最高，之后表现为显著降低趋势，降至6月龄后各指标间呈现稳定状态，差异水平不显著</w:t>
      </w:r>
      <w:r>
        <w:rPr>
          <w:rFonts w:hint="default" w:ascii="Times New Roman" w:hAnsi="Times New Roman" w:eastAsia="宋体" w:cs="Times New Roman"/>
          <w:sz w:val="24"/>
          <w:szCs w:val="24"/>
          <w:lang w:val="en-US" w:eastAsia="zh-CN"/>
        </w:rPr>
        <w:t>（P&gt;0.05）</w:t>
      </w:r>
      <w:r>
        <w:rPr>
          <w:rFonts w:hint="eastAsia" w:ascii="Times New Roman" w:hAnsi="Times New Roman" w:eastAsia="宋体" w:cs="Times New Roman"/>
          <w:sz w:val="24"/>
          <w:szCs w:val="24"/>
          <w:lang w:val="en-US" w:eastAsia="zh-CN"/>
        </w:rPr>
        <w:t>。2月龄从江香猪饱和脂肪酸含量显著低于其余各月龄阶段（</w:t>
      </w:r>
      <w:r>
        <w:rPr>
          <w:rFonts w:hint="default" w:ascii="Times New Roman" w:hAnsi="Times New Roman" w:eastAsia="宋体" w:cs="Times New Roman"/>
          <w:sz w:val="24"/>
          <w:szCs w:val="24"/>
          <w:lang w:val="en-US" w:eastAsia="zh-CN"/>
        </w:rPr>
        <w:t>P&lt;0.05</w:t>
      </w:r>
      <w:r>
        <w:rPr>
          <w:rFonts w:hint="eastAsia" w:ascii="Times New Roman" w:hAnsi="Times New Roman" w:eastAsia="宋体" w:cs="Times New Roman"/>
          <w:sz w:val="24"/>
          <w:szCs w:val="24"/>
          <w:lang w:val="en-US" w:eastAsia="zh-CN"/>
        </w:rPr>
        <w:t>）。</w:t>
      </w:r>
    </w:p>
    <w:p>
      <w:pPr>
        <w:keepNext w:val="0"/>
        <w:keepLines w:val="0"/>
        <w:pageBreakBefore w:val="0"/>
        <w:kinsoku/>
        <w:wordWrap/>
        <w:overflowPunct/>
        <w:topLinePunct w:val="0"/>
        <w:autoSpaceDE/>
        <w:autoSpaceDN/>
        <w:bidi w:val="0"/>
        <w:adjustRightInd/>
        <w:snapToGrid/>
        <w:spacing w:line="360" w:lineRule="auto"/>
        <w:jc w:val="center"/>
        <w:textAlignment w:val="auto"/>
        <w:rPr>
          <w:rFonts w:ascii="宋体" w:hAnsi="宋体" w:eastAsia="黑体" w:cs="宋体"/>
        </w:rPr>
      </w:pPr>
      <w:r>
        <w:rPr>
          <w:rFonts w:hint="eastAsia" w:ascii="Times New Roman" w:hAnsi="Times New Roman" w:eastAsia="黑体"/>
          <w:kern w:val="0"/>
          <w:szCs w:val="21"/>
        </w:rPr>
        <w:t>表</w:t>
      </w:r>
      <w:r>
        <w:rPr>
          <w:rFonts w:hint="eastAsia" w:ascii="Times New Roman" w:hAnsi="Times New Roman" w:eastAsia="黑体"/>
          <w:kern w:val="0"/>
          <w:szCs w:val="21"/>
          <w:lang w:val="en-US" w:eastAsia="zh-CN"/>
        </w:rPr>
        <w:t>3</w:t>
      </w:r>
      <w:r>
        <w:rPr>
          <w:rFonts w:hint="eastAsia" w:ascii="Times New Roman" w:hAnsi="Times New Roman" w:eastAsia="黑体"/>
          <w:kern w:val="0"/>
          <w:szCs w:val="21"/>
        </w:rPr>
        <w:t xml:space="preserve">　不同月龄阶段从江香猪脂肪酸组成  </w:t>
      </w:r>
    </w:p>
    <w:tbl>
      <w:tblPr>
        <w:tblStyle w:val="7"/>
        <w:tblW w:w="9988" w:type="dxa"/>
        <w:jc w:val="center"/>
        <w:tblBorders>
          <w:top w:val="single" w:color="000000" w:sz="4" w:space="0"/>
          <w:left w:val="none" w:color="auto" w:sz="0" w:space="0"/>
          <w:bottom w:val="single" w:color="000000" w:sz="4"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603"/>
        <w:gridCol w:w="1470"/>
        <w:gridCol w:w="1484"/>
        <w:gridCol w:w="1465"/>
        <w:gridCol w:w="1443"/>
        <w:gridCol w:w="1523"/>
      </w:tblGrid>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4" w:hRule="atLeast"/>
          <w:jc w:val="center"/>
        </w:trPr>
        <w:tc>
          <w:tcPr>
            <w:tcW w:w="2603" w:type="dxa"/>
            <w:vMerge w:val="restart"/>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脂肪酸</w:t>
            </w:r>
          </w:p>
        </w:tc>
        <w:tc>
          <w:tcPr>
            <w:tcW w:w="1470" w:type="dxa"/>
            <w:vMerge w:val="restart"/>
            <w:tcBorders>
              <w:tl2br w:val="nil"/>
              <w:tr2bl w:val="nil"/>
            </w:tcBorders>
            <w:shd w:val="clear" w:color="auto" w:fill="auto"/>
            <w:vAlign w:val="center"/>
          </w:tcPr>
          <w:p>
            <w:pPr>
              <w:widowControl/>
              <w:jc w:val="center"/>
              <w:textAlignment w:val="center"/>
              <w:rPr>
                <w:rFonts w:hint="default" w:ascii="Times New Roman" w:hAnsi="Times New Roman" w:eastAsia="宋体" w:cs="Times New Roman"/>
                <w:color w:val="000000"/>
                <w:szCs w:val="21"/>
                <w:lang w:val="en-US" w:eastAsia="zh-CN"/>
              </w:rPr>
            </w:pPr>
            <w:r>
              <w:rPr>
                <w:rFonts w:ascii="Times New Roman" w:hAnsi="Times New Roman" w:eastAsia="宋体" w:cs="Times New Roman"/>
                <w:color w:val="000000"/>
                <w:kern w:val="0"/>
                <w:szCs w:val="21"/>
              </w:rPr>
              <w:t>2月龄</w:t>
            </w:r>
            <w:r>
              <w:rPr>
                <w:rFonts w:hint="eastAsia" w:ascii="Times New Roman" w:hAnsi="Times New Roman" w:eastAsia="宋体" w:cs="Times New Roman"/>
                <w:color w:val="000000"/>
                <w:kern w:val="0"/>
                <w:szCs w:val="21"/>
                <w:lang w:val="en-US" w:eastAsia="zh-CN"/>
              </w:rPr>
              <w:t>/%</w:t>
            </w:r>
          </w:p>
        </w:tc>
        <w:tc>
          <w:tcPr>
            <w:tcW w:w="1484" w:type="dxa"/>
            <w:vMerge w:val="restart"/>
            <w:tcBorders>
              <w:tl2br w:val="nil"/>
              <w:tr2bl w:val="nil"/>
            </w:tcBorders>
            <w:shd w:val="clear" w:color="auto" w:fill="auto"/>
            <w:vAlign w:val="center"/>
          </w:tcPr>
          <w:p>
            <w:pPr>
              <w:widowControl/>
              <w:jc w:val="center"/>
              <w:textAlignment w:val="center"/>
              <w:rPr>
                <w:rFonts w:hint="default" w:ascii="Times New Roman" w:hAnsi="Times New Roman" w:eastAsia="宋体" w:cs="Times New Roman"/>
                <w:color w:val="000000"/>
                <w:szCs w:val="21"/>
                <w:lang w:val="en-US" w:eastAsia="zh-CN"/>
              </w:rPr>
            </w:pPr>
            <w:r>
              <w:rPr>
                <w:rFonts w:ascii="Times New Roman" w:hAnsi="Times New Roman" w:eastAsia="宋体" w:cs="Times New Roman"/>
                <w:color w:val="000000"/>
                <w:kern w:val="0"/>
                <w:szCs w:val="21"/>
              </w:rPr>
              <w:t>4月龄</w:t>
            </w:r>
            <w:r>
              <w:rPr>
                <w:rFonts w:hint="eastAsia" w:ascii="Times New Roman" w:hAnsi="Times New Roman" w:eastAsia="宋体" w:cs="Times New Roman"/>
                <w:color w:val="000000"/>
                <w:kern w:val="0"/>
                <w:szCs w:val="21"/>
                <w:lang w:val="en-US" w:eastAsia="zh-CN"/>
              </w:rPr>
              <w:t>/%</w:t>
            </w:r>
          </w:p>
        </w:tc>
        <w:tc>
          <w:tcPr>
            <w:tcW w:w="1465" w:type="dxa"/>
            <w:vMerge w:val="restart"/>
            <w:tcBorders>
              <w:tl2br w:val="nil"/>
              <w:tr2bl w:val="nil"/>
            </w:tcBorders>
            <w:shd w:val="clear" w:color="auto" w:fill="auto"/>
            <w:vAlign w:val="center"/>
          </w:tcPr>
          <w:p>
            <w:pPr>
              <w:widowControl/>
              <w:jc w:val="center"/>
              <w:textAlignment w:val="center"/>
              <w:rPr>
                <w:rFonts w:hint="default" w:ascii="Times New Roman" w:hAnsi="Times New Roman" w:eastAsia="宋体" w:cs="Times New Roman"/>
                <w:color w:val="000000"/>
                <w:szCs w:val="21"/>
                <w:lang w:val="en-US" w:eastAsia="zh-CN"/>
              </w:rPr>
            </w:pPr>
            <w:r>
              <w:rPr>
                <w:rFonts w:ascii="Times New Roman" w:hAnsi="Times New Roman" w:eastAsia="宋体" w:cs="Times New Roman"/>
                <w:color w:val="000000"/>
                <w:kern w:val="0"/>
                <w:szCs w:val="21"/>
              </w:rPr>
              <w:t>6月龄</w:t>
            </w:r>
            <w:r>
              <w:rPr>
                <w:rFonts w:hint="eastAsia" w:ascii="Times New Roman" w:hAnsi="Times New Roman" w:eastAsia="宋体" w:cs="Times New Roman"/>
                <w:color w:val="000000"/>
                <w:kern w:val="0"/>
                <w:szCs w:val="21"/>
                <w:lang w:val="en-US" w:eastAsia="zh-CN"/>
              </w:rPr>
              <w:t>/%</w:t>
            </w:r>
          </w:p>
        </w:tc>
        <w:tc>
          <w:tcPr>
            <w:tcW w:w="1443" w:type="dxa"/>
            <w:vMerge w:val="restart"/>
            <w:tcBorders>
              <w:tl2br w:val="nil"/>
              <w:tr2bl w:val="nil"/>
            </w:tcBorders>
            <w:shd w:val="clear" w:color="auto" w:fill="auto"/>
            <w:vAlign w:val="center"/>
          </w:tcPr>
          <w:p>
            <w:pPr>
              <w:widowControl/>
              <w:jc w:val="center"/>
              <w:textAlignment w:val="center"/>
              <w:rPr>
                <w:rFonts w:hint="default" w:ascii="Times New Roman" w:hAnsi="Times New Roman" w:eastAsia="宋体" w:cs="Times New Roman"/>
                <w:color w:val="000000"/>
                <w:szCs w:val="21"/>
                <w:lang w:val="en-US" w:eastAsia="zh-CN"/>
              </w:rPr>
            </w:pPr>
            <w:r>
              <w:rPr>
                <w:rFonts w:ascii="Times New Roman" w:hAnsi="Times New Roman" w:eastAsia="宋体" w:cs="Times New Roman"/>
                <w:color w:val="000000"/>
                <w:kern w:val="0"/>
                <w:szCs w:val="21"/>
              </w:rPr>
              <w:t>8月龄</w:t>
            </w:r>
            <w:r>
              <w:rPr>
                <w:rFonts w:hint="eastAsia" w:ascii="Times New Roman" w:hAnsi="Times New Roman" w:eastAsia="宋体" w:cs="Times New Roman"/>
                <w:color w:val="000000"/>
                <w:kern w:val="0"/>
                <w:szCs w:val="21"/>
                <w:lang w:val="en-US" w:eastAsia="zh-CN"/>
              </w:rPr>
              <w:t>/%</w:t>
            </w:r>
          </w:p>
        </w:tc>
        <w:tc>
          <w:tcPr>
            <w:tcW w:w="1523" w:type="dxa"/>
            <w:vMerge w:val="restart"/>
            <w:tcBorders>
              <w:tl2br w:val="nil"/>
              <w:tr2bl w:val="nil"/>
            </w:tcBorders>
            <w:shd w:val="clear" w:color="auto" w:fill="auto"/>
            <w:vAlign w:val="center"/>
          </w:tcPr>
          <w:p>
            <w:pPr>
              <w:widowControl/>
              <w:jc w:val="center"/>
              <w:textAlignment w:val="center"/>
              <w:rPr>
                <w:rFonts w:hint="default" w:ascii="Times New Roman" w:hAnsi="Times New Roman" w:eastAsia="宋体" w:cs="Times New Roman"/>
                <w:color w:val="000000"/>
                <w:szCs w:val="21"/>
                <w:lang w:val="en-US" w:eastAsia="zh-CN"/>
              </w:rPr>
            </w:pPr>
            <w:r>
              <w:rPr>
                <w:rFonts w:ascii="Times New Roman" w:hAnsi="Times New Roman" w:eastAsia="宋体" w:cs="Times New Roman"/>
                <w:color w:val="000000"/>
                <w:kern w:val="0"/>
                <w:szCs w:val="21"/>
              </w:rPr>
              <w:t>10月龄</w:t>
            </w:r>
            <w:r>
              <w:rPr>
                <w:rFonts w:hint="eastAsia" w:ascii="Times New Roman" w:hAnsi="Times New Roman" w:eastAsia="宋体" w:cs="Times New Roman"/>
                <w:color w:val="000000"/>
                <w:kern w:val="0"/>
                <w:szCs w:val="21"/>
                <w:lang w:val="en-US" w:eastAsia="zh-CN"/>
              </w:rPr>
              <w:t>/%</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4" w:hRule="atLeast"/>
          <w:jc w:val="center"/>
        </w:trPr>
        <w:tc>
          <w:tcPr>
            <w:tcW w:w="2603" w:type="dxa"/>
            <w:vMerge w:val="continue"/>
            <w:tcBorders>
              <w:tl2br w:val="nil"/>
              <w:tr2bl w:val="nil"/>
            </w:tcBorders>
            <w:shd w:val="clear" w:color="auto" w:fill="auto"/>
            <w:vAlign w:val="center"/>
          </w:tcPr>
          <w:p>
            <w:pPr>
              <w:jc w:val="center"/>
              <w:rPr>
                <w:rFonts w:ascii="Times New Roman" w:hAnsi="Times New Roman" w:eastAsia="宋体" w:cs="Times New Roman"/>
                <w:color w:val="000000"/>
                <w:szCs w:val="21"/>
              </w:rPr>
            </w:pPr>
          </w:p>
        </w:tc>
        <w:tc>
          <w:tcPr>
            <w:tcW w:w="1470" w:type="dxa"/>
            <w:vMerge w:val="continue"/>
            <w:tcBorders>
              <w:tl2br w:val="nil"/>
              <w:tr2bl w:val="nil"/>
            </w:tcBorders>
            <w:shd w:val="clear" w:color="auto" w:fill="auto"/>
            <w:vAlign w:val="center"/>
          </w:tcPr>
          <w:p>
            <w:pPr>
              <w:jc w:val="center"/>
              <w:rPr>
                <w:rFonts w:ascii="Times New Roman" w:hAnsi="Times New Roman" w:eastAsia="宋体" w:cs="Times New Roman"/>
                <w:color w:val="000000"/>
                <w:szCs w:val="21"/>
              </w:rPr>
            </w:pPr>
          </w:p>
        </w:tc>
        <w:tc>
          <w:tcPr>
            <w:tcW w:w="1484" w:type="dxa"/>
            <w:vMerge w:val="continue"/>
            <w:tcBorders>
              <w:tl2br w:val="nil"/>
              <w:tr2bl w:val="nil"/>
            </w:tcBorders>
            <w:shd w:val="clear" w:color="auto" w:fill="auto"/>
            <w:vAlign w:val="center"/>
          </w:tcPr>
          <w:p>
            <w:pPr>
              <w:jc w:val="center"/>
              <w:rPr>
                <w:rFonts w:ascii="Times New Roman" w:hAnsi="Times New Roman" w:eastAsia="宋体" w:cs="Times New Roman"/>
                <w:color w:val="000000"/>
                <w:szCs w:val="21"/>
              </w:rPr>
            </w:pPr>
          </w:p>
        </w:tc>
        <w:tc>
          <w:tcPr>
            <w:tcW w:w="1465" w:type="dxa"/>
            <w:vMerge w:val="continue"/>
            <w:tcBorders>
              <w:tl2br w:val="nil"/>
              <w:tr2bl w:val="nil"/>
            </w:tcBorders>
            <w:shd w:val="clear" w:color="auto" w:fill="auto"/>
            <w:vAlign w:val="center"/>
          </w:tcPr>
          <w:p>
            <w:pPr>
              <w:jc w:val="center"/>
              <w:rPr>
                <w:rFonts w:ascii="Times New Roman" w:hAnsi="Times New Roman" w:eastAsia="宋体" w:cs="Times New Roman"/>
                <w:color w:val="000000"/>
                <w:szCs w:val="21"/>
              </w:rPr>
            </w:pPr>
          </w:p>
        </w:tc>
        <w:tc>
          <w:tcPr>
            <w:tcW w:w="1443" w:type="dxa"/>
            <w:vMerge w:val="continue"/>
            <w:tcBorders>
              <w:tl2br w:val="nil"/>
              <w:tr2bl w:val="nil"/>
            </w:tcBorders>
            <w:shd w:val="clear" w:color="auto" w:fill="auto"/>
            <w:vAlign w:val="center"/>
          </w:tcPr>
          <w:p>
            <w:pPr>
              <w:jc w:val="center"/>
              <w:rPr>
                <w:rFonts w:ascii="Times New Roman" w:hAnsi="Times New Roman" w:eastAsia="宋体" w:cs="Times New Roman"/>
                <w:color w:val="000000"/>
                <w:szCs w:val="21"/>
              </w:rPr>
            </w:pPr>
          </w:p>
        </w:tc>
        <w:tc>
          <w:tcPr>
            <w:tcW w:w="1523" w:type="dxa"/>
            <w:vMerge w:val="continue"/>
            <w:tcBorders>
              <w:tl2br w:val="nil"/>
              <w:tr2bl w:val="nil"/>
            </w:tcBorders>
            <w:shd w:val="clear" w:color="auto" w:fill="auto"/>
            <w:vAlign w:val="center"/>
          </w:tcPr>
          <w:p>
            <w:pPr>
              <w:jc w:val="center"/>
              <w:rPr>
                <w:rFonts w:ascii="Times New Roman" w:hAnsi="Times New Roman" w:eastAsia="宋体" w:cs="Times New Roman"/>
                <w:color w:val="000000"/>
                <w:szCs w:val="21"/>
              </w:rPr>
            </w:pP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51" w:hRule="atLeast"/>
          <w:jc w:val="center"/>
        </w:trPr>
        <w:tc>
          <w:tcPr>
            <w:tcW w:w="2603" w:type="dxa"/>
            <w:tcBorders>
              <w:tl2br w:val="nil"/>
              <w:tr2bl w:val="nil"/>
            </w:tcBorders>
            <w:shd w:val="clear" w:color="auto" w:fill="auto"/>
            <w:vAlign w:val="center"/>
          </w:tcPr>
          <w:p>
            <w:pPr>
              <w:widowControl/>
              <w:jc w:val="left"/>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肉豆蔻酸（C14</w:t>
            </w:r>
            <w:r>
              <w:rPr>
                <w:rFonts w:hint="eastAsia" w:ascii="Times New Roman" w:hAnsi="Times New Roman" w:eastAsia="宋体" w:cs="Times New Roman"/>
                <w:color w:val="000000"/>
                <w:kern w:val="0"/>
                <w:szCs w:val="21"/>
              </w:rPr>
              <w:t>:</w:t>
            </w:r>
            <w:r>
              <w:rPr>
                <w:rFonts w:ascii="Times New Roman" w:hAnsi="Times New Roman" w:eastAsia="宋体" w:cs="Times New Roman"/>
                <w:color w:val="000000"/>
                <w:kern w:val="0"/>
                <w:szCs w:val="21"/>
              </w:rPr>
              <w:t>0）</w:t>
            </w:r>
          </w:p>
        </w:tc>
        <w:tc>
          <w:tcPr>
            <w:tcW w:w="1470"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1.31±0.24</w:t>
            </w:r>
          </w:p>
        </w:tc>
        <w:tc>
          <w:tcPr>
            <w:tcW w:w="1484"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1.35±0.18</w:t>
            </w:r>
          </w:p>
        </w:tc>
        <w:tc>
          <w:tcPr>
            <w:tcW w:w="1465"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1.49±0.14</w:t>
            </w:r>
          </w:p>
        </w:tc>
        <w:tc>
          <w:tcPr>
            <w:tcW w:w="1443"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1.67±0.21</w:t>
            </w:r>
          </w:p>
        </w:tc>
        <w:tc>
          <w:tcPr>
            <w:tcW w:w="1523"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1.48±0.11</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1" w:hRule="atLeast"/>
          <w:jc w:val="center"/>
        </w:trPr>
        <w:tc>
          <w:tcPr>
            <w:tcW w:w="2603" w:type="dxa"/>
            <w:tcBorders>
              <w:tl2br w:val="nil"/>
              <w:tr2bl w:val="nil"/>
            </w:tcBorders>
            <w:shd w:val="clear" w:color="auto" w:fill="auto"/>
            <w:vAlign w:val="center"/>
          </w:tcPr>
          <w:p>
            <w:pPr>
              <w:widowControl/>
              <w:jc w:val="left"/>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棕榈酸（C16</w:t>
            </w:r>
            <w:r>
              <w:rPr>
                <w:rFonts w:hint="eastAsia" w:ascii="Times New Roman" w:hAnsi="Times New Roman" w:eastAsia="宋体" w:cs="Times New Roman"/>
                <w:color w:val="000000"/>
                <w:kern w:val="0"/>
                <w:szCs w:val="21"/>
              </w:rPr>
              <w:t>:</w:t>
            </w:r>
            <w:r>
              <w:rPr>
                <w:rFonts w:ascii="Times New Roman" w:hAnsi="Times New Roman" w:eastAsia="宋体" w:cs="Times New Roman"/>
                <w:color w:val="000000"/>
                <w:kern w:val="0"/>
                <w:szCs w:val="21"/>
              </w:rPr>
              <w:t>0）</w:t>
            </w:r>
          </w:p>
        </w:tc>
        <w:tc>
          <w:tcPr>
            <w:tcW w:w="1470"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17.68</w:t>
            </w:r>
            <w:r>
              <w:rPr>
                <w:rFonts w:hint="eastAsia" w:ascii="Times New Roman" w:hAnsi="Times New Roman" w:eastAsia="宋体" w:cs="Times New Roman"/>
                <w:color w:val="000000"/>
                <w:kern w:val="0"/>
                <w:szCs w:val="21"/>
                <w:vertAlign w:val="superscript"/>
              </w:rPr>
              <w:t xml:space="preserve"> a</w:t>
            </w:r>
            <w:r>
              <w:rPr>
                <w:rFonts w:ascii="Times New Roman" w:hAnsi="Times New Roman" w:eastAsia="宋体" w:cs="Times New Roman"/>
                <w:color w:val="000000"/>
                <w:kern w:val="0"/>
                <w:szCs w:val="21"/>
              </w:rPr>
              <w:t>±0.77</w:t>
            </w:r>
          </w:p>
        </w:tc>
        <w:tc>
          <w:tcPr>
            <w:tcW w:w="1484"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22.08</w:t>
            </w:r>
            <w:r>
              <w:rPr>
                <w:rFonts w:hint="eastAsia" w:ascii="Times New Roman" w:hAnsi="Times New Roman" w:eastAsia="宋体" w:cs="Times New Roman"/>
                <w:color w:val="000000"/>
                <w:kern w:val="0"/>
                <w:szCs w:val="21"/>
                <w:vertAlign w:val="superscript"/>
              </w:rPr>
              <w:t xml:space="preserve"> ab</w:t>
            </w:r>
            <w:r>
              <w:rPr>
                <w:rFonts w:ascii="Times New Roman" w:hAnsi="Times New Roman" w:eastAsia="宋体" w:cs="Times New Roman"/>
                <w:color w:val="000000"/>
                <w:kern w:val="0"/>
                <w:szCs w:val="21"/>
              </w:rPr>
              <w:t>±1.09</w:t>
            </w:r>
          </w:p>
        </w:tc>
        <w:tc>
          <w:tcPr>
            <w:tcW w:w="1465"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24.26</w:t>
            </w:r>
            <w:r>
              <w:rPr>
                <w:rFonts w:hint="eastAsia" w:ascii="Times New Roman" w:hAnsi="Times New Roman" w:eastAsia="宋体" w:cs="Times New Roman"/>
                <w:color w:val="000000"/>
                <w:kern w:val="0"/>
                <w:szCs w:val="21"/>
                <w:vertAlign w:val="superscript"/>
              </w:rPr>
              <w:t xml:space="preserve"> b</w:t>
            </w:r>
            <w:r>
              <w:rPr>
                <w:rFonts w:ascii="Times New Roman" w:hAnsi="Times New Roman" w:eastAsia="宋体" w:cs="Times New Roman"/>
                <w:color w:val="000000"/>
                <w:kern w:val="0"/>
                <w:szCs w:val="21"/>
              </w:rPr>
              <w:t>±1.34</w:t>
            </w:r>
          </w:p>
        </w:tc>
        <w:tc>
          <w:tcPr>
            <w:tcW w:w="1443"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25.24</w:t>
            </w:r>
            <w:r>
              <w:rPr>
                <w:rFonts w:hint="eastAsia" w:ascii="Times New Roman" w:hAnsi="Times New Roman" w:eastAsia="宋体" w:cs="Times New Roman"/>
                <w:color w:val="000000"/>
                <w:kern w:val="0"/>
                <w:szCs w:val="21"/>
                <w:vertAlign w:val="superscript"/>
              </w:rPr>
              <w:t xml:space="preserve"> b</w:t>
            </w:r>
            <w:r>
              <w:rPr>
                <w:rFonts w:ascii="Times New Roman" w:hAnsi="Times New Roman" w:eastAsia="宋体" w:cs="Times New Roman"/>
                <w:color w:val="000000"/>
                <w:kern w:val="0"/>
                <w:szCs w:val="21"/>
              </w:rPr>
              <w:t>±0.83</w:t>
            </w:r>
          </w:p>
        </w:tc>
        <w:tc>
          <w:tcPr>
            <w:tcW w:w="1523"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24.00</w:t>
            </w:r>
            <w:r>
              <w:rPr>
                <w:rFonts w:hint="eastAsia" w:ascii="Times New Roman" w:hAnsi="Times New Roman" w:eastAsia="宋体" w:cs="Times New Roman"/>
                <w:color w:val="000000"/>
                <w:kern w:val="0"/>
                <w:szCs w:val="21"/>
                <w:vertAlign w:val="superscript"/>
              </w:rPr>
              <w:t xml:space="preserve"> b</w:t>
            </w:r>
            <w:r>
              <w:rPr>
                <w:rFonts w:ascii="Times New Roman" w:hAnsi="Times New Roman" w:eastAsia="宋体" w:cs="Times New Roman"/>
                <w:color w:val="000000"/>
                <w:kern w:val="0"/>
                <w:szCs w:val="21"/>
              </w:rPr>
              <w:t>±0.71</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1" w:hRule="atLeast"/>
          <w:jc w:val="center"/>
        </w:trPr>
        <w:tc>
          <w:tcPr>
            <w:tcW w:w="2603" w:type="dxa"/>
            <w:tcBorders>
              <w:tl2br w:val="nil"/>
              <w:tr2bl w:val="nil"/>
            </w:tcBorders>
            <w:shd w:val="clear" w:color="auto" w:fill="auto"/>
            <w:vAlign w:val="center"/>
          </w:tcPr>
          <w:p>
            <w:pPr>
              <w:widowControl/>
              <w:jc w:val="left"/>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硬脂酸（C18</w:t>
            </w:r>
            <w:r>
              <w:rPr>
                <w:rFonts w:hint="eastAsia" w:ascii="Times New Roman" w:hAnsi="Times New Roman" w:eastAsia="宋体" w:cs="Times New Roman"/>
                <w:color w:val="000000"/>
                <w:kern w:val="0"/>
                <w:szCs w:val="21"/>
              </w:rPr>
              <w:t>:</w:t>
            </w:r>
            <w:r>
              <w:rPr>
                <w:rFonts w:ascii="Times New Roman" w:hAnsi="Times New Roman" w:eastAsia="宋体" w:cs="Times New Roman"/>
                <w:color w:val="000000"/>
                <w:kern w:val="0"/>
                <w:szCs w:val="21"/>
              </w:rPr>
              <w:t>0）</w:t>
            </w:r>
          </w:p>
        </w:tc>
        <w:tc>
          <w:tcPr>
            <w:tcW w:w="1470"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5.75</w:t>
            </w:r>
            <w:r>
              <w:rPr>
                <w:rFonts w:hint="eastAsia" w:ascii="Times New Roman" w:hAnsi="Times New Roman" w:eastAsia="宋体" w:cs="Times New Roman"/>
                <w:color w:val="000000"/>
                <w:kern w:val="0"/>
                <w:szCs w:val="21"/>
                <w:vertAlign w:val="superscript"/>
              </w:rPr>
              <w:t xml:space="preserve"> a</w:t>
            </w:r>
            <w:r>
              <w:rPr>
                <w:rFonts w:ascii="Times New Roman" w:hAnsi="Times New Roman" w:eastAsia="宋体" w:cs="Times New Roman"/>
                <w:color w:val="000000"/>
                <w:kern w:val="0"/>
                <w:szCs w:val="21"/>
              </w:rPr>
              <w:t>±0.18</w:t>
            </w:r>
          </w:p>
        </w:tc>
        <w:tc>
          <w:tcPr>
            <w:tcW w:w="1484"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9.73</w:t>
            </w:r>
            <w:r>
              <w:rPr>
                <w:rFonts w:hint="eastAsia" w:ascii="Times New Roman" w:hAnsi="Times New Roman" w:eastAsia="宋体" w:cs="Times New Roman"/>
                <w:color w:val="000000"/>
                <w:kern w:val="0"/>
                <w:szCs w:val="21"/>
                <w:vertAlign w:val="superscript"/>
              </w:rPr>
              <w:t xml:space="preserve"> ab</w:t>
            </w:r>
            <w:r>
              <w:rPr>
                <w:rFonts w:ascii="Times New Roman" w:hAnsi="Times New Roman" w:eastAsia="宋体" w:cs="Times New Roman"/>
                <w:color w:val="000000"/>
                <w:kern w:val="0"/>
                <w:szCs w:val="21"/>
              </w:rPr>
              <w:t>±0.23</w:t>
            </w:r>
          </w:p>
        </w:tc>
        <w:tc>
          <w:tcPr>
            <w:tcW w:w="1465"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9.64</w:t>
            </w:r>
            <w:r>
              <w:rPr>
                <w:rFonts w:hint="eastAsia" w:ascii="Times New Roman" w:hAnsi="Times New Roman" w:eastAsia="宋体" w:cs="Times New Roman"/>
                <w:color w:val="000000"/>
                <w:kern w:val="0"/>
                <w:szCs w:val="21"/>
                <w:vertAlign w:val="superscript"/>
              </w:rPr>
              <w:t xml:space="preserve"> ab</w:t>
            </w:r>
            <w:r>
              <w:rPr>
                <w:rFonts w:ascii="Times New Roman" w:hAnsi="Times New Roman" w:eastAsia="宋体" w:cs="Times New Roman"/>
                <w:color w:val="000000"/>
                <w:kern w:val="0"/>
                <w:szCs w:val="21"/>
              </w:rPr>
              <w:t>±0.12</w:t>
            </w:r>
          </w:p>
        </w:tc>
        <w:tc>
          <w:tcPr>
            <w:tcW w:w="1443"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11.92</w:t>
            </w:r>
            <w:r>
              <w:rPr>
                <w:rFonts w:hint="eastAsia" w:ascii="Times New Roman" w:hAnsi="Times New Roman" w:eastAsia="宋体" w:cs="Times New Roman"/>
                <w:color w:val="000000"/>
                <w:kern w:val="0"/>
                <w:szCs w:val="21"/>
                <w:vertAlign w:val="superscript"/>
              </w:rPr>
              <w:t xml:space="preserve"> b</w:t>
            </w:r>
            <w:r>
              <w:rPr>
                <w:rFonts w:ascii="Times New Roman" w:hAnsi="Times New Roman" w:eastAsia="宋体" w:cs="Times New Roman"/>
                <w:color w:val="000000"/>
                <w:kern w:val="0"/>
                <w:szCs w:val="21"/>
              </w:rPr>
              <w:t>±0.49</w:t>
            </w:r>
          </w:p>
        </w:tc>
        <w:tc>
          <w:tcPr>
            <w:tcW w:w="1523"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9.15</w:t>
            </w:r>
            <w:r>
              <w:rPr>
                <w:rFonts w:hint="eastAsia" w:ascii="Times New Roman" w:hAnsi="Times New Roman" w:eastAsia="宋体" w:cs="Times New Roman"/>
                <w:color w:val="000000"/>
                <w:kern w:val="0"/>
                <w:szCs w:val="21"/>
                <w:vertAlign w:val="superscript"/>
              </w:rPr>
              <w:t xml:space="preserve"> ab</w:t>
            </w:r>
            <w:r>
              <w:rPr>
                <w:rFonts w:ascii="Times New Roman" w:hAnsi="Times New Roman" w:eastAsia="宋体" w:cs="Times New Roman"/>
                <w:color w:val="000000"/>
                <w:kern w:val="0"/>
                <w:szCs w:val="21"/>
              </w:rPr>
              <w:t>±0.25</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1" w:hRule="atLeast"/>
          <w:jc w:val="center"/>
        </w:trPr>
        <w:tc>
          <w:tcPr>
            <w:tcW w:w="2603" w:type="dxa"/>
            <w:tcBorders>
              <w:tl2br w:val="nil"/>
              <w:tr2bl w:val="nil"/>
            </w:tcBorders>
            <w:shd w:val="clear" w:color="auto" w:fill="auto"/>
            <w:vAlign w:val="center"/>
          </w:tcPr>
          <w:p>
            <w:pPr>
              <w:widowControl/>
              <w:jc w:val="left"/>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棕榈油酸（C16</w:t>
            </w:r>
            <w:r>
              <w:rPr>
                <w:rFonts w:hint="eastAsia" w:ascii="Times New Roman" w:hAnsi="Times New Roman" w:eastAsia="宋体" w:cs="Times New Roman"/>
                <w:color w:val="000000"/>
                <w:kern w:val="0"/>
                <w:szCs w:val="21"/>
              </w:rPr>
              <w:t>:</w:t>
            </w:r>
            <w:r>
              <w:rPr>
                <w:rFonts w:ascii="Times New Roman" w:hAnsi="Times New Roman" w:eastAsia="宋体" w:cs="Times New Roman"/>
                <w:color w:val="000000"/>
                <w:kern w:val="0"/>
                <w:szCs w:val="21"/>
              </w:rPr>
              <w:t>1）</w:t>
            </w:r>
          </w:p>
        </w:tc>
        <w:tc>
          <w:tcPr>
            <w:tcW w:w="1470"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4.50±0.37</w:t>
            </w:r>
          </w:p>
        </w:tc>
        <w:tc>
          <w:tcPr>
            <w:tcW w:w="1484"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3.66±0.28</w:t>
            </w:r>
          </w:p>
        </w:tc>
        <w:tc>
          <w:tcPr>
            <w:tcW w:w="1465"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4.08±0.13</w:t>
            </w:r>
          </w:p>
        </w:tc>
        <w:tc>
          <w:tcPr>
            <w:tcW w:w="1443"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3.46±0.34</w:t>
            </w:r>
          </w:p>
        </w:tc>
        <w:tc>
          <w:tcPr>
            <w:tcW w:w="1523"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3.19±0.17</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1" w:hRule="atLeast"/>
          <w:jc w:val="center"/>
        </w:trPr>
        <w:tc>
          <w:tcPr>
            <w:tcW w:w="2603" w:type="dxa"/>
            <w:tcBorders>
              <w:tl2br w:val="nil"/>
              <w:tr2bl w:val="nil"/>
            </w:tcBorders>
            <w:shd w:val="clear" w:color="auto" w:fill="auto"/>
            <w:vAlign w:val="center"/>
          </w:tcPr>
          <w:p>
            <w:pPr>
              <w:widowControl/>
              <w:jc w:val="left"/>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油酸（C18</w:t>
            </w:r>
            <w:r>
              <w:rPr>
                <w:rFonts w:hint="eastAsia" w:ascii="Times New Roman" w:hAnsi="Times New Roman" w:eastAsia="宋体" w:cs="Times New Roman"/>
                <w:color w:val="000000"/>
                <w:kern w:val="0"/>
                <w:szCs w:val="21"/>
              </w:rPr>
              <w:t>:</w:t>
            </w:r>
            <w:r>
              <w:rPr>
                <w:rFonts w:ascii="Times New Roman" w:hAnsi="Times New Roman" w:eastAsia="宋体" w:cs="Times New Roman"/>
                <w:color w:val="000000"/>
                <w:kern w:val="0"/>
                <w:szCs w:val="21"/>
              </w:rPr>
              <w:t>1）</w:t>
            </w:r>
          </w:p>
        </w:tc>
        <w:tc>
          <w:tcPr>
            <w:tcW w:w="1470"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49.67±3.16</w:t>
            </w:r>
          </w:p>
        </w:tc>
        <w:tc>
          <w:tcPr>
            <w:tcW w:w="1484"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45.37±1.58</w:t>
            </w:r>
          </w:p>
        </w:tc>
        <w:tc>
          <w:tcPr>
            <w:tcW w:w="1465"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50.83±1.79</w:t>
            </w:r>
          </w:p>
        </w:tc>
        <w:tc>
          <w:tcPr>
            <w:tcW w:w="1443"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46.82±1.37</w:t>
            </w:r>
          </w:p>
        </w:tc>
        <w:tc>
          <w:tcPr>
            <w:tcW w:w="1523"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51.41±2.44</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1" w:hRule="atLeast"/>
          <w:jc w:val="center"/>
        </w:trPr>
        <w:tc>
          <w:tcPr>
            <w:tcW w:w="2603" w:type="dxa"/>
            <w:tcBorders>
              <w:tl2br w:val="nil"/>
              <w:tr2bl w:val="nil"/>
            </w:tcBorders>
            <w:shd w:val="clear" w:color="auto" w:fill="auto"/>
            <w:vAlign w:val="center"/>
          </w:tcPr>
          <w:p>
            <w:pPr>
              <w:widowControl/>
              <w:jc w:val="left"/>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亚油酸（C18</w:t>
            </w:r>
            <w:r>
              <w:rPr>
                <w:rFonts w:hint="eastAsia" w:ascii="Times New Roman" w:hAnsi="Times New Roman" w:eastAsia="宋体" w:cs="Times New Roman"/>
                <w:color w:val="000000"/>
                <w:kern w:val="0"/>
                <w:szCs w:val="21"/>
              </w:rPr>
              <w:t>:</w:t>
            </w:r>
            <w:r>
              <w:rPr>
                <w:rFonts w:ascii="Times New Roman" w:hAnsi="Times New Roman" w:eastAsia="宋体" w:cs="Times New Roman"/>
                <w:color w:val="000000"/>
                <w:kern w:val="0"/>
                <w:szCs w:val="21"/>
              </w:rPr>
              <w:t>2）</w:t>
            </w:r>
          </w:p>
        </w:tc>
        <w:tc>
          <w:tcPr>
            <w:tcW w:w="1470"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19.03</w:t>
            </w:r>
            <w:r>
              <w:rPr>
                <w:rFonts w:hint="eastAsia" w:ascii="Times New Roman" w:hAnsi="Times New Roman" w:eastAsia="宋体" w:cs="Times New Roman"/>
                <w:color w:val="000000"/>
                <w:kern w:val="0"/>
                <w:szCs w:val="21"/>
                <w:vertAlign w:val="superscript"/>
              </w:rPr>
              <w:t xml:space="preserve"> a</w:t>
            </w:r>
            <w:r>
              <w:rPr>
                <w:rFonts w:ascii="Times New Roman" w:hAnsi="Times New Roman" w:eastAsia="宋体" w:cs="Times New Roman"/>
                <w:color w:val="000000"/>
                <w:kern w:val="0"/>
                <w:szCs w:val="21"/>
              </w:rPr>
              <w:t>±1.14</w:t>
            </w:r>
          </w:p>
        </w:tc>
        <w:tc>
          <w:tcPr>
            <w:tcW w:w="1484"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15.82</w:t>
            </w:r>
            <w:r>
              <w:rPr>
                <w:rFonts w:hint="eastAsia" w:ascii="Times New Roman" w:hAnsi="Times New Roman" w:eastAsia="宋体" w:cs="Times New Roman"/>
                <w:color w:val="000000"/>
                <w:kern w:val="0"/>
                <w:szCs w:val="21"/>
                <w:vertAlign w:val="superscript"/>
              </w:rPr>
              <w:t xml:space="preserve"> a</w:t>
            </w:r>
            <w:r>
              <w:rPr>
                <w:rFonts w:ascii="Times New Roman" w:hAnsi="Times New Roman" w:eastAsia="宋体" w:cs="Times New Roman"/>
                <w:color w:val="000000"/>
                <w:kern w:val="0"/>
                <w:szCs w:val="21"/>
              </w:rPr>
              <w:t>±2.42</w:t>
            </w:r>
          </w:p>
        </w:tc>
        <w:tc>
          <w:tcPr>
            <w:tcW w:w="1465"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8.23</w:t>
            </w:r>
            <w:r>
              <w:rPr>
                <w:rFonts w:hint="eastAsia" w:ascii="Times New Roman" w:hAnsi="Times New Roman" w:eastAsia="宋体" w:cs="Times New Roman"/>
                <w:color w:val="000000"/>
                <w:kern w:val="0"/>
                <w:szCs w:val="21"/>
                <w:vertAlign w:val="superscript"/>
              </w:rPr>
              <w:t xml:space="preserve"> b</w:t>
            </w:r>
            <w:r>
              <w:rPr>
                <w:rFonts w:ascii="Times New Roman" w:hAnsi="Times New Roman" w:eastAsia="宋体" w:cs="Times New Roman"/>
                <w:color w:val="000000"/>
                <w:kern w:val="0"/>
                <w:szCs w:val="21"/>
              </w:rPr>
              <w:t>±1.76</w:t>
            </w:r>
          </w:p>
        </w:tc>
        <w:tc>
          <w:tcPr>
            <w:tcW w:w="1443"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9.22</w:t>
            </w:r>
            <w:r>
              <w:rPr>
                <w:rFonts w:hint="eastAsia" w:ascii="Times New Roman" w:hAnsi="Times New Roman" w:eastAsia="宋体" w:cs="Times New Roman"/>
                <w:color w:val="000000"/>
                <w:kern w:val="0"/>
                <w:szCs w:val="21"/>
                <w:vertAlign w:val="superscript"/>
              </w:rPr>
              <w:t xml:space="preserve"> b</w:t>
            </w:r>
            <w:r>
              <w:rPr>
                <w:rFonts w:ascii="Times New Roman" w:hAnsi="Times New Roman" w:eastAsia="宋体" w:cs="Times New Roman"/>
                <w:color w:val="000000"/>
                <w:kern w:val="0"/>
                <w:szCs w:val="21"/>
              </w:rPr>
              <w:t>±0.87</w:t>
            </w:r>
          </w:p>
        </w:tc>
        <w:tc>
          <w:tcPr>
            <w:tcW w:w="1523"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9.05</w:t>
            </w:r>
            <w:r>
              <w:rPr>
                <w:rFonts w:hint="eastAsia" w:ascii="Times New Roman" w:hAnsi="Times New Roman" w:eastAsia="宋体" w:cs="Times New Roman"/>
                <w:color w:val="000000"/>
                <w:kern w:val="0"/>
                <w:szCs w:val="21"/>
                <w:vertAlign w:val="superscript"/>
              </w:rPr>
              <w:t xml:space="preserve"> b</w:t>
            </w:r>
            <w:r>
              <w:rPr>
                <w:rFonts w:ascii="Times New Roman" w:hAnsi="Times New Roman" w:eastAsia="宋体" w:cs="Times New Roman"/>
                <w:color w:val="000000"/>
                <w:kern w:val="0"/>
                <w:szCs w:val="21"/>
              </w:rPr>
              <w:t>±1.18</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1" w:hRule="atLeast"/>
          <w:jc w:val="center"/>
        </w:trPr>
        <w:tc>
          <w:tcPr>
            <w:tcW w:w="2603" w:type="dxa"/>
            <w:tcBorders>
              <w:tl2br w:val="nil"/>
              <w:tr2bl w:val="nil"/>
            </w:tcBorders>
            <w:shd w:val="clear" w:color="auto" w:fill="auto"/>
            <w:vAlign w:val="center"/>
          </w:tcPr>
          <w:p>
            <w:pPr>
              <w:widowControl/>
              <w:jc w:val="left"/>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亚麻酸（C18</w:t>
            </w:r>
            <w:r>
              <w:rPr>
                <w:rFonts w:hint="eastAsia" w:ascii="Times New Roman" w:hAnsi="Times New Roman" w:eastAsia="宋体" w:cs="Times New Roman"/>
                <w:color w:val="000000"/>
                <w:kern w:val="0"/>
                <w:szCs w:val="21"/>
              </w:rPr>
              <w:t>:</w:t>
            </w:r>
            <w:r>
              <w:rPr>
                <w:rFonts w:ascii="Times New Roman" w:hAnsi="Times New Roman" w:eastAsia="宋体" w:cs="Times New Roman"/>
                <w:color w:val="000000"/>
                <w:kern w:val="0"/>
                <w:szCs w:val="21"/>
              </w:rPr>
              <w:t>3）</w:t>
            </w:r>
          </w:p>
        </w:tc>
        <w:tc>
          <w:tcPr>
            <w:tcW w:w="1470"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0.34±0.05</w:t>
            </w:r>
          </w:p>
        </w:tc>
        <w:tc>
          <w:tcPr>
            <w:tcW w:w="1484"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0.16±0.03</w:t>
            </w:r>
          </w:p>
        </w:tc>
        <w:tc>
          <w:tcPr>
            <w:tcW w:w="1465"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0.20±0.02</w:t>
            </w:r>
          </w:p>
        </w:tc>
        <w:tc>
          <w:tcPr>
            <w:tcW w:w="1443"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0.23±0.02</w:t>
            </w:r>
          </w:p>
        </w:tc>
        <w:tc>
          <w:tcPr>
            <w:tcW w:w="1523"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0.30±0.08</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1" w:hRule="atLeast"/>
          <w:jc w:val="center"/>
        </w:trPr>
        <w:tc>
          <w:tcPr>
            <w:tcW w:w="2603" w:type="dxa"/>
            <w:tcBorders>
              <w:tl2br w:val="nil"/>
              <w:tr2bl w:val="nil"/>
            </w:tcBorders>
            <w:shd w:val="clear" w:color="auto" w:fill="auto"/>
            <w:vAlign w:val="center"/>
          </w:tcPr>
          <w:p>
            <w:pPr>
              <w:widowControl/>
              <w:jc w:val="left"/>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花生烯酸（C20</w:t>
            </w:r>
            <w:r>
              <w:rPr>
                <w:rFonts w:hint="eastAsia" w:ascii="Times New Roman" w:hAnsi="Times New Roman" w:eastAsia="宋体" w:cs="Times New Roman"/>
                <w:color w:val="000000"/>
                <w:kern w:val="0"/>
                <w:szCs w:val="21"/>
              </w:rPr>
              <w:t>:</w:t>
            </w:r>
            <w:r>
              <w:rPr>
                <w:rFonts w:ascii="Times New Roman" w:hAnsi="Times New Roman" w:eastAsia="宋体" w:cs="Times New Roman"/>
                <w:color w:val="000000"/>
                <w:kern w:val="0"/>
                <w:szCs w:val="21"/>
              </w:rPr>
              <w:t>1）</w:t>
            </w:r>
          </w:p>
        </w:tc>
        <w:tc>
          <w:tcPr>
            <w:tcW w:w="1470"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0.23</w:t>
            </w:r>
            <w:r>
              <w:rPr>
                <w:rFonts w:hint="eastAsia" w:ascii="Times New Roman" w:hAnsi="Times New Roman" w:eastAsia="宋体" w:cs="Times New Roman"/>
                <w:color w:val="000000"/>
                <w:kern w:val="0"/>
                <w:szCs w:val="21"/>
                <w:vertAlign w:val="superscript"/>
              </w:rPr>
              <w:t xml:space="preserve"> a</w:t>
            </w:r>
            <w:r>
              <w:rPr>
                <w:rFonts w:ascii="Times New Roman" w:hAnsi="Times New Roman" w:eastAsia="宋体" w:cs="Times New Roman"/>
                <w:color w:val="000000"/>
                <w:kern w:val="0"/>
                <w:szCs w:val="21"/>
              </w:rPr>
              <w:t>±0.02</w:t>
            </w:r>
          </w:p>
        </w:tc>
        <w:tc>
          <w:tcPr>
            <w:tcW w:w="1484"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0.24</w:t>
            </w:r>
            <w:r>
              <w:rPr>
                <w:rFonts w:hint="eastAsia" w:ascii="Times New Roman" w:hAnsi="Times New Roman" w:eastAsia="宋体" w:cs="Times New Roman"/>
                <w:color w:val="000000"/>
                <w:kern w:val="0"/>
                <w:szCs w:val="21"/>
                <w:vertAlign w:val="superscript"/>
              </w:rPr>
              <w:t xml:space="preserve"> a</w:t>
            </w:r>
            <w:r>
              <w:rPr>
                <w:rFonts w:ascii="Times New Roman" w:hAnsi="Times New Roman" w:eastAsia="宋体" w:cs="Times New Roman"/>
                <w:color w:val="000000"/>
                <w:kern w:val="0"/>
                <w:szCs w:val="21"/>
              </w:rPr>
              <w:t>±0.05</w:t>
            </w:r>
          </w:p>
        </w:tc>
        <w:tc>
          <w:tcPr>
            <w:tcW w:w="1465"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0.4</w:t>
            </w:r>
            <w:r>
              <w:rPr>
                <w:rFonts w:hint="eastAsia" w:ascii="Times New Roman" w:hAnsi="Times New Roman" w:eastAsia="宋体" w:cs="Times New Roman"/>
                <w:color w:val="000000"/>
                <w:kern w:val="0"/>
                <w:szCs w:val="21"/>
                <w:vertAlign w:val="superscript"/>
              </w:rPr>
              <w:t xml:space="preserve"> </w:t>
            </w:r>
            <w:r>
              <w:rPr>
                <w:rFonts w:ascii="Times New Roman" w:hAnsi="Times New Roman" w:eastAsia="宋体" w:cs="Times New Roman"/>
                <w:color w:val="000000"/>
                <w:kern w:val="0"/>
                <w:szCs w:val="21"/>
              </w:rPr>
              <w:t>4</w:t>
            </w:r>
            <w:r>
              <w:rPr>
                <w:rFonts w:hint="eastAsia" w:ascii="Times New Roman" w:hAnsi="Times New Roman" w:eastAsia="宋体" w:cs="Times New Roman"/>
                <w:color w:val="000000"/>
                <w:kern w:val="0"/>
                <w:szCs w:val="21"/>
                <w:vertAlign w:val="superscript"/>
              </w:rPr>
              <w:t xml:space="preserve"> ab</w:t>
            </w:r>
            <w:r>
              <w:rPr>
                <w:rFonts w:ascii="Times New Roman" w:hAnsi="Times New Roman" w:eastAsia="宋体" w:cs="Times New Roman"/>
                <w:color w:val="000000"/>
                <w:kern w:val="0"/>
                <w:szCs w:val="21"/>
              </w:rPr>
              <w:t>±0.02</w:t>
            </w:r>
          </w:p>
        </w:tc>
        <w:tc>
          <w:tcPr>
            <w:tcW w:w="1443"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0.48</w:t>
            </w:r>
            <w:r>
              <w:rPr>
                <w:rFonts w:hint="eastAsia" w:ascii="Times New Roman" w:hAnsi="Times New Roman" w:eastAsia="宋体" w:cs="Times New Roman"/>
                <w:color w:val="000000"/>
                <w:kern w:val="0"/>
                <w:szCs w:val="21"/>
                <w:vertAlign w:val="superscript"/>
              </w:rPr>
              <w:t xml:space="preserve"> ab</w:t>
            </w:r>
            <w:r>
              <w:rPr>
                <w:rFonts w:ascii="Times New Roman" w:hAnsi="Times New Roman" w:eastAsia="宋体" w:cs="Times New Roman"/>
                <w:color w:val="000000"/>
                <w:kern w:val="0"/>
                <w:szCs w:val="21"/>
              </w:rPr>
              <w:t>±0.07</w:t>
            </w:r>
          </w:p>
        </w:tc>
        <w:tc>
          <w:tcPr>
            <w:tcW w:w="1523"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0.77</w:t>
            </w:r>
            <w:r>
              <w:rPr>
                <w:rFonts w:hint="eastAsia" w:ascii="Times New Roman" w:hAnsi="Times New Roman" w:eastAsia="宋体" w:cs="Times New Roman"/>
                <w:color w:val="000000"/>
                <w:kern w:val="0"/>
                <w:szCs w:val="21"/>
                <w:vertAlign w:val="superscript"/>
              </w:rPr>
              <w:t xml:space="preserve"> b</w:t>
            </w:r>
            <w:r>
              <w:rPr>
                <w:rFonts w:ascii="Times New Roman" w:hAnsi="Times New Roman" w:eastAsia="宋体" w:cs="Times New Roman"/>
                <w:color w:val="000000"/>
                <w:kern w:val="0"/>
                <w:szCs w:val="21"/>
              </w:rPr>
              <w:t>±0.11</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1" w:hRule="atLeast"/>
          <w:jc w:val="center"/>
        </w:trPr>
        <w:tc>
          <w:tcPr>
            <w:tcW w:w="2603" w:type="dxa"/>
            <w:tcBorders>
              <w:tl2br w:val="nil"/>
              <w:tr2bl w:val="nil"/>
            </w:tcBorders>
            <w:shd w:val="clear" w:color="auto" w:fill="auto"/>
            <w:vAlign w:val="center"/>
          </w:tcPr>
          <w:p>
            <w:pPr>
              <w:widowControl/>
              <w:jc w:val="left"/>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花生二烯酸（C20</w:t>
            </w:r>
            <w:r>
              <w:rPr>
                <w:rFonts w:hint="eastAsia" w:ascii="Times New Roman" w:hAnsi="Times New Roman" w:eastAsia="宋体" w:cs="Times New Roman"/>
                <w:color w:val="000000"/>
                <w:kern w:val="0"/>
                <w:szCs w:val="21"/>
              </w:rPr>
              <w:t>:</w:t>
            </w:r>
            <w:r>
              <w:rPr>
                <w:rFonts w:ascii="Times New Roman" w:hAnsi="Times New Roman" w:eastAsia="宋体" w:cs="Times New Roman"/>
                <w:color w:val="000000"/>
                <w:kern w:val="0"/>
                <w:szCs w:val="21"/>
              </w:rPr>
              <w:t>2）</w:t>
            </w:r>
          </w:p>
        </w:tc>
        <w:tc>
          <w:tcPr>
            <w:tcW w:w="1470"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0.18±0.03</w:t>
            </w:r>
          </w:p>
        </w:tc>
        <w:tc>
          <w:tcPr>
            <w:tcW w:w="1484"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0.16±0.01</w:t>
            </w:r>
          </w:p>
        </w:tc>
        <w:tc>
          <w:tcPr>
            <w:tcW w:w="1465"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0.13±0.03</w:t>
            </w:r>
          </w:p>
        </w:tc>
        <w:tc>
          <w:tcPr>
            <w:tcW w:w="1443"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0.18±0.02</w:t>
            </w:r>
          </w:p>
        </w:tc>
        <w:tc>
          <w:tcPr>
            <w:tcW w:w="1523"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0.20±0.06</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1" w:hRule="atLeast"/>
          <w:jc w:val="center"/>
        </w:trPr>
        <w:tc>
          <w:tcPr>
            <w:tcW w:w="2603" w:type="dxa"/>
            <w:tcBorders>
              <w:tl2br w:val="nil"/>
              <w:tr2bl w:val="nil"/>
            </w:tcBorders>
            <w:shd w:val="clear" w:color="auto" w:fill="auto"/>
            <w:vAlign w:val="center"/>
          </w:tcPr>
          <w:p>
            <w:pPr>
              <w:widowControl/>
              <w:jc w:val="left"/>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花生四烯酸（C20</w:t>
            </w:r>
            <w:r>
              <w:rPr>
                <w:rFonts w:hint="eastAsia" w:ascii="Times New Roman" w:hAnsi="Times New Roman" w:eastAsia="宋体" w:cs="Times New Roman"/>
                <w:color w:val="000000"/>
                <w:kern w:val="0"/>
                <w:szCs w:val="21"/>
              </w:rPr>
              <w:t>:</w:t>
            </w:r>
            <w:r>
              <w:rPr>
                <w:rFonts w:ascii="Times New Roman" w:hAnsi="Times New Roman" w:eastAsia="宋体" w:cs="Times New Roman"/>
                <w:color w:val="000000"/>
                <w:kern w:val="0"/>
                <w:szCs w:val="21"/>
              </w:rPr>
              <w:t>4）</w:t>
            </w:r>
          </w:p>
        </w:tc>
        <w:tc>
          <w:tcPr>
            <w:tcW w:w="1470"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1.41</w:t>
            </w:r>
            <w:r>
              <w:rPr>
                <w:rFonts w:hint="eastAsia" w:ascii="Times New Roman" w:hAnsi="Times New Roman" w:eastAsia="宋体" w:cs="Times New Roman"/>
                <w:color w:val="000000"/>
                <w:kern w:val="0"/>
                <w:szCs w:val="21"/>
                <w:vertAlign w:val="superscript"/>
              </w:rPr>
              <w:t xml:space="preserve"> a</w:t>
            </w:r>
            <w:r>
              <w:rPr>
                <w:rFonts w:ascii="Times New Roman" w:hAnsi="Times New Roman" w:eastAsia="宋体" w:cs="Times New Roman"/>
                <w:color w:val="000000"/>
                <w:kern w:val="0"/>
                <w:szCs w:val="21"/>
              </w:rPr>
              <w:t>±0.</w:t>
            </w:r>
            <w:r>
              <w:rPr>
                <w:rFonts w:hint="eastAsia" w:ascii="Times New Roman" w:hAnsi="Times New Roman" w:eastAsia="宋体" w:cs="Times New Roman"/>
                <w:color w:val="000000"/>
                <w:kern w:val="0"/>
                <w:szCs w:val="21"/>
              </w:rPr>
              <w:t>2</w:t>
            </w:r>
            <w:r>
              <w:rPr>
                <w:rFonts w:ascii="Times New Roman" w:hAnsi="Times New Roman" w:eastAsia="宋体" w:cs="Times New Roman"/>
                <w:color w:val="000000"/>
                <w:kern w:val="0"/>
                <w:szCs w:val="21"/>
              </w:rPr>
              <w:t>2</w:t>
            </w:r>
          </w:p>
        </w:tc>
        <w:tc>
          <w:tcPr>
            <w:tcW w:w="1484"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1.43</w:t>
            </w:r>
            <w:r>
              <w:rPr>
                <w:rFonts w:hint="eastAsia" w:ascii="Times New Roman" w:hAnsi="Times New Roman" w:eastAsia="宋体" w:cs="Times New Roman"/>
                <w:color w:val="000000"/>
                <w:kern w:val="0"/>
                <w:szCs w:val="21"/>
                <w:vertAlign w:val="superscript"/>
              </w:rPr>
              <w:t xml:space="preserve"> a</w:t>
            </w:r>
            <w:r>
              <w:rPr>
                <w:rFonts w:ascii="Times New Roman" w:hAnsi="Times New Roman" w:eastAsia="宋体" w:cs="Times New Roman"/>
                <w:color w:val="000000"/>
                <w:kern w:val="0"/>
                <w:szCs w:val="21"/>
              </w:rPr>
              <w:t>±0.36</w:t>
            </w:r>
          </w:p>
        </w:tc>
        <w:tc>
          <w:tcPr>
            <w:tcW w:w="1465"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0.69</w:t>
            </w:r>
            <w:r>
              <w:rPr>
                <w:rFonts w:hint="eastAsia" w:ascii="Times New Roman" w:hAnsi="Times New Roman" w:eastAsia="宋体" w:cs="Times New Roman"/>
                <w:color w:val="000000"/>
                <w:kern w:val="0"/>
                <w:szCs w:val="21"/>
                <w:vertAlign w:val="superscript"/>
              </w:rPr>
              <w:t xml:space="preserve"> b</w:t>
            </w:r>
            <w:r>
              <w:rPr>
                <w:rFonts w:ascii="Times New Roman" w:hAnsi="Times New Roman" w:eastAsia="宋体" w:cs="Times New Roman"/>
                <w:color w:val="000000"/>
                <w:kern w:val="0"/>
                <w:szCs w:val="21"/>
              </w:rPr>
              <w:t>±0.11</w:t>
            </w:r>
          </w:p>
        </w:tc>
        <w:tc>
          <w:tcPr>
            <w:tcW w:w="1443"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0.77</w:t>
            </w:r>
            <w:r>
              <w:rPr>
                <w:rFonts w:hint="eastAsia" w:ascii="Times New Roman" w:hAnsi="Times New Roman" w:eastAsia="宋体" w:cs="Times New Roman"/>
                <w:color w:val="000000"/>
                <w:kern w:val="0"/>
                <w:szCs w:val="21"/>
                <w:vertAlign w:val="superscript"/>
              </w:rPr>
              <w:t xml:space="preserve"> b</w:t>
            </w:r>
            <w:r>
              <w:rPr>
                <w:rFonts w:ascii="Times New Roman" w:hAnsi="Times New Roman" w:eastAsia="宋体" w:cs="Times New Roman"/>
                <w:color w:val="000000"/>
                <w:kern w:val="0"/>
                <w:szCs w:val="21"/>
              </w:rPr>
              <w:t>±0.17</w:t>
            </w:r>
          </w:p>
        </w:tc>
        <w:tc>
          <w:tcPr>
            <w:tcW w:w="1523"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0.44</w:t>
            </w:r>
            <w:r>
              <w:rPr>
                <w:rFonts w:hint="eastAsia" w:ascii="Times New Roman" w:hAnsi="Times New Roman" w:eastAsia="宋体" w:cs="Times New Roman"/>
                <w:color w:val="000000"/>
                <w:kern w:val="0"/>
                <w:szCs w:val="21"/>
                <w:vertAlign w:val="superscript"/>
              </w:rPr>
              <w:t xml:space="preserve"> b</w:t>
            </w:r>
            <w:r>
              <w:rPr>
                <w:rFonts w:ascii="Times New Roman" w:hAnsi="Times New Roman" w:eastAsia="宋体" w:cs="Times New Roman"/>
                <w:color w:val="000000"/>
                <w:kern w:val="0"/>
                <w:szCs w:val="21"/>
              </w:rPr>
              <w:t>±0.16</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1" w:hRule="atLeast"/>
          <w:jc w:val="center"/>
        </w:trPr>
        <w:tc>
          <w:tcPr>
            <w:tcW w:w="2603" w:type="dxa"/>
            <w:tcBorders>
              <w:tl2br w:val="nil"/>
              <w:tr2bl w:val="nil"/>
            </w:tcBorders>
            <w:shd w:val="clear" w:color="auto" w:fill="auto"/>
            <w:vAlign w:val="center"/>
          </w:tcPr>
          <w:p>
            <w:pPr>
              <w:widowControl/>
              <w:jc w:val="left"/>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饱和脂肪酸</w:t>
            </w:r>
            <w:r>
              <w:rPr>
                <w:rFonts w:hint="eastAsia" w:ascii="Times New Roman" w:hAnsi="Times New Roman" w:eastAsia="宋体" w:cs="Times New Roman"/>
                <w:color w:val="000000"/>
                <w:kern w:val="0"/>
                <w:szCs w:val="21"/>
              </w:rPr>
              <w:t>（</w:t>
            </w:r>
            <w:r>
              <w:rPr>
                <w:rFonts w:ascii="Times New Roman" w:hAnsi="Times New Roman" w:eastAsia="宋体" w:cs="Times New Roman"/>
                <w:color w:val="000000"/>
                <w:kern w:val="0"/>
                <w:szCs w:val="21"/>
              </w:rPr>
              <w:t>SFA</w:t>
            </w:r>
            <w:r>
              <w:rPr>
                <w:rFonts w:hint="eastAsia" w:ascii="Times New Roman" w:hAnsi="Times New Roman" w:eastAsia="宋体" w:cs="Times New Roman"/>
                <w:color w:val="000000"/>
                <w:kern w:val="0"/>
                <w:szCs w:val="21"/>
              </w:rPr>
              <w:t>）</w:t>
            </w:r>
          </w:p>
        </w:tc>
        <w:tc>
          <w:tcPr>
            <w:tcW w:w="1470"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24.73</w:t>
            </w:r>
            <w:r>
              <w:rPr>
                <w:rFonts w:hint="eastAsia" w:ascii="Times New Roman" w:hAnsi="Times New Roman" w:eastAsia="宋体" w:cs="Times New Roman"/>
                <w:color w:val="000000"/>
                <w:kern w:val="0"/>
                <w:szCs w:val="21"/>
                <w:vertAlign w:val="superscript"/>
              </w:rPr>
              <w:t xml:space="preserve"> a</w:t>
            </w:r>
            <w:r>
              <w:rPr>
                <w:rFonts w:ascii="Times New Roman" w:hAnsi="Times New Roman" w:eastAsia="宋体" w:cs="Times New Roman"/>
                <w:color w:val="000000"/>
                <w:kern w:val="0"/>
                <w:szCs w:val="21"/>
              </w:rPr>
              <w:t>±0.86</w:t>
            </w:r>
          </w:p>
        </w:tc>
        <w:tc>
          <w:tcPr>
            <w:tcW w:w="1484"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33.16</w:t>
            </w:r>
            <w:r>
              <w:rPr>
                <w:rFonts w:hint="eastAsia" w:ascii="Times New Roman" w:hAnsi="Times New Roman" w:eastAsia="宋体" w:cs="Times New Roman"/>
                <w:color w:val="000000"/>
                <w:kern w:val="0"/>
                <w:szCs w:val="21"/>
                <w:vertAlign w:val="superscript"/>
              </w:rPr>
              <w:t xml:space="preserve"> b</w:t>
            </w:r>
            <w:r>
              <w:rPr>
                <w:rFonts w:ascii="Times New Roman" w:hAnsi="Times New Roman" w:eastAsia="宋体" w:cs="Times New Roman"/>
                <w:color w:val="000000"/>
                <w:kern w:val="0"/>
                <w:szCs w:val="21"/>
              </w:rPr>
              <w:t>±1.37</w:t>
            </w:r>
          </w:p>
        </w:tc>
        <w:tc>
          <w:tcPr>
            <w:tcW w:w="1465"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35.39</w:t>
            </w:r>
            <w:r>
              <w:rPr>
                <w:rFonts w:hint="eastAsia" w:ascii="Times New Roman" w:hAnsi="Times New Roman" w:eastAsia="宋体" w:cs="Times New Roman"/>
                <w:color w:val="000000"/>
                <w:kern w:val="0"/>
                <w:szCs w:val="21"/>
                <w:vertAlign w:val="superscript"/>
              </w:rPr>
              <w:t xml:space="preserve"> b</w:t>
            </w:r>
            <w:r>
              <w:rPr>
                <w:rFonts w:ascii="Times New Roman" w:hAnsi="Times New Roman" w:eastAsia="宋体" w:cs="Times New Roman"/>
                <w:color w:val="000000"/>
                <w:kern w:val="0"/>
                <w:szCs w:val="21"/>
              </w:rPr>
              <w:t>±1.64</w:t>
            </w:r>
          </w:p>
        </w:tc>
        <w:tc>
          <w:tcPr>
            <w:tcW w:w="1443"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38.84</w:t>
            </w:r>
            <w:r>
              <w:rPr>
                <w:rFonts w:hint="eastAsia" w:ascii="Times New Roman" w:hAnsi="Times New Roman" w:eastAsia="宋体" w:cs="Times New Roman"/>
                <w:color w:val="000000"/>
                <w:kern w:val="0"/>
                <w:szCs w:val="21"/>
                <w:vertAlign w:val="superscript"/>
              </w:rPr>
              <w:t xml:space="preserve"> b</w:t>
            </w:r>
            <w:r>
              <w:rPr>
                <w:rFonts w:ascii="Times New Roman" w:hAnsi="Times New Roman" w:eastAsia="宋体" w:cs="Times New Roman"/>
                <w:color w:val="000000"/>
                <w:kern w:val="0"/>
                <w:szCs w:val="21"/>
              </w:rPr>
              <w:t>±1.06</w:t>
            </w:r>
          </w:p>
        </w:tc>
        <w:tc>
          <w:tcPr>
            <w:tcW w:w="1523"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34.64</w:t>
            </w:r>
            <w:r>
              <w:rPr>
                <w:rFonts w:hint="eastAsia" w:ascii="Times New Roman" w:hAnsi="Times New Roman" w:eastAsia="宋体" w:cs="Times New Roman"/>
                <w:color w:val="000000"/>
                <w:kern w:val="0"/>
                <w:szCs w:val="21"/>
                <w:vertAlign w:val="superscript"/>
              </w:rPr>
              <w:t xml:space="preserve"> b</w:t>
            </w:r>
            <w:r>
              <w:rPr>
                <w:rFonts w:ascii="Times New Roman" w:hAnsi="Times New Roman" w:eastAsia="宋体" w:cs="Times New Roman"/>
                <w:color w:val="000000"/>
                <w:kern w:val="0"/>
                <w:szCs w:val="21"/>
              </w:rPr>
              <w:t>±0.74</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1" w:hRule="atLeast"/>
          <w:jc w:val="center"/>
        </w:trPr>
        <w:tc>
          <w:tcPr>
            <w:tcW w:w="2603" w:type="dxa"/>
            <w:tcBorders>
              <w:tl2br w:val="nil"/>
              <w:tr2bl w:val="nil"/>
            </w:tcBorders>
            <w:shd w:val="clear" w:color="auto" w:fill="auto"/>
            <w:vAlign w:val="center"/>
          </w:tcPr>
          <w:p>
            <w:pPr>
              <w:widowControl/>
              <w:jc w:val="left"/>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不饱和脂肪酸</w:t>
            </w:r>
            <w:r>
              <w:rPr>
                <w:rFonts w:hint="eastAsia" w:ascii="Times New Roman" w:hAnsi="Times New Roman" w:eastAsia="宋体" w:cs="Times New Roman"/>
                <w:color w:val="000000"/>
                <w:kern w:val="0"/>
                <w:szCs w:val="21"/>
              </w:rPr>
              <w:t>（</w:t>
            </w:r>
            <w:r>
              <w:rPr>
                <w:rFonts w:ascii="Times New Roman" w:hAnsi="Times New Roman" w:eastAsia="宋体" w:cs="Times New Roman"/>
                <w:color w:val="000000"/>
                <w:kern w:val="0"/>
                <w:szCs w:val="21"/>
              </w:rPr>
              <w:t>UFA</w:t>
            </w:r>
            <w:r>
              <w:rPr>
                <w:rFonts w:hint="eastAsia" w:ascii="Times New Roman" w:hAnsi="Times New Roman" w:eastAsia="宋体" w:cs="Times New Roman"/>
                <w:color w:val="000000"/>
                <w:kern w:val="0"/>
                <w:szCs w:val="21"/>
              </w:rPr>
              <w:t>）</w:t>
            </w:r>
          </w:p>
        </w:tc>
        <w:tc>
          <w:tcPr>
            <w:tcW w:w="1470"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75.36</w:t>
            </w:r>
            <w:r>
              <w:rPr>
                <w:rFonts w:hint="eastAsia" w:ascii="Times New Roman" w:hAnsi="Times New Roman" w:eastAsia="宋体" w:cs="Times New Roman"/>
                <w:color w:val="000000"/>
                <w:kern w:val="0"/>
                <w:szCs w:val="21"/>
                <w:vertAlign w:val="superscript"/>
              </w:rPr>
              <w:t xml:space="preserve"> a</w:t>
            </w:r>
            <w:r>
              <w:rPr>
                <w:rFonts w:ascii="Times New Roman" w:hAnsi="Times New Roman" w:eastAsia="宋体" w:cs="Times New Roman"/>
                <w:color w:val="000000"/>
                <w:kern w:val="0"/>
                <w:szCs w:val="21"/>
              </w:rPr>
              <w:t>±3.12</w:t>
            </w:r>
          </w:p>
        </w:tc>
        <w:tc>
          <w:tcPr>
            <w:tcW w:w="1484"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66.85</w:t>
            </w:r>
            <w:r>
              <w:rPr>
                <w:rFonts w:hint="eastAsia" w:ascii="Times New Roman" w:hAnsi="Times New Roman" w:eastAsia="宋体" w:cs="Times New Roman"/>
                <w:color w:val="000000"/>
                <w:kern w:val="0"/>
                <w:szCs w:val="21"/>
                <w:vertAlign w:val="superscript"/>
              </w:rPr>
              <w:t xml:space="preserve"> b</w:t>
            </w:r>
            <w:r>
              <w:rPr>
                <w:rFonts w:ascii="Times New Roman" w:hAnsi="Times New Roman" w:eastAsia="宋体" w:cs="Times New Roman"/>
                <w:color w:val="000000"/>
                <w:kern w:val="0"/>
                <w:szCs w:val="21"/>
              </w:rPr>
              <w:t>±2.68</w:t>
            </w:r>
          </w:p>
        </w:tc>
        <w:tc>
          <w:tcPr>
            <w:tcW w:w="1465"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64.60</w:t>
            </w:r>
            <w:r>
              <w:rPr>
                <w:rFonts w:hint="eastAsia" w:ascii="Times New Roman" w:hAnsi="Times New Roman" w:eastAsia="宋体" w:cs="Times New Roman"/>
                <w:color w:val="000000"/>
                <w:kern w:val="0"/>
                <w:szCs w:val="21"/>
                <w:vertAlign w:val="superscript"/>
              </w:rPr>
              <w:t xml:space="preserve"> b</w:t>
            </w:r>
            <w:r>
              <w:rPr>
                <w:rFonts w:ascii="Times New Roman" w:hAnsi="Times New Roman" w:eastAsia="宋体" w:cs="Times New Roman"/>
                <w:color w:val="000000"/>
                <w:kern w:val="0"/>
                <w:szCs w:val="21"/>
              </w:rPr>
              <w:t>±2.13</w:t>
            </w:r>
          </w:p>
        </w:tc>
        <w:tc>
          <w:tcPr>
            <w:tcW w:w="1443"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61.16</w:t>
            </w:r>
            <w:r>
              <w:rPr>
                <w:rFonts w:hint="eastAsia" w:ascii="Times New Roman" w:hAnsi="Times New Roman" w:eastAsia="宋体" w:cs="Times New Roman"/>
                <w:color w:val="000000"/>
                <w:kern w:val="0"/>
                <w:szCs w:val="21"/>
                <w:vertAlign w:val="superscript"/>
              </w:rPr>
              <w:t xml:space="preserve"> b</w:t>
            </w:r>
            <w:r>
              <w:rPr>
                <w:rFonts w:ascii="Times New Roman" w:hAnsi="Times New Roman" w:eastAsia="宋体" w:cs="Times New Roman"/>
                <w:color w:val="000000"/>
                <w:kern w:val="0"/>
                <w:szCs w:val="21"/>
              </w:rPr>
              <w:t>±1.48</w:t>
            </w:r>
          </w:p>
        </w:tc>
        <w:tc>
          <w:tcPr>
            <w:tcW w:w="1523"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65.36</w:t>
            </w:r>
            <w:r>
              <w:rPr>
                <w:rFonts w:hint="eastAsia" w:ascii="Times New Roman" w:hAnsi="Times New Roman" w:eastAsia="宋体" w:cs="Times New Roman"/>
                <w:color w:val="000000"/>
                <w:kern w:val="0"/>
                <w:szCs w:val="21"/>
                <w:vertAlign w:val="superscript"/>
              </w:rPr>
              <w:t xml:space="preserve"> b</w:t>
            </w:r>
            <w:r>
              <w:rPr>
                <w:rFonts w:ascii="Times New Roman" w:hAnsi="Times New Roman" w:eastAsia="宋体" w:cs="Times New Roman"/>
                <w:color w:val="000000"/>
                <w:kern w:val="0"/>
                <w:szCs w:val="21"/>
              </w:rPr>
              <w:t>±3.06</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1" w:hRule="atLeast"/>
          <w:jc w:val="center"/>
        </w:trPr>
        <w:tc>
          <w:tcPr>
            <w:tcW w:w="2603" w:type="dxa"/>
            <w:tcBorders>
              <w:tl2br w:val="nil"/>
              <w:tr2bl w:val="nil"/>
            </w:tcBorders>
            <w:shd w:val="clear" w:color="auto" w:fill="auto"/>
            <w:vAlign w:val="center"/>
          </w:tcPr>
          <w:p>
            <w:pPr>
              <w:widowControl/>
              <w:jc w:val="left"/>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单不饱和脂肪酸</w:t>
            </w:r>
            <w:r>
              <w:rPr>
                <w:rFonts w:hint="eastAsia" w:ascii="Times New Roman" w:hAnsi="Times New Roman" w:eastAsia="宋体" w:cs="Times New Roman"/>
                <w:color w:val="000000"/>
                <w:kern w:val="0"/>
                <w:szCs w:val="21"/>
              </w:rPr>
              <w:t>（</w:t>
            </w:r>
            <w:r>
              <w:rPr>
                <w:rFonts w:ascii="Times New Roman" w:hAnsi="Times New Roman" w:eastAsia="宋体" w:cs="Times New Roman"/>
                <w:color w:val="000000"/>
                <w:kern w:val="0"/>
                <w:szCs w:val="21"/>
              </w:rPr>
              <w:t>MUFA</w:t>
            </w:r>
            <w:r>
              <w:rPr>
                <w:rFonts w:hint="eastAsia" w:ascii="Times New Roman" w:hAnsi="Times New Roman" w:eastAsia="宋体" w:cs="Times New Roman"/>
                <w:color w:val="000000"/>
                <w:kern w:val="0"/>
                <w:szCs w:val="21"/>
              </w:rPr>
              <w:t>）</w:t>
            </w:r>
          </w:p>
        </w:tc>
        <w:tc>
          <w:tcPr>
            <w:tcW w:w="1470"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54.40±2.17</w:t>
            </w:r>
          </w:p>
        </w:tc>
        <w:tc>
          <w:tcPr>
            <w:tcW w:w="1484"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49.27±1.88</w:t>
            </w:r>
          </w:p>
        </w:tc>
        <w:tc>
          <w:tcPr>
            <w:tcW w:w="1465"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55.35±1.42</w:t>
            </w:r>
          </w:p>
        </w:tc>
        <w:tc>
          <w:tcPr>
            <w:tcW w:w="1443"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50.77±0.89</w:t>
            </w:r>
          </w:p>
        </w:tc>
        <w:tc>
          <w:tcPr>
            <w:tcW w:w="1523"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55.37±2.03</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1" w:hRule="atLeast"/>
          <w:jc w:val="center"/>
        </w:trPr>
        <w:tc>
          <w:tcPr>
            <w:tcW w:w="2603" w:type="dxa"/>
            <w:tcBorders>
              <w:tl2br w:val="nil"/>
              <w:tr2bl w:val="nil"/>
            </w:tcBorders>
            <w:shd w:val="clear" w:color="auto" w:fill="auto"/>
            <w:vAlign w:val="center"/>
          </w:tcPr>
          <w:p>
            <w:pPr>
              <w:widowControl/>
              <w:jc w:val="left"/>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多不饱和脂肪酸</w:t>
            </w:r>
            <w:r>
              <w:rPr>
                <w:rFonts w:hint="eastAsia" w:ascii="Times New Roman" w:hAnsi="Times New Roman" w:eastAsia="宋体" w:cs="Times New Roman"/>
                <w:color w:val="000000"/>
                <w:kern w:val="0"/>
                <w:szCs w:val="21"/>
              </w:rPr>
              <w:t>（</w:t>
            </w:r>
            <w:r>
              <w:rPr>
                <w:rFonts w:ascii="Times New Roman" w:hAnsi="Times New Roman" w:eastAsia="宋体" w:cs="Times New Roman"/>
                <w:color w:val="000000"/>
                <w:kern w:val="0"/>
                <w:szCs w:val="21"/>
              </w:rPr>
              <w:t>PUFA</w:t>
            </w:r>
            <w:r>
              <w:rPr>
                <w:rFonts w:hint="eastAsia" w:ascii="Times New Roman" w:hAnsi="Times New Roman" w:eastAsia="宋体" w:cs="Times New Roman"/>
                <w:color w:val="000000"/>
                <w:kern w:val="0"/>
                <w:szCs w:val="21"/>
              </w:rPr>
              <w:t>）</w:t>
            </w:r>
          </w:p>
        </w:tc>
        <w:tc>
          <w:tcPr>
            <w:tcW w:w="1470"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20.96±1.</w:t>
            </w:r>
            <w:r>
              <w:rPr>
                <w:rFonts w:hint="eastAsia" w:ascii="Times New Roman" w:hAnsi="Times New Roman" w:eastAsia="宋体" w:cs="Times New Roman"/>
                <w:color w:val="000000"/>
                <w:kern w:val="0"/>
                <w:szCs w:val="21"/>
              </w:rPr>
              <w:t>08</w:t>
            </w:r>
            <w:r>
              <w:rPr>
                <w:rFonts w:hint="eastAsia" w:ascii="Times New Roman" w:hAnsi="Times New Roman" w:eastAsia="宋体" w:cs="Times New Roman"/>
                <w:color w:val="000000"/>
                <w:kern w:val="0"/>
                <w:szCs w:val="21"/>
                <w:vertAlign w:val="superscript"/>
              </w:rPr>
              <w:t>a</w:t>
            </w:r>
          </w:p>
        </w:tc>
        <w:tc>
          <w:tcPr>
            <w:tcW w:w="1484"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17.58±1.</w:t>
            </w:r>
            <w:r>
              <w:rPr>
                <w:rFonts w:hint="eastAsia" w:ascii="Times New Roman" w:hAnsi="Times New Roman" w:eastAsia="宋体" w:cs="Times New Roman"/>
                <w:color w:val="000000"/>
                <w:kern w:val="0"/>
                <w:szCs w:val="21"/>
              </w:rPr>
              <w:t>65</w:t>
            </w:r>
            <w:r>
              <w:rPr>
                <w:rFonts w:hint="eastAsia" w:ascii="Times New Roman" w:hAnsi="Times New Roman" w:eastAsia="宋体" w:cs="Times New Roman"/>
                <w:color w:val="000000"/>
                <w:kern w:val="0"/>
                <w:szCs w:val="21"/>
                <w:vertAlign w:val="superscript"/>
              </w:rPr>
              <w:t>b</w:t>
            </w:r>
          </w:p>
        </w:tc>
        <w:tc>
          <w:tcPr>
            <w:tcW w:w="1465"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9.25±1.47</w:t>
            </w:r>
            <w:r>
              <w:rPr>
                <w:rFonts w:hint="eastAsia" w:ascii="Times New Roman" w:hAnsi="Times New Roman" w:eastAsia="宋体" w:cs="Times New Roman"/>
                <w:color w:val="000000"/>
                <w:kern w:val="0"/>
                <w:szCs w:val="21"/>
                <w:vertAlign w:val="superscript"/>
              </w:rPr>
              <w:t>b</w:t>
            </w:r>
          </w:p>
        </w:tc>
        <w:tc>
          <w:tcPr>
            <w:tcW w:w="1443"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10.40±0.76</w:t>
            </w:r>
            <w:r>
              <w:rPr>
                <w:rFonts w:hint="eastAsia" w:ascii="Times New Roman" w:hAnsi="Times New Roman" w:eastAsia="宋体" w:cs="Times New Roman"/>
                <w:color w:val="000000"/>
                <w:kern w:val="0"/>
                <w:szCs w:val="21"/>
                <w:vertAlign w:val="superscript"/>
              </w:rPr>
              <w:t>b</w:t>
            </w:r>
          </w:p>
        </w:tc>
        <w:tc>
          <w:tcPr>
            <w:tcW w:w="1523"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szCs w:val="21"/>
              </w:rPr>
            </w:pPr>
            <w:r>
              <w:rPr>
                <w:rFonts w:ascii="Times New Roman" w:hAnsi="Times New Roman" w:eastAsia="宋体" w:cs="Times New Roman"/>
                <w:color w:val="000000"/>
                <w:kern w:val="0"/>
                <w:szCs w:val="21"/>
              </w:rPr>
              <w:t>9.99±1.41</w:t>
            </w:r>
            <w:r>
              <w:rPr>
                <w:rFonts w:hint="eastAsia" w:ascii="Times New Roman" w:hAnsi="Times New Roman" w:eastAsia="宋体" w:cs="Times New Roman"/>
                <w:color w:val="000000"/>
                <w:kern w:val="0"/>
                <w:szCs w:val="21"/>
                <w:vertAlign w:val="superscript"/>
              </w:rPr>
              <w:t>b</w:t>
            </w:r>
          </w:p>
        </w:tc>
      </w:tr>
      <w:tr>
        <w:tblPrEx>
          <w:tblBorders>
            <w:top w:val="single" w:color="000000" w:sz="4" w:space="0"/>
            <w:left w:val="none" w:color="auto" w:sz="0" w:space="0"/>
            <w:bottom w:val="single" w:color="000000" w:sz="4"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0" w:hRule="atLeast"/>
          <w:jc w:val="center"/>
        </w:trPr>
        <w:tc>
          <w:tcPr>
            <w:tcW w:w="2603" w:type="dxa"/>
            <w:tcBorders>
              <w:tl2br w:val="nil"/>
              <w:tr2bl w:val="nil"/>
            </w:tcBorders>
            <w:shd w:val="clear" w:color="auto" w:fill="auto"/>
            <w:vAlign w:val="center"/>
          </w:tcPr>
          <w:p>
            <w:pPr>
              <w:widowControl/>
              <w:jc w:val="left"/>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多不饱和与饱和脂肪酸比</w:t>
            </w:r>
            <w:r>
              <w:rPr>
                <w:rFonts w:hint="eastAsia" w:ascii="Times New Roman" w:hAnsi="Times New Roman" w:eastAsia="宋体" w:cs="Times New Roman"/>
                <w:color w:val="000000"/>
                <w:kern w:val="0"/>
                <w:szCs w:val="21"/>
              </w:rPr>
              <w:t>（</w:t>
            </w:r>
            <w:r>
              <w:rPr>
                <w:rFonts w:ascii="Times New Roman" w:hAnsi="Times New Roman" w:eastAsia="宋体" w:cs="Times New Roman"/>
                <w:color w:val="000000"/>
                <w:kern w:val="0"/>
                <w:szCs w:val="21"/>
              </w:rPr>
              <w:t>PUFA:SFA</w:t>
            </w:r>
            <w:r>
              <w:rPr>
                <w:rFonts w:hint="eastAsia" w:ascii="Times New Roman" w:hAnsi="Times New Roman" w:eastAsia="宋体" w:cs="Times New Roman"/>
                <w:color w:val="000000"/>
                <w:kern w:val="0"/>
                <w:szCs w:val="21"/>
              </w:rPr>
              <w:t>）</w:t>
            </w:r>
          </w:p>
        </w:tc>
        <w:tc>
          <w:tcPr>
            <w:tcW w:w="1470"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0.85±0.1</w:t>
            </w:r>
            <w:r>
              <w:rPr>
                <w:rFonts w:hint="eastAsia" w:ascii="Times New Roman" w:hAnsi="Times New Roman" w:eastAsia="宋体" w:cs="Times New Roman"/>
                <w:color w:val="000000"/>
                <w:kern w:val="0"/>
                <w:szCs w:val="21"/>
              </w:rPr>
              <w:t>1</w:t>
            </w:r>
            <w:r>
              <w:rPr>
                <w:rFonts w:hint="eastAsia" w:ascii="Times New Roman" w:hAnsi="Times New Roman" w:eastAsia="宋体" w:cs="Times New Roman"/>
                <w:color w:val="000000"/>
                <w:kern w:val="0"/>
                <w:szCs w:val="21"/>
                <w:vertAlign w:val="superscript"/>
              </w:rPr>
              <w:t>a</w:t>
            </w:r>
          </w:p>
        </w:tc>
        <w:tc>
          <w:tcPr>
            <w:tcW w:w="1484"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0.53±0.17</w:t>
            </w:r>
            <w:r>
              <w:rPr>
                <w:rFonts w:hint="eastAsia" w:ascii="Times New Roman" w:hAnsi="Times New Roman" w:eastAsia="宋体" w:cs="Times New Roman"/>
                <w:color w:val="000000"/>
                <w:kern w:val="0"/>
                <w:szCs w:val="21"/>
                <w:vertAlign w:val="superscript"/>
              </w:rPr>
              <w:t>ab</w:t>
            </w:r>
          </w:p>
        </w:tc>
        <w:tc>
          <w:tcPr>
            <w:tcW w:w="1465"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0.26±0.08</w:t>
            </w:r>
            <w:r>
              <w:rPr>
                <w:rFonts w:hint="eastAsia" w:ascii="Times New Roman" w:hAnsi="Times New Roman" w:eastAsia="宋体" w:cs="Times New Roman"/>
                <w:color w:val="000000"/>
                <w:kern w:val="0"/>
                <w:szCs w:val="21"/>
                <w:vertAlign w:val="superscript"/>
              </w:rPr>
              <w:t>b</w:t>
            </w:r>
          </w:p>
        </w:tc>
        <w:tc>
          <w:tcPr>
            <w:tcW w:w="1443"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0.27±0.04</w:t>
            </w:r>
            <w:r>
              <w:rPr>
                <w:rFonts w:hint="eastAsia" w:ascii="Times New Roman" w:hAnsi="Times New Roman" w:eastAsia="宋体" w:cs="Times New Roman"/>
                <w:color w:val="000000"/>
                <w:kern w:val="0"/>
                <w:szCs w:val="21"/>
                <w:vertAlign w:val="superscript"/>
              </w:rPr>
              <w:t>b</w:t>
            </w:r>
          </w:p>
        </w:tc>
        <w:tc>
          <w:tcPr>
            <w:tcW w:w="1523" w:type="dxa"/>
            <w:tcBorders>
              <w:tl2br w:val="nil"/>
              <w:tr2bl w:val="nil"/>
            </w:tcBorders>
            <w:shd w:val="clear" w:color="auto" w:fill="auto"/>
            <w:vAlign w:val="center"/>
          </w:tcPr>
          <w:p>
            <w:pPr>
              <w:widowControl/>
              <w:jc w:val="center"/>
              <w:textAlignment w:val="center"/>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0.29±0.06</w:t>
            </w:r>
            <w:r>
              <w:rPr>
                <w:rFonts w:hint="eastAsia" w:ascii="Times New Roman" w:hAnsi="Times New Roman" w:eastAsia="宋体" w:cs="Times New Roman"/>
                <w:color w:val="000000"/>
                <w:kern w:val="0"/>
                <w:szCs w:val="21"/>
                <w:vertAlign w:val="superscript"/>
              </w:rPr>
              <w:t>b</w:t>
            </w:r>
          </w:p>
        </w:tc>
      </w:tr>
    </w:tbl>
    <w:p>
      <w:pPr>
        <w:rPr>
          <w:highlight w:val="none"/>
        </w:rPr>
      </w:pPr>
      <w:r>
        <w:rPr>
          <w:rFonts w:hint="eastAsia"/>
          <w:highlight w:val="none"/>
        </w:rPr>
        <w:t>注：同行</w:t>
      </w:r>
      <w:r>
        <w:rPr>
          <w:rFonts w:hint="eastAsia" w:ascii="Times New Roman" w:hAnsi="Times New Roman" w:eastAsia="宋体" w:cs="Times New Roman"/>
          <w:szCs w:val="21"/>
          <w:highlight w:val="none"/>
        </w:rPr>
        <w:t>数据肩标不含相同字母表示差异显著（</w:t>
      </w:r>
      <w:r>
        <w:rPr>
          <w:rFonts w:hint="eastAsia" w:ascii="Times New Roman" w:hAnsi="Times New Roman" w:eastAsia="宋体" w:cs="Times New Roman"/>
          <w:i/>
          <w:iCs/>
          <w:szCs w:val="21"/>
          <w:highlight w:val="none"/>
        </w:rPr>
        <w:t>P</w:t>
      </w:r>
      <w:r>
        <w:rPr>
          <w:rFonts w:hint="eastAsia" w:ascii="Times New Roman" w:hAnsi="Times New Roman" w:eastAsia="宋体" w:cs="Times New Roman"/>
          <w:szCs w:val="21"/>
          <w:highlight w:val="none"/>
        </w:rPr>
        <w:t>＜0.05），含相同字母表示差异不显著（</w:t>
      </w:r>
      <w:r>
        <w:rPr>
          <w:rFonts w:hint="eastAsia" w:ascii="Times New Roman" w:hAnsi="Times New Roman" w:eastAsia="宋体" w:cs="Times New Roman"/>
          <w:i/>
          <w:iCs/>
          <w:szCs w:val="21"/>
          <w:highlight w:val="none"/>
        </w:rPr>
        <w:t>P</w:t>
      </w:r>
      <w:r>
        <w:rPr>
          <w:rFonts w:hint="eastAsia" w:ascii="Times New Roman" w:hAnsi="Times New Roman" w:eastAsia="宋体" w:cs="Times New Roman"/>
          <w:szCs w:val="21"/>
          <w:highlight w:val="none"/>
        </w:rPr>
        <w:t>＞0.05）。</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eastAsia="宋体" w:cs="Times New Roman"/>
          <w:color w:val="000000"/>
          <w:kern w:val="0"/>
          <w:sz w:val="24"/>
          <w:szCs w:val="24"/>
          <w:lang w:val="en-US" w:eastAsia="zh-CN" w:bidi="ar"/>
        </w:rPr>
      </w:pPr>
      <w:r>
        <w:rPr>
          <w:rFonts w:hint="eastAsia" w:ascii="Times New Roman" w:hAnsi="Times New Roman" w:eastAsia="宋体" w:cs="Times New Roman"/>
          <w:color w:val="000000"/>
          <w:kern w:val="0"/>
          <w:sz w:val="24"/>
          <w:szCs w:val="24"/>
          <w:lang w:val="en-US" w:eastAsia="zh-CN" w:bidi="ar"/>
        </w:rPr>
        <w:t>小结：报告最终指出</w:t>
      </w:r>
      <w:r>
        <w:rPr>
          <w:rFonts w:hint="default" w:ascii="Times New Roman" w:hAnsi="Times New Roman" w:eastAsia="宋体" w:cs="Times New Roman"/>
          <w:color w:val="000000"/>
          <w:kern w:val="0"/>
          <w:sz w:val="24"/>
          <w:szCs w:val="24"/>
          <w:lang w:val="en-US" w:eastAsia="zh-CN" w:bidi="ar"/>
        </w:rPr>
        <w:t>2月龄阶段是从江香猪特征香味形成与脂肪快速沉积的关键时期，而该阶段贵州从江香猪的必需氨基酸含量为19.37%，6、8和10月龄阶段分别仅为8.43%、9.45%和9.35%，结合各项数据本标准设置了土猪必需脂肪酸的合理参数阈值。</w:t>
      </w:r>
    </w:p>
    <w:p>
      <w:pPr>
        <w:pStyle w:val="10"/>
        <w:spacing w:line="360" w:lineRule="auto"/>
        <w:ind w:firstLine="482"/>
        <w:rPr>
          <w:rFonts w:hint="default" w:hAnsi="宋体" w:eastAsia="宋体" w:cs="宋体"/>
          <w:bCs/>
          <w:kern w:val="0"/>
          <w:sz w:val="24"/>
          <w:szCs w:val="24"/>
          <w:lang w:val="en-US" w:eastAsia="zh-CN" w:bidi="ar-SA"/>
        </w:rPr>
      </w:pPr>
      <w:r>
        <w:rPr>
          <w:rFonts w:ascii="Times New Roman"/>
          <w:b/>
          <w:sz w:val="24"/>
        </w:rPr>
        <w:t>（</w:t>
      </w:r>
      <w:r>
        <w:rPr>
          <w:rFonts w:hint="eastAsia" w:ascii="Times New Roman"/>
          <w:b/>
          <w:sz w:val="24"/>
          <w:lang w:val="en-US" w:eastAsia="zh-CN"/>
        </w:rPr>
        <w:t>6</w:t>
      </w:r>
      <w:r>
        <w:rPr>
          <w:rFonts w:ascii="Times New Roman"/>
          <w:b/>
          <w:sz w:val="24"/>
        </w:rPr>
        <w:t>）</w:t>
      </w:r>
      <w:r>
        <w:rPr>
          <w:rFonts w:hint="eastAsia" w:ascii="Times New Roman"/>
          <w:b/>
          <w:sz w:val="24"/>
          <w:lang w:val="en-US" w:eastAsia="zh-CN"/>
        </w:rPr>
        <w:t>评价参数与分级量化标准确定</w:t>
      </w:r>
    </w:p>
    <w:p>
      <w:pPr>
        <w:pStyle w:val="10"/>
        <w:keepNext w:val="0"/>
        <w:keepLines w:val="0"/>
        <w:pageBreakBefore w:val="0"/>
        <w:widowControl/>
        <w:kinsoku/>
        <w:wordWrap/>
        <w:overflowPunct/>
        <w:topLinePunct w:val="0"/>
        <w:autoSpaceDE w:val="0"/>
        <w:autoSpaceDN w:val="0"/>
        <w:bidi w:val="0"/>
        <w:adjustRightInd/>
        <w:snapToGrid/>
        <w:spacing w:line="360" w:lineRule="auto"/>
        <w:textAlignment w:val="auto"/>
        <w:rPr>
          <w:rFonts w:hint="default" w:ascii="Times New Roman" w:hAnsi="Times New Roman" w:cs="Times New Roman"/>
          <w:sz w:val="24"/>
          <w:szCs w:val="24"/>
          <w:lang w:val="en-US" w:eastAsia="zh-CN"/>
        </w:rPr>
      </w:pPr>
      <w:r>
        <w:rPr>
          <w:rFonts w:hint="default" w:ascii="Times New Roman" w:hAnsi="Times New Roman" w:cs="Times New Roman"/>
          <w:sz w:val="24"/>
          <w:szCs w:val="24"/>
          <w:lang w:val="en-US" w:eastAsia="zh-CN"/>
        </w:rPr>
        <w:t>通过对土猪肉品质测定指标</w:t>
      </w:r>
      <w:r>
        <w:rPr>
          <w:rFonts w:hint="eastAsia" w:ascii="Times New Roman" w:cs="Times New Roman"/>
          <w:sz w:val="24"/>
          <w:szCs w:val="24"/>
          <w:lang w:val="en-US" w:eastAsia="zh-CN"/>
        </w:rPr>
        <w:t>系统</w:t>
      </w:r>
      <w:r>
        <w:rPr>
          <w:rFonts w:hint="default" w:ascii="Times New Roman" w:hAnsi="Times New Roman" w:cs="Times New Roman"/>
          <w:sz w:val="24"/>
          <w:szCs w:val="24"/>
          <w:lang w:val="en-US" w:eastAsia="zh-CN"/>
        </w:rPr>
        <w:t>筛选，总结出9个关键评价指标，分别为：pH值、</w:t>
      </w:r>
      <w:r>
        <w:rPr>
          <w:rFonts w:hint="default" w:ascii="Times New Roman" w:hAnsi="Times New Roman" w:eastAsia="宋体" w:cs="Times New Roman"/>
          <w:color w:val="000000"/>
          <w:kern w:val="0"/>
          <w:sz w:val="24"/>
          <w:szCs w:val="24"/>
          <w:lang w:val="en-US" w:eastAsia="zh-CN" w:bidi="ar"/>
        </w:rPr>
        <w:t>肉色、嫩度、滴水损失、</w:t>
      </w:r>
      <w:r>
        <w:rPr>
          <w:rFonts w:hint="default" w:ascii="Times New Roman" w:hAnsi="Times New Roman" w:cs="Times New Roman"/>
          <w:color w:val="000000"/>
          <w:kern w:val="0"/>
          <w:sz w:val="24"/>
          <w:szCs w:val="24"/>
          <w:lang w:val="en-US" w:eastAsia="zh-CN" w:bidi="ar"/>
        </w:rPr>
        <w:t>熟肉率、</w:t>
      </w:r>
      <w:r>
        <w:rPr>
          <w:rFonts w:hint="default" w:ascii="Times New Roman" w:hAnsi="Times New Roman" w:eastAsia="宋体" w:cs="Times New Roman"/>
          <w:color w:val="000000"/>
          <w:kern w:val="0"/>
          <w:sz w:val="24"/>
          <w:szCs w:val="24"/>
          <w:lang w:val="en-US" w:eastAsia="zh-CN" w:bidi="ar"/>
        </w:rPr>
        <w:t>大理石纹、肌肉脂肪、鲜味氨基酸和必需脂肪酸</w:t>
      </w:r>
      <w:r>
        <w:rPr>
          <w:rFonts w:hint="default" w:ascii="Times New Roman" w:hAnsi="Times New Roman" w:cs="Times New Roman"/>
          <w:color w:val="000000"/>
          <w:kern w:val="0"/>
          <w:sz w:val="24"/>
          <w:szCs w:val="24"/>
          <w:lang w:val="en-US" w:eastAsia="zh-CN" w:bidi="ar"/>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24"/>
        </w:rPr>
      </w:pPr>
      <w:r>
        <w:rPr>
          <w:rFonts w:hint="default" w:ascii="Times New Roman" w:hAnsi="Times New Roman" w:eastAsia="宋体" w:cs="Times New Roman"/>
          <w:kern w:val="0"/>
          <w:sz w:val="24"/>
          <w:szCs w:val="24"/>
          <w:lang w:val="en-US" w:eastAsia="zh-CN" w:bidi="ar-SA"/>
        </w:rPr>
        <w:t>具体土猪肉品质分级评级结果见表4。</w:t>
      </w:r>
    </w:p>
    <w:p>
      <w:pPr>
        <w:spacing w:line="360" w:lineRule="auto"/>
        <w:jc w:val="center"/>
        <w:rPr>
          <w:rFonts w:hint="eastAsia" w:ascii="Times New Roman" w:hAnsi="Times New Roman" w:eastAsia="黑体"/>
          <w:kern w:val="0"/>
          <w:szCs w:val="21"/>
        </w:rPr>
      </w:pPr>
      <w:r>
        <w:rPr>
          <w:rFonts w:hint="eastAsia" w:ascii="Times New Roman" w:hAnsi="Times New Roman" w:eastAsia="黑体"/>
          <w:kern w:val="0"/>
          <w:szCs w:val="21"/>
          <w:lang w:val="en-US" w:eastAsia="zh-CN"/>
        </w:rPr>
        <w:t>表4  土猪肉质等级评分</w:t>
      </w:r>
    </w:p>
    <w:tbl>
      <w:tblPr>
        <w:tblStyle w:val="7"/>
        <w:tblW w:w="11113" w:type="dxa"/>
        <w:jc w:val="center"/>
        <w:tblLayout w:type="autofit"/>
        <w:tblCellMar>
          <w:top w:w="0" w:type="dxa"/>
          <w:left w:w="0" w:type="dxa"/>
          <w:bottom w:w="0" w:type="dxa"/>
          <w:right w:w="0" w:type="dxa"/>
        </w:tblCellMar>
      </w:tblPr>
      <w:tblGrid>
        <w:gridCol w:w="924"/>
        <w:gridCol w:w="828"/>
        <w:gridCol w:w="792"/>
        <w:gridCol w:w="1032"/>
        <w:gridCol w:w="1224"/>
        <w:gridCol w:w="1080"/>
        <w:gridCol w:w="1236"/>
        <w:gridCol w:w="1140"/>
        <w:gridCol w:w="1536"/>
        <w:gridCol w:w="1321"/>
      </w:tblGrid>
      <w:tr>
        <w:tblPrEx>
          <w:tblCellMar>
            <w:top w:w="0" w:type="dxa"/>
            <w:left w:w="0" w:type="dxa"/>
            <w:bottom w:w="0" w:type="dxa"/>
            <w:right w:w="0" w:type="dxa"/>
          </w:tblCellMar>
        </w:tblPrEx>
        <w:trPr>
          <w:trHeight w:val="600" w:hRule="atLeast"/>
          <w:jc w:val="center"/>
        </w:trPr>
        <w:tc>
          <w:tcPr>
            <w:tcW w:w="92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级别</w:t>
            </w:r>
          </w:p>
        </w:tc>
        <w:tc>
          <w:tcPr>
            <w:tcW w:w="82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pH值</w:t>
            </w:r>
          </w:p>
        </w:tc>
        <w:tc>
          <w:tcPr>
            <w:tcW w:w="79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肉色/分</w:t>
            </w:r>
          </w:p>
        </w:tc>
        <w:tc>
          <w:tcPr>
            <w:tcW w:w="1032"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嫩度/Kg.f</w:t>
            </w:r>
          </w:p>
        </w:tc>
        <w:tc>
          <w:tcPr>
            <w:tcW w:w="1224"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滴水损失/%</w:t>
            </w:r>
          </w:p>
        </w:tc>
        <w:tc>
          <w:tcPr>
            <w:tcW w:w="108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熟肉率/%</w:t>
            </w:r>
          </w:p>
        </w:tc>
        <w:tc>
          <w:tcPr>
            <w:tcW w:w="123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大理石纹/分</w:t>
            </w:r>
          </w:p>
        </w:tc>
        <w:tc>
          <w:tcPr>
            <w:tcW w:w="11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肌内脂肪/%</w:t>
            </w:r>
          </w:p>
        </w:tc>
        <w:tc>
          <w:tcPr>
            <w:tcW w:w="153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鲜味氨基酸/%</w:t>
            </w:r>
          </w:p>
        </w:tc>
        <w:tc>
          <w:tcPr>
            <w:tcW w:w="132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必需脂肪酸/%</w:t>
            </w:r>
          </w:p>
        </w:tc>
      </w:tr>
      <w:tr>
        <w:tblPrEx>
          <w:tblCellMar>
            <w:top w:w="0" w:type="dxa"/>
            <w:left w:w="0" w:type="dxa"/>
            <w:bottom w:w="0" w:type="dxa"/>
            <w:right w:w="0" w:type="dxa"/>
          </w:tblCellMar>
        </w:tblPrEx>
        <w:trPr>
          <w:trHeight w:val="600" w:hRule="atLeast"/>
          <w:jc w:val="center"/>
        </w:trPr>
        <w:tc>
          <w:tcPr>
            <w:tcW w:w="0" w:type="auto"/>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一级</w:t>
            </w:r>
          </w:p>
        </w:tc>
        <w:tc>
          <w:tcPr>
            <w:tcW w:w="0" w:type="auto"/>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6.0-6.5</w:t>
            </w:r>
          </w:p>
        </w:tc>
        <w:tc>
          <w:tcPr>
            <w:tcW w:w="0" w:type="auto"/>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w:t>
            </w:r>
          </w:p>
        </w:tc>
        <w:tc>
          <w:tcPr>
            <w:tcW w:w="0" w:type="auto"/>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3.0-3.5</w:t>
            </w:r>
          </w:p>
        </w:tc>
        <w:tc>
          <w:tcPr>
            <w:tcW w:w="0" w:type="auto"/>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1.0-2.5</w:t>
            </w:r>
          </w:p>
        </w:tc>
        <w:tc>
          <w:tcPr>
            <w:tcW w:w="0" w:type="auto"/>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≥65.0</w:t>
            </w:r>
          </w:p>
        </w:tc>
        <w:tc>
          <w:tcPr>
            <w:tcW w:w="0" w:type="auto"/>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4.0-4.5</w:t>
            </w:r>
          </w:p>
        </w:tc>
        <w:tc>
          <w:tcPr>
            <w:tcW w:w="11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≥3.5</w:t>
            </w:r>
          </w:p>
        </w:tc>
        <w:tc>
          <w:tcPr>
            <w:tcW w:w="153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≥20.0</w:t>
            </w:r>
          </w:p>
        </w:tc>
        <w:tc>
          <w:tcPr>
            <w:tcW w:w="0" w:type="auto"/>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≥10.0</w:t>
            </w:r>
          </w:p>
        </w:tc>
      </w:tr>
      <w:tr>
        <w:tblPrEx>
          <w:tblCellMar>
            <w:top w:w="0" w:type="dxa"/>
            <w:left w:w="0" w:type="dxa"/>
            <w:bottom w:w="0" w:type="dxa"/>
            <w:right w:w="0" w:type="dxa"/>
          </w:tblCellMar>
        </w:tblPrEx>
        <w:trPr>
          <w:trHeight w:val="600" w:hRule="atLeast"/>
          <w:jc w:val="center"/>
        </w:trPr>
        <w:tc>
          <w:tcPr>
            <w:tcW w:w="0" w:type="auto"/>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二级</w:t>
            </w:r>
          </w:p>
        </w:tc>
        <w:tc>
          <w:tcPr>
            <w:tcW w:w="0" w:type="auto"/>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6.0-6.5</w:t>
            </w:r>
          </w:p>
        </w:tc>
        <w:tc>
          <w:tcPr>
            <w:tcW w:w="0" w:type="auto"/>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4</w:t>
            </w:r>
          </w:p>
        </w:tc>
        <w:tc>
          <w:tcPr>
            <w:tcW w:w="0" w:type="auto"/>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3.6-5.0</w:t>
            </w:r>
          </w:p>
        </w:tc>
        <w:tc>
          <w:tcPr>
            <w:tcW w:w="0" w:type="auto"/>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2.6-3.5</w:t>
            </w:r>
          </w:p>
        </w:tc>
        <w:tc>
          <w:tcPr>
            <w:tcW w:w="0" w:type="auto"/>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62.0-64.9</w:t>
            </w:r>
          </w:p>
        </w:tc>
        <w:tc>
          <w:tcPr>
            <w:tcW w:w="0" w:type="auto"/>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3.0-3.9</w:t>
            </w:r>
          </w:p>
        </w:tc>
        <w:tc>
          <w:tcPr>
            <w:tcW w:w="11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3.0-3.4</w:t>
            </w:r>
          </w:p>
        </w:tc>
        <w:tc>
          <w:tcPr>
            <w:tcW w:w="153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12.1-19.9</w:t>
            </w:r>
          </w:p>
        </w:tc>
        <w:tc>
          <w:tcPr>
            <w:tcW w:w="0" w:type="auto"/>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7.5-9.9</w:t>
            </w:r>
          </w:p>
        </w:tc>
      </w:tr>
      <w:tr>
        <w:tblPrEx>
          <w:tblCellMar>
            <w:top w:w="0" w:type="dxa"/>
            <w:left w:w="0" w:type="dxa"/>
            <w:bottom w:w="0" w:type="dxa"/>
            <w:right w:w="0" w:type="dxa"/>
          </w:tblCellMar>
        </w:tblPrEx>
        <w:trPr>
          <w:trHeight w:val="600" w:hRule="atLeast"/>
          <w:jc w:val="center"/>
        </w:trPr>
        <w:tc>
          <w:tcPr>
            <w:tcW w:w="0" w:type="auto"/>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三级</w:t>
            </w:r>
          </w:p>
        </w:tc>
        <w:tc>
          <w:tcPr>
            <w:tcW w:w="0" w:type="auto"/>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6.0-6.5</w:t>
            </w:r>
          </w:p>
        </w:tc>
        <w:tc>
          <w:tcPr>
            <w:tcW w:w="0" w:type="auto"/>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2和5</w:t>
            </w:r>
          </w:p>
        </w:tc>
        <w:tc>
          <w:tcPr>
            <w:tcW w:w="0" w:type="auto"/>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5.1-6.5</w:t>
            </w:r>
          </w:p>
        </w:tc>
        <w:tc>
          <w:tcPr>
            <w:tcW w:w="0" w:type="auto"/>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3.6-5.0</w:t>
            </w:r>
          </w:p>
        </w:tc>
        <w:tc>
          <w:tcPr>
            <w:tcW w:w="0" w:type="auto"/>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56.0-61.9</w:t>
            </w:r>
          </w:p>
        </w:tc>
        <w:tc>
          <w:tcPr>
            <w:tcW w:w="0" w:type="auto"/>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2.0-2.9</w:t>
            </w:r>
          </w:p>
        </w:tc>
        <w:tc>
          <w:tcPr>
            <w:tcW w:w="11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2.5-2.9</w:t>
            </w:r>
          </w:p>
        </w:tc>
        <w:tc>
          <w:tcPr>
            <w:tcW w:w="153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7.1-12.0</w:t>
            </w:r>
          </w:p>
        </w:tc>
        <w:tc>
          <w:tcPr>
            <w:tcW w:w="0" w:type="auto"/>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6.1-7.4</w:t>
            </w:r>
          </w:p>
        </w:tc>
      </w:tr>
      <w:tr>
        <w:tblPrEx>
          <w:tblCellMar>
            <w:top w:w="0" w:type="dxa"/>
            <w:left w:w="0" w:type="dxa"/>
            <w:bottom w:w="0" w:type="dxa"/>
            <w:right w:w="0" w:type="dxa"/>
          </w:tblCellMar>
        </w:tblPrEx>
        <w:trPr>
          <w:trHeight w:val="600" w:hRule="atLeast"/>
          <w:jc w:val="center"/>
        </w:trPr>
        <w:tc>
          <w:tcPr>
            <w:tcW w:w="0" w:type="auto"/>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等外级</w:t>
            </w:r>
          </w:p>
        </w:tc>
        <w:tc>
          <w:tcPr>
            <w:tcW w:w="0" w:type="auto"/>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≤5.9</w:t>
            </w:r>
          </w:p>
        </w:tc>
        <w:tc>
          <w:tcPr>
            <w:tcW w:w="0" w:type="auto"/>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1和6</w:t>
            </w:r>
          </w:p>
        </w:tc>
        <w:tc>
          <w:tcPr>
            <w:tcW w:w="0" w:type="auto"/>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≥6.6</w:t>
            </w:r>
          </w:p>
        </w:tc>
        <w:tc>
          <w:tcPr>
            <w:tcW w:w="0" w:type="auto"/>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≥5.1</w:t>
            </w:r>
          </w:p>
        </w:tc>
        <w:tc>
          <w:tcPr>
            <w:tcW w:w="0" w:type="auto"/>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≤55.9</w:t>
            </w:r>
          </w:p>
        </w:tc>
        <w:tc>
          <w:tcPr>
            <w:tcW w:w="0" w:type="auto"/>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hint="eastAsia" w:ascii="宋体" w:hAnsi="宋体" w:eastAsia="宋体" w:cs="宋体"/>
                <w:i w:val="0"/>
                <w:color w:val="000000"/>
                <w:sz w:val="21"/>
                <w:szCs w:val="21"/>
                <w:u w:val="none"/>
              </w:rPr>
            </w:pPr>
            <w:r>
              <w:rPr>
                <w:rFonts w:hint="eastAsia" w:ascii="宋体" w:hAnsi="宋体" w:eastAsia="宋体" w:cs="宋体"/>
                <w:i w:val="0"/>
                <w:color w:val="000000"/>
                <w:kern w:val="0"/>
                <w:sz w:val="21"/>
                <w:szCs w:val="21"/>
                <w:u w:val="none"/>
                <w:lang w:val="en-US" w:eastAsia="zh-CN" w:bidi="ar"/>
              </w:rPr>
              <w:t>≤1.9</w:t>
            </w:r>
          </w:p>
        </w:tc>
        <w:tc>
          <w:tcPr>
            <w:tcW w:w="1140"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≤2.4</w:t>
            </w:r>
          </w:p>
        </w:tc>
        <w:tc>
          <w:tcPr>
            <w:tcW w:w="153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≤7.0</w:t>
            </w:r>
          </w:p>
        </w:tc>
        <w:tc>
          <w:tcPr>
            <w:tcW w:w="0" w:type="auto"/>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pPr>
              <w:keepNext w:val="0"/>
              <w:keepLines w:val="0"/>
              <w:widowControl/>
              <w:suppressLineNumbers w:val="0"/>
              <w:jc w:val="center"/>
              <w:textAlignment w:val="center"/>
              <w:rPr>
                <w:rFonts w:hint="default" w:ascii="宋体" w:hAnsi="宋体" w:eastAsia="宋体" w:cs="宋体"/>
                <w:i w:val="0"/>
                <w:color w:val="000000"/>
                <w:sz w:val="21"/>
                <w:szCs w:val="21"/>
                <w:u w:val="none"/>
                <w:lang w:val="en-US"/>
              </w:rPr>
            </w:pPr>
            <w:r>
              <w:rPr>
                <w:rFonts w:hint="eastAsia" w:ascii="宋体" w:hAnsi="宋体" w:eastAsia="宋体" w:cs="宋体"/>
                <w:i w:val="0"/>
                <w:color w:val="000000"/>
                <w:kern w:val="0"/>
                <w:sz w:val="21"/>
                <w:szCs w:val="21"/>
                <w:u w:val="none"/>
                <w:lang w:val="en-US" w:eastAsia="zh-CN" w:bidi="ar"/>
              </w:rPr>
              <w:t>≤6.0</w:t>
            </w:r>
          </w:p>
        </w:tc>
      </w:tr>
    </w:tbl>
    <w:p>
      <w:pPr>
        <w:pStyle w:val="10"/>
        <w:keepNext w:val="0"/>
        <w:keepLines w:val="0"/>
        <w:pageBreakBefore w:val="0"/>
        <w:kinsoku/>
        <w:wordWrap/>
        <w:overflowPunct/>
        <w:topLinePunct w:val="0"/>
        <w:bidi w:val="0"/>
        <w:spacing w:line="360" w:lineRule="auto"/>
        <w:ind w:firstLine="0" w:firstLineChars="0"/>
        <w:textAlignment w:val="auto"/>
        <w:outlineLvl w:val="1"/>
        <w:rPr>
          <w:rFonts w:hint="eastAsia" w:ascii="黑体" w:hAnsi="黑体" w:eastAsia="黑体" w:cs="黑体"/>
          <w:b w:val="0"/>
          <w:bCs w:val="0"/>
          <w:sz w:val="24"/>
          <w:lang w:eastAsia="zh-CN"/>
        </w:rPr>
      </w:pPr>
      <w:r>
        <w:rPr>
          <w:rFonts w:hint="eastAsia" w:ascii="黑体" w:hAnsi="黑体" w:eastAsia="黑体" w:cs="黑体"/>
          <w:b w:val="0"/>
          <w:bCs w:val="0"/>
          <w:sz w:val="24"/>
          <w:lang w:val="en-US" w:eastAsia="zh-CN"/>
        </w:rPr>
        <w:t>七、</w:t>
      </w:r>
      <w:r>
        <w:rPr>
          <w:rFonts w:hint="eastAsia" w:ascii="黑体" w:hAnsi="黑体" w:eastAsia="黑体" w:cs="黑体"/>
          <w:b w:val="0"/>
          <w:bCs w:val="0"/>
          <w:sz w:val="24"/>
        </w:rPr>
        <w:t>预期经济</w:t>
      </w:r>
      <w:r>
        <w:rPr>
          <w:rFonts w:hint="eastAsia" w:ascii="黑体" w:hAnsi="黑体" w:eastAsia="黑体" w:cs="黑体"/>
          <w:b w:val="0"/>
          <w:bCs w:val="0"/>
          <w:sz w:val="24"/>
          <w:lang w:val="en-US" w:eastAsia="zh-CN"/>
        </w:rPr>
        <w:t>及社会效益</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sz w:val="24"/>
          <w:szCs w:val="24"/>
        </w:rPr>
      </w:pPr>
      <w:r>
        <w:rPr>
          <w:rFonts w:hint="eastAsia" w:ascii="宋体" w:hAnsi="宋体"/>
          <w:sz w:val="24"/>
          <w:szCs w:val="24"/>
        </w:rPr>
        <w:t>适度规模化是</w:t>
      </w:r>
      <w:r>
        <w:rPr>
          <w:rFonts w:hint="eastAsia" w:ascii="宋体" w:hAnsi="宋体"/>
          <w:sz w:val="24"/>
          <w:szCs w:val="24"/>
          <w:lang w:eastAsia="zh-CN"/>
        </w:rPr>
        <w:t>土猪产业</w:t>
      </w:r>
      <w:r>
        <w:rPr>
          <w:rFonts w:hint="eastAsia" w:ascii="宋体" w:hAnsi="宋体"/>
          <w:sz w:val="24"/>
          <w:szCs w:val="24"/>
        </w:rPr>
        <w:t>发展</w:t>
      </w:r>
      <w:r>
        <w:rPr>
          <w:rFonts w:hint="eastAsia" w:ascii="宋体" w:hAnsi="宋体"/>
          <w:sz w:val="24"/>
          <w:szCs w:val="24"/>
          <w:lang w:eastAsia="zh-CN"/>
        </w:rPr>
        <w:t>大方向</w:t>
      </w:r>
      <w:r>
        <w:rPr>
          <w:rFonts w:hint="eastAsia" w:ascii="宋体" w:hAnsi="宋体"/>
          <w:sz w:val="24"/>
          <w:szCs w:val="24"/>
        </w:rPr>
        <w:t>，但因未</w:t>
      </w:r>
      <w:r>
        <w:rPr>
          <w:rFonts w:hint="eastAsia" w:ascii="宋体" w:hAnsi="宋体"/>
          <w:sz w:val="24"/>
          <w:szCs w:val="24"/>
          <w:lang w:eastAsia="zh-CN"/>
        </w:rPr>
        <w:t>采用</w:t>
      </w:r>
      <w:r>
        <w:rPr>
          <w:rFonts w:hint="eastAsia" w:ascii="宋体" w:hAnsi="宋体"/>
          <w:sz w:val="24"/>
          <w:szCs w:val="24"/>
        </w:rPr>
        <w:t>科学的方法手段</w:t>
      </w:r>
      <w:r>
        <w:rPr>
          <w:rFonts w:hint="eastAsia" w:ascii="宋体" w:hAnsi="宋体"/>
          <w:sz w:val="24"/>
          <w:szCs w:val="24"/>
          <w:lang w:eastAsia="zh-CN"/>
        </w:rPr>
        <w:t>，建立</w:t>
      </w:r>
      <w:r>
        <w:rPr>
          <w:rFonts w:hint="eastAsia" w:ascii="宋体" w:hAnsi="宋体"/>
          <w:sz w:val="24"/>
          <w:szCs w:val="24"/>
        </w:rPr>
        <w:t>可量化的</w:t>
      </w:r>
      <w:r>
        <w:rPr>
          <w:rFonts w:hint="eastAsia" w:ascii="宋体" w:hAnsi="宋体"/>
          <w:sz w:val="24"/>
          <w:szCs w:val="24"/>
          <w:lang w:eastAsia="zh-CN"/>
        </w:rPr>
        <w:t>土猪</w:t>
      </w:r>
      <w:r>
        <w:rPr>
          <w:rFonts w:hint="eastAsia" w:ascii="宋体" w:hAnsi="宋体"/>
          <w:sz w:val="24"/>
          <w:szCs w:val="24"/>
        </w:rPr>
        <w:t>肉质</w:t>
      </w:r>
      <w:r>
        <w:rPr>
          <w:rFonts w:hint="eastAsia" w:ascii="宋体" w:hAnsi="宋体"/>
          <w:sz w:val="24"/>
          <w:szCs w:val="24"/>
          <w:lang w:eastAsia="zh-CN"/>
        </w:rPr>
        <w:t>等级</w:t>
      </w:r>
      <w:r>
        <w:rPr>
          <w:rFonts w:hint="eastAsia" w:ascii="宋体" w:hAnsi="宋体"/>
          <w:sz w:val="24"/>
          <w:szCs w:val="24"/>
        </w:rPr>
        <w:t>评价</w:t>
      </w:r>
      <w:r>
        <w:rPr>
          <w:rFonts w:hint="eastAsia" w:ascii="宋体" w:hAnsi="宋体"/>
          <w:sz w:val="24"/>
          <w:szCs w:val="24"/>
          <w:lang w:eastAsia="zh-CN"/>
        </w:rPr>
        <w:t>标准</w:t>
      </w:r>
      <w:r>
        <w:rPr>
          <w:rFonts w:hint="eastAsia" w:ascii="宋体" w:hAnsi="宋体"/>
          <w:sz w:val="24"/>
          <w:szCs w:val="24"/>
        </w:rPr>
        <w:t>，使得</w:t>
      </w:r>
      <w:r>
        <w:rPr>
          <w:rFonts w:hint="eastAsia" w:ascii="宋体" w:hAnsi="宋体"/>
          <w:sz w:val="24"/>
          <w:szCs w:val="24"/>
          <w:lang w:eastAsia="zh-CN"/>
        </w:rPr>
        <w:t>在市场、行业中土</w:t>
      </w:r>
      <w:r>
        <w:rPr>
          <w:rFonts w:hint="eastAsia" w:ascii="宋体" w:hAnsi="宋体"/>
          <w:sz w:val="24"/>
          <w:szCs w:val="24"/>
        </w:rPr>
        <w:t>猪品质</w:t>
      </w:r>
      <w:r>
        <w:rPr>
          <w:rFonts w:hint="eastAsia" w:ascii="宋体" w:hAnsi="宋体"/>
          <w:sz w:val="24"/>
          <w:szCs w:val="24"/>
          <w:lang w:eastAsia="zh-CN"/>
        </w:rPr>
        <w:t>难得到合理优化</w:t>
      </w:r>
      <w:r>
        <w:rPr>
          <w:rFonts w:hint="eastAsia" w:ascii="宋体" w:hAnsi="宋体"/>
          <w:sz w:val="24"/>
          <w:szCs w:val="24"/>
        </w:rPr>
        <w:t>，品牌打造难以突破，严重阻碍了</w:t>
      </w:r>
      <w:r>
        <w:rPr>
          <w:rFonts w:hint="eastAsia" w:ascii="宋体" w:hAnsi="宋体"/>
          <w:sz w:val="24"/>
          <w:szCs w:val="24"/>
          <w:lang w:val="en-US" w:eastAsia="zh-CN"/>
        </w:rPr>
        <w:t>土猪</w:t>
      </w:r>
      <w:r>
        <w:rPr>
          <w:rFonts w:hint="eastAsia" w:ascii="宋体" w:hAnsi="宋体"/>
          <w:sz w:val="24"/>
          <w:szCs w:val="24"/>
        </w:rPr>
        <w:t>资源经济价值的发挥。</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s="宋体"/>
          <w:bCs/>
          <w:sz w:val="24"/>
          <w:szCs w:val="24"/>
        </w:rPr>
      </w:pPr>
      <w:r>
        <w:rPr>
          <w:rFonts w:hint="eastAsia" w:ascii="宋体" w:hAnsi="宋体" w:cs="宋体"/>
          <w:bCs/>
          <w:sz w:val="24"/>
          <w:szCs w:val="24"/>
          <w:lang w:val="en-US" w:eastAsia="zh-CN"/>
        </w:rPr>
        <w:t>同时，</w:t>
      </w:r>
      <w:r>
        <w:rPr>
          <w:rFonts w:hint="eastAsia" w:ascii="宋体" w:hAnsi="宋体" w:cs="宋体"/>
          <w:bCs/>
          <w:sz w:val="24"/>
          <w:szCs w:val="24"/>
        </w:rPr>
        <w:t>饲养成本高是</w:t>
      </w:r>
      <w:r>
        <w:rPr>
          <w:rFonts w:hint="eastAsia" w:ascii="宋体" w:hAnsi="宋体" w:cs="宋体"/>
          <w:bCs/>
          <w:sz w:val="24"/>
          <w:szCs w:val="24"/>
          <w:lang w:eastAsia="zh-CN"/>
        </w:rPr>
        <w:t>土</w:t>
      </w:r>
      <w:r>
        <w:rPr>
          <w:rFonts w:hint="eastAsia" w:ascii="宋体" w:hAnsi="宋体" w:cs="宋体"/>
          <w:bCs/>
          <w:sz w:val="24"/>
          <w:szCs w:val="24"/>
        </w:rPr>
        <w:t>猪养殖</w:t>
      </w:r>
      <w:r>
        <w:rPr>
          <w:rFonts w:hint="eastAsia" w:ascii="宋体" w:hAnsi="宋体" w:cs="宋体"/>
          <w:bCs/>
          <w:sz w:val="24"/>
          <w:szCs w:val="24"/>
          <w:lang w:eastAsia="zh-CN"/>
        </w:rPr>
        <w:t>业</w:t>
      </w:r>
      <w:r>
        <w:rPr>
          <w:rFonts w:hint="eastAsia" w:ascii="宋体" w:hAnsi="宋体" w:cs="宋体"/>
          <w:bCs/>
          <w:sz w:val="24"/>
          <w:szCs w:val="24"/>
        </w:rPr>
        <w:t>面临</w:t>
      </w:r>
      <w:r>
        <w:rPr>
          <w:rFonts w:hint="eastAsia" w:ascii="宋体" w:hAnsi="宋体" w:cs="宋体"/>
          <w:bCs/>
          <w:sz w:val="24"/>
          <w:szCs w:val="24"/>
          <w:lang w:eastAsia="zh-CN"/>
        </w:rPr>
        <w:t>瓶颈问题</w:t>
      </w:r>
      <w:r>
        <w:rPr>
          <w:rFonts w:hint="eastAsia" w:ascii="宋体" w:hAnsi="宋体" w:cs="宋体"/>
          <w:bCs/>
          <w:sz w:val="24"/>
          <w:szCs w:val="24"/>
        </w:rPr>
        <w:t>，造成这一难题的技术原因，</w:t>
      </w:r>
      <w:r>
        <w:rPr>
          <w:rFonts w:hint="eastAsia" w:ascii="宋体" w:hAnsi="宋体" w:cs="宋体"/>
          <w:bCs/>
          <w:sz w:val="24"/>
          <w:szCs w:val="24"/>
          <w:lang w:eastAsia="zh-CN"/>
        </w:rPr>
        <w:t>主要是由于黑毛土</w:t>
      </w:r>
      <w:r>
        <w:rPr>
          <w:rFonts w:hint="eastAsia" w:ascii="宋体" w:hAnsi="宋体" w:cs="宋体"/>
          <w:bCs/>
          <w:sz w:val="24"/>
          <w:szCs w:val="24"/>
        </w:rPr>
        <w:t>猪肉品质</w:t>
      </w:r>
      <w:r>
        <w:rPr>
          <w:rFonts w:hint="eastAsia" w:ascii="宋体" w:hAnsi="宋体" w:cs="宋体"/>
          <w:bCs/>
          <w:sz w:val="24"/>
          <w:szCs w:val="24"/>
          <w:lang w:eastAsia="zh-CN"/>
        </w:rPr>
        <w:t>分级</w:t>
      </w:r>
      <w:r>
        <w:rPr>
          <w:rFonts w:hint="eastAsia" w:ascii="宋体" w:hAnsi="宋体" w:cs="宋体"/>
          <w:bCs/>
          <w:sz w:val="24"/>
          <w:szCs w:val="24"/>
        </w:rPr>
        <w:t>标准的缺失</w:t>
      </w:r>
      <w:r>
        <w:rPr>
          <w:rFonts w:hint="eastAsia" w:ascii="宋体" w:hAnsi="宋体" w:cs="宋体"/>
          <w:bCs/>
          <w:sz w:val="24"/>
          <w:szCs w:val="24"/>
          <w:lang w:eastAsia="zh-CN"/>
        </w:rPr>
        <w:t>，</w:t>
      </w:r>
      <w:r>
        <w:rPr>
          <w:rFonts w:hint="eastAsia" w:ascii="宋体" w:hAnsi="宋体" w:cs="宋体"/>
          <w:bCs/>
          <w:sz w:val="24"/>
          <w:szCs w:val="24"/>
        </w:rPr>
        <w:t>制约养殖方案的优化，造成饲料投入浪费。</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sz w:val="24"/>
        </w:rPr>
      </w:pPr>
      <w:r>
        <w:rPr>
          <w:sz w:val="24"/>
        </w:rPr>
        <w:t>通过本标准的制定和贯彻执行，</w:t>
      </w:r>
      <w:r>
        <w:rPr>
          <w:rFonts w:hint="eastAsia" w:ascii="宋体" w:hAnsi="宋体" w:cs="宋体"/>
          <w:bCs/>
          <w:sz w:val="24"/>
          <w:szCs w:val="24"/>
          <w:lang w:eastAsia="zh-CN"/>
        </w:rPr>
        <w:t>创建土猪肉</w:t>
      </w:r>
      <w:r>
        <w:rPr>
          <w:rFonts w:hint="eastAsia" w:ascii="宋体" w:hAnsi="宋体" w:cs="宋体"/>
          <w:bCs/>
          <w:sz w:val="24"/>
          <w:szCs w:val="24"/>
        </w:rPr>
        <w:t>品质</w:t>
      </w:r>
      <w:r>
        <w:rPr>
          <w:rFonts w:hint="eastAsia" w:ascii="宋体" w:hAnsi="宋体" w:cs="宋体"/>
          <w:bCs/>
          <w:sz w:val="24"/>
          <w:szCs w:val="24"/>
          <w:lang w:eastAsia="zh-CN"/>
        </w:rPr>
        <w:t>分级评价量化标准</w:t>
      </w:r>
      <w:r>
        <w:rPr>
          <w:rFonts w:hint="eastAsia" w:ascii="宋体" w:hAnsi="宋体" w:cs="宋体"/>
          <w:bCs/>
          <w:sz w:val="24"/>
          <w:szCs w:val="24"/>
        </w:rPr>
        <w:t>，</w:t>
      </w:r>
      <w:r>
        <w:rPr>
          <w:rFonts w:hint="eastAsia" w:ascii="宋体" w:hAnsi="宋体" w:cs="宋体"/>
          <w:bCs/>
          <w:sz w:val="24"/>
          <w:szCs w:val="24"/>
          <w:lang w:val="en-US" w:eastAsia="zh-CN"/>
        </w:rPr>
        <w:t>做到肉质指标的量化比较，形成优质优价；</w:t>
      </w:r>
      <w:r>
        <w:rPr>
          <w:rFonts w:hint="eastAsia" w:ascii="宋体" w:hAnsi="宋体" w:cs="宋体"/>
          <w:bCs/>
          <w:sz w:val="24"/>
          <w:szCs w:val="24"/>
          <w:lang w:eastAsia="zh-CN"/>
        </w:rPr>
        <w:t>后期</w:t>
      </w:r>
      <w:r>
        <w:rPr>
          <w:rFonts w:hint="eastAsia" w:ascii="宋体" w:hAnsi="宋体" w:cs="宋体"/>
          <w:bCs/>
          <w:sz w:val="24"/>
          <w:szCs w:val="24"/>
          <w:lang w:val="en-US" w:eastAsia="zh-CN"/>
        </w:rPr>
        <w:t>也</w:t>
      </w:r>
      <w:r>
        <w:rPr>
          <w:rFonts w:hint="eastAsia" w:ascii="宋体" w:hAnsi="宋体" w:cs="宋体"/>
          <w:bCs/>
          <w:sz w:val="24"/>
          <w:szCs w:val="24"/>
          <w:lang w:eastAsia="zh-CN"/>
        </w:rPr>
        <w:t>可</w:t>
      </w:r>
      <w:r>
        <w:rPr>
          <w:rFonts w:hint="eastAsia" w:ascii="宋体" w:hAnsi="宋体" w:cs="宋体"/>
          <w:bCs/>
          <w:sz w:val="24"/>
          <w:szCs w:val="24"/>
        </w:rPr>
        <w:t>根据</w:t>
      </w:r>
      <w:r>
        <w:rPr>
          <w:rFonts w:hint="eastAsia" w:ascii="宋体" w:hAnsi="宋体" w:cs="宋体"/>
          <w:bCs/>
          <w:sz w:val="24"/>
          <w:szCs w:val="24"/>
          <w:lang w:eastAsia="zh-CN"/>
        </w:rPr>
        <w:t>肉</w:t>
      </w:r>
      <w:r>
        <w:rPr>
          <w:rFonts w:hint="eastAsia" w:ascii="宋体" w:hAnsi="宋体" w:cs="宋体"/>
          <w:bCs/>
          <w:sz w:val="24"/>
          <w:szCs w:val="24"/>
        </w:rPr>
        <w:t>品质</w:t>
      </w:r>
      <w:r>
        <w:rPr>
          <w:rFonts w:hint="eastAsia" w:ascii="宋体" w:hAnsi="宋体" w:cs="宋体"/>
          <w:bCs/>
          <w:sz w:val="24"/>
          <w:szCs w:val="24"/>
          <w:lang w:eastAsia="zh-CN"/>
        </w:rPr>
        <w:t>等级评价</w:t>
      </w:r>
      <w:r>
        <w:rPr>
          <w:rFonts w:hint="eastAsia" w:ascii="宋体" w:hAnsi="宋体" w:cs="宋体"/>
          <w:bCs/>
          <w:sz w:val="24"/>
          <w:szCs w:val="24"/>
        </w:rPr>
        <w:t>需要，建立</w:t>
      </w:r>
      <w:r>
        <w:rPr>
          <w:rFonts w:hint="eastAsia" w:ascii="宋体" w:hAnsi="宋体" w:cs="宋体"/>
          <w:bCs/>
          <w:sz w:val="24"/>
          <w:szCs w:val="24"/>
          <w:lang w:eastAsia="zh-CN"/>
        </w:rPr>
        <w:t>相应的营养需求平衡关系</w:t>
      </w:r>
      <w:r>
        <w:rPr>
          <w:rFonts w:hint="eastAsia" w:ascii="宋体" w:hAnsi="宋体" w:cs="宋体"/>
          <w:bCs/>
          <w:sz w:val="24"/>
          <w:szCs w:val="24"/>
        </w:rPr>
        <w:t>，降低</w:t>
      </w:r>
      <w:r>
        <w:rPr>
          <w:rFonts w:hint="eastAsia" w:ascii="宋体" w:hAnsi="宋体" w:cs="宋体"/>
          <w:bCs/>
          <w:sz w:val="24"/>
          <w:szCs w:val="24"/>
          <w:lang w:eastAsia="zh-CN"/>
        </w:rPr>
        <w:t>土</w:t>
      </w:r>
      <w:r>
        <w:rPr>
          <w:rFonts w:hint="eastAsia" w:ascii="宋体" w:hAnsi="宋体" w:cs="宋体"/>
          <w:bCs/>
          <w:sz w:val="24"/>
          <w:szCs w:val="24"/>
        </w:rPr>
        <w:t>猪养殖成本</w:t>
      </w:r>
      <w:r>
        <w:rPr>
          <w:rFonts w:hint="eastAsia" w:ascii="宋体" w:hAnsi="宋体" w:cs="宋体"/>
          <w:bCs/>
          <w:sz w:val="24"/>
          <w:szCs w:val="24"/>
          <w:lang w:eastAsia="zh-CN"/>
        </w:rPr>
        <w:t>，</w:t>
      </w:r>
      <w:r>
        <w:rPr>
          <w:rFonts w:hint="eastAsia" w:ascii="宋体" w:hAnsi="宋体" w:cs="宋体"/>
          <w:bCs/>
          <w:sz w:val="24"/>
          <w:szCs w:val="24"/>
          <w:lang w:val="en-US" w:eastAsia="zh-CN"/>
        </w:rPr>
        <w:t>提高养殖经济效益，真正成为农户带动脱贫的优良素材，也为贵州优质猪肉的生产及最终“黔猪出山”作出贡献。</w:t>
      </w:r>
    </w:p>
    <w:p>
      <w:pPr>
        <w:pStyle w:val="6"/>
        <w:keepNext w:val="0"/>
        <w:keepLines w:val="0"/>
        <w:pageBreakBefore w:val="0"/>
        <w:widowControl/>
        <w:kinsoku/>
        <w:wordWrap/>
        <w:overflowPunct/>
        <w:topLinePunct w:val="0"/>
        <w:bidi w:val="0"/>
        <w:adjustRightInd/>
        <w:snapToGrid/>
        <w:spacing w:before="0" w:beforeAutospacing="0" w:after="0" w:afterAutospacing="0" w:line="360" w:lineRule="auto"/>
        <w:textAlignment w:val="auto"/>
        <w:rPr>
          <w:rFonts w:hint="eastAsia" w:ascii="黑体" w:hAnsi="黑体" w:eastAsia="黑体" w:cs="黑体"/>
          <w:sz w:val="24"/>
          <w:szCs w:val="24"/>
        </w:rPr>
      </w:pPr>
      <w:r>
        <w:rPr>
          <w:rFonts w:hint="eastAsia" w:ascii="黑体" w:hAnsi="黑体" w:eastAsia="黑体" w:cs="黑体"/>
          <w:sz w:val="24"/>
          <w:szCs w:val="24"/>
          <w:lang w:val="en-US" w:eastAsia="zh-CN"/>
        </w:rPr>
        <w:t>八、</w:t>
      </w:r>
      <w:r>
        <w:rPr>
          <w:rFonts w:hint="eastAsia" w:ascii="黑体" w:hAnsi="黑体" w:eastAsia="黑体" w:cs="黑体"/>
          <w:sz w:val="24"/>
          <w:szCs w:val="24"/>
        </w:rPr>
        <w:t>重大意见分歧的处理依据和结果</w:t>
      </w:r>
    </w:p>
    <w:p>
      <w:pPr>
        <w:pStyle w:val="10"/>
        <w:keepNext w:val="0"/>
        <w:keepLines w:val="0"/>
        <w:pageBreakBefore w:val="0"/>
        <w:widowControl/>
        <w:kinsoku/>
        <w:wordWrap/>
        <w:overflowPunct/>
        <w:topLinePunct w:val="0"/>
        <w:autoSpaceDE w:val="0"/>
        <w:autoSpaceDN w:val="0"/>
        <w:bidi w:val="0"/>
        <w:adjustRightInd/>
        <w:snapToGrid/>
        <w:spacing w:line="360" w:lineRule="auto"/>
        <w:ind w:firstLine="480" w:firstLineChars="200"/>
        <w:textAlignment w:val="auto"/>
        <w:outlineLvl w:val="0"/>
        <w:rPr>
          <w:rFonts w:hint="default"/>
          <w:sz w:val="24"/>
          <w:lang w:val="en-US" w:eastAsia="zh-CN"/>
        </w:rPr>
      </w:pPr>
      <w:r>
        <w:rPr>
          <w:rFonts w:hint="eastAsia"/>
          <w:sz w:val="24"/>
          <w:lang w:val="en-US" w:eastAsia="zh-CN"/>
        </w:rPr>
        <w:t>在</w:t>
      </w:r>
      <w:r>
        <w:rPr>
          <w:sz w:val="24"/>
        </w:rPr>
        <w:t>本标准的制定</w:t>
      </w:r>
      <w:r>
        <w:rPr>
          <w:rFonts w:hint="eastAsia"/>
          <w:sz w:val="24"/>
          <w:lang w:val="en-US" w:eastAsia="zh-CN"/>
        </w:rPr>
        <w:t>过程中</w:t>
      </w:r>
      <w:r>
        <w:rPr>
          <w:sz w:val="24"/>
        </w:rPr>
        <w:t>，</w:t>
      </w:r>
      <w:r>
        <w:rPr>
          <w:rFonts w:hint="eastAsia"/>
          <w:sz w:val="24"/>
          <w:lang w:val="en-US" w:eastAsia="zh-CN"/>
        </w:rPr>
        <w:t>组织召开了专家研讨会，并咨询了多位省内行业专家及龙头企业核心技术人员意见</w:t>
      </w:r>
      <w:bookmarkStart w:id="0" w:name="_GoBack"/>
      <w:bookmarkEnd w:id="0"/>
      <w:r>
        <w:rPr>
          <w:rFonts w:hint="eastAsia"/>
          <w:sz w:val="24"/>
          <w:lang w:val="en-US" w:eastAsia="zh-CN"/>
        </w:rPr>
        <w:t>，现暂无重大意见分歧。</w:t>
      </w:r>
    </w:p>
    <w:p>
      <w:pPr>
        <w:pStyle w:val="10"/>
        <w:keepNext w:val="0"/>
        <w:keepLines w:val="0"/>
        <w:pageBreakBefore w:val="0"/>
        <w:kinsoku/>
        <w:wordWrap/>
        <w:overflowPunct/>
        <w:topLinePunct w:val="0"/>
        <w:bidi w:val="0"/>
        <w:spacing w:line="360" w:lineRule="auto"/>
        <w:ind w:firstLine="0" w:firstLineChars="0"/>
        <w:textAlignment w:val="auto"/>
        <w:outlineLvl w:val="0"/>
        <w:rPr>
          <w:rFonts w:ascii="Times New Roman" w:eastAsia="黑体"/>
          <w:kern w:val="2"/>
          <w:sz w:val="24"/>
          <w:szCs w:val="24"/>
        </w:rPr>
      </w:pPr>
      <w:r>
        <w:rPr>
          <w:rFonts w:hint="eastAsia" w:ascii="Times New Roman" w:eastAsia="黑体"/>
          <w:kern w:val="2"/>
          <w:sz w:val="24"/>
          <w:szCs w:val="24"/>
          <w:lang w:val="en-US" w:eastAsia="zh-CN"/>
        </w:rPr>
        <w:t>九</w:t>
      </w:r>
      <w:r>
        <w:rPr>
          <w:rFonts w:ascii="Times New Roman" w:eastAsia="黑体"/>
          <w:kern w:val="2"/>
          <w:sz w:val="24"/>
          <w:szCs w:val="24"/>
        </w:rPr>
        <w:t>、</w:t>
      </w:r>
      <w:r>
        <w:rPr>
          <w:rFonts w:hint="eastAsia" w:ascii="Times New Roman" w:eastAsia="黑体"/>
          <w:kern w:val="2"/>
          <w:sz w:val="24"/>
          <w:szCs w:val="24"/>
        </w:rPr>
        <w:t>采用国际标准和国外先进标准的程度</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cs="Times New Roman"/>
          <w:color w:val="000000"/>
          <w:sz w:val="24"/>
          <w:szCs w:val="24"/>
          <w:lang w:val="en-US" w:eastAsia="zh-CN"/>
        </w:rPr>
      </w:pPr>
      <w:r>
        <w:rPr>
          <w:rFonts w:hint="eastAsia" w:ascii="Times New Roman" w:hAnsi="Times New Roman" w:cs="Times New Roman"/>
          <w:color w:val="000000"/>
          <w:sz w:val="24"/>
          <w:szCs w:val="24"/>
          <w:lang w:val="en-US" w:eastAsia="zh-CN"/>
        </w:rPr>
        <w:t xml:space="preserve">GB 5009.124 </w:t>
      </w:r>
      <w:r>
        <w:rPr>
          <w:rFonts w:hint="default" w:ascii="Times New Roman" w:hAnsi="Times New Roman" w:cs="Times New Roman"/>
          <w:color w:val="000000"/>
          <w:sz w:val="24"/>
          <w:szCs w:val="24"/>
          <w:lang w:val="en-US" w:eastAsia="zh-CN"/>
        </w:rPr>
        <w:t>食品安全国家标准</w:t>
      </w:r>
      <w:r>
        <w:rPr>
          <w:rFonts w:hint="eastAsia" w:ascii="Times New Roman" w:hAnsi="Times New Roman" w:cs="Times New Roman"/>
          <w:color w:val="000000"/>
          <w:sz w:val="24"/>
          <w:szCs w:val="24"/>
          <w:lang w:val="en-US" w:eastAsia="zh-CN"/>
        </w:rPr>
        <w:t xml:space="preserve"> </w:t>
      </w:r>
      <w:r>
        <w:rPr>
          <w:rFonts w:hint="default" w:ascii="Times New Roman" w:hAnsi="Times New Roman" w:cs="Times New Roman"/>
          <w:color w:val="000000"/>
          <w:sz w:val="24"/>
          <w:szCs w:val="24"/>
          <w:lang w:val="en-US" w:eastAsia="zh-CN"/>
        </w:rPr>
        <w:t>食品中</w:t>
      </w:r>
      <w:r>
        <w:rPr>
          <w:rFonts w:hint="eastAsia" w:ascii="Times New Roman" w:hAnsi="Times New Roman" w:cs="Times New Roman"/>
          <w:color w:val="000000"/>
          <w:sz w:val="24"/>
          <w:szCs w:val="24"/>
          <w:lang w:val="en-US" w:eastAsia="zh-CN"/>
        </w:rPr>
        <w:t>脂肪酸的测定</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eastAsia="宋体"/>
          <w:sz w:val="24"/>
          <w:szCs w:val="24"/>
          <w:lang w:val="en-US" w:eastAsia="zh-CN"/>
        </w:rPr>
      </w:pPr>
      <w:r>
        <w:rPr>
          <w:rFonts w:hint="eastAsia" w:ascii="Times New Roman" w:hAnsi="Times New Roman" w:cs="Times New Roman"/>
          <w:color w:val="000000"/>
          <w:sz w:val="24"/>
          <w:szCs w:val="24"/>
          <w:lang w:val="en-US" w:eastAsia="zh-CN"/>
        </w:rPr>
        <w:t xml:space="preserve">GB 5009.168 </w:t>
      </w:r>
      <w:r>
        <w:rPr>
          <w:rFonts w:hint="default" w:ascii="Times New Roman" w:hAnsi="Times New Roman" w:cs="Times New Roman"/>
          <w:color w:val="000000"/>
          <w:sz w:val="24"/>
          <w:szCs w:val="24"/>
          <w:lang w:val="en-US" w:eastAsia="zh-CN"/>
        </w:rPr>
        <w:t>食品安全国家标准</w:t>
      </w:r>
      <w:r>
        <w:rPr>
          <w:rFonts w:hint="eastAsia" w:ascii="Times New Roman" w:hAnsi="Times New Roman" w:cs="Times New Roman"/>
          <w:color w:val="000000"/>
          <w:sz w:val="24"/>
          <w:szCs w:val="24"/>
          <w:lang w:val="en-US" w:eastAsia="zh-CN"/>
        </w:rPr>
        <w:t xml:space="preserve"> </w:t>
      </w:r>
      <w:r>
        <w:rPr>
          <w:rFonts w:hint="default" w:ascii="Times New Roman" w:hAnsi="Times New Roman" w:cs="Times New Roman"/>
          <w:color w:val="000000"/>
          <w:sz w:val="24"/>
          <w:szCs w:val="24"/>
          <w:lang w:val="en-US" w:eastAsia="zh-CN"/>
        </w:rPr>
        <w:t>食品中</w:t>
      </w:r>
      <w:r>
        <w:rPr>
          <w:rFonts w:hint="eastAsia" w:ascii="Times New Roman" w:hAnsi="Times New Roman" w:cs="Times New Roman"/>
          <w:color w:val="000000"/>
          <w:sz w:val="24"/>
          <w:szCs w:val="24"/>
          <w:lang w:val="en-US" w:eastAsia="zh-CN"/>
        </w:rPr>
        <w:t>脂肪酸的测定</w:t>
      </w: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cs="Times New Roman"/>
          <w:color w:val="000000"/>
          <w:sz w:val="24"/>
          <w:szCs w:val="24"/>
        </w:rPr>
      </w:pPr>
      <w:r>
        <w:rPr>
          <w:rFonts w:hint="eastAsia" w:ascii="Times New Roman" w:hAnsi="Times New Roman" w:cs="Times New Roman"/>
          <w:color w:val="000000"/>
          <w:sz w:val="24"/>
          <w:szCs w:val="24"/>
        </w:rPr>
        <w:t>GB</w:t>
      </w:r>
      <w:r>
        <w:rPr>
          <w:rFonts w:hint="eastAsia" w:ascii="Times New Roman" w:hAnsi="Times New Roman" w:cs="Times New Roman"/>
          <w:color w:val="000000"/>
          <w:sz w:val="24"/>
          <w:szCs w:val="24"/>
          <w:lang w:val="en-US" w:eastAsia="zh-CN"/>
        </w:rPr>
        <w:t xml:space="preserve"> </w:t>
      </w:r>
      <w:r>
        <w:rPr>
          <w:rFonts w:hint="eastAsia" w:ascii="Times New Roman" w:hAnsi="Times New Roman" w:cs="Times New Roman"/>
          <w:color w:val="000000"/>
          <w:sz w:val="24"/>
          <w:szCs w:val="24"/>
        </w:rPr>
        <w:t>31650</w:t>
      </w:r>
      <w:r>
        <w:rPr>
          <w:rFonts w:hint="eastAsia" w:ascii="Times New Roman" w:hAnsi="Times New Roman" w:cs="Times New Roman"/>
          <w:color w:val="000000"/>
          <w:sz w:val="24"/>
          <w:szCs w:val="24"/>
          <w:lang w:val="en-US" w:eastAsia="zh-CN"/>
        </w:rPr>
        <w:t xml:space="preserve"> </w:t>
      </w:r>
      <w:r>
        <w:rPr>
          <w:rFonts w:hint="default" w:ascii="Times New Roman" w:hAnsi="Times New Roman" w:cs="Times New Roman"/>
          <w:color w:val="000000"/>
          <w:sz w:val="24"/>
          <w:szCs w:val="24"/>
          <w:lang w:val="en-US" w:eastAsia="zh-CN"/>
        </w:rPr>
        <w:t>食品安全国家标准</w:t>
      </w:r>
      <w:r>
        <w:rPr>
          <w:rFonts w:hint="eastAsia" w:ascii="Times New Roman" w:hAnsi="Times New Roman" w:cs="Times New Roman"/>
          <w:color w:val="000000"/>
          <w:sz w:val="24"/>
          <w:szCs w:val="24"/>
          <w:lang w:val="en-US" w:eastAsia="zh-CN"/>
        </w:rPr>
        <w:t xml:space="preserve"> </w:t>
      </w:r>
      <w:r>
        <w:rPr>
          <w:rFonts w:hint="default" w:ascii="Times New Roman" w:hAnsi="Times New Roman" w:cs="Times New Roman"/>
          <w:color w:val="000000"/>
          <w:sz w:val="24"/>
          <w:szCs w:val="24"/>
          <w:lang w:val="en-US" w:eastAsia="zh-CN"/>
        </w:rPr>
        <w:t>食品中兽药最大残留限量</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cs="Times New Roman"/>
          <w:color w:val="000000"/>
          <w:sz w:val="24"/>
          <w:szCs w:val="24"/>
          <w:lang w:val="en-US" w:eastAsia="zh-CN"/>
        </w:rPr>
      </w:pPr>
      <w:r>
        <w:rPr>
          <w:rFonts w:hint="eastAsia" w:ascii="Times New Roman" w:hAnsi="Times New Roman" w:cs="Times New Roman"/>
          <w:color w:val="000000"/>
          <w:sz w:val="24"/>
          <w:szCs w:val="24"/>
        </w:rPr>
        <w:t>GB 2762</w:t>
      </w:r>
      <w:r>
        <w:rPr>
          <w:rFonts w:hint="eastAsia" w:ascii="Times New Roman" w:hAnsi="Times New Roman" w:cs="Times New Roman"/>
          <w:color w:val="000000"/>
          <w:sz w:val="24"/>
          <w:szCs w:val="24"/>
          <w:lang w:val="en-US" w:eastAsia="zh-CN"/>
        </w:rPr>
        <w:t xml:space="preserve"> </w:t>
      </w:r>
      <w:r>
        <w:rPr>
          <w:rFonts w:hint="default" w:ascii="Times New Roman" w:hAnsi="Times New Roman" w:cs="Times New Roman"/>
          <w:color w:val="000000"/>
          <w:sz w:val="24"/>
          <w:szCs w:val="24"/>
          <w:lang w:val="en-US" w:eastAsia="zh-CN"/>
        </w:rPr>
        <w:t>食品安全国家标准</w:t>
      </w:r>
      <w:r>
        <w:rPr>
          <w:rFonts w:hint="eastAsia" w:ascii="Times New Roman" w:hAnsi="Times New Roman" w:cs="Times New Roman"/>
          <w:color w:val="000000"/>
          <w:sz w:val="24"/>
          <w:szCs w:val="24"/>
          <w:lang w:val="en-US" w:eastAsia="zh-CN"/>
        </w:rPr>
        <w:t xml:space="preserve"> 食品中污染物限量</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cs="Times New Roman"/>
          <w:color w:val="000000"/>
          <w:sz w:val="24"/>
          <w:szCs w:val="24"/>
          <w:lang w:val="en-US" w:eastAsia="zh-CN"/>
        </w:rPr>
      </w:pPr>
      <w:r>
        <w:rPr>
          <w:rFonts w:hint="eastAsia" w:ascii="Times New Roman" w:hAnsi="Times New Roman" w:cs="Times New Roman"/>
          <w:color w:val="000000"/>
          <w:sz w:val="24"/>
          <w:szCs w:val="24"/>
        </w:rPr>
        <w:t>GB 2</w:t>
      </w:r>
      <w:r>
        <w:rPr>
          <w:rFonts w:hint="eastAsia" w:ascii="Times New Roman" w:hAnsi="Times New Roman" w:cs="Times New Roman"/>
          <w:color w:val="000000"/>
          <w:sz w:val="24"/>
          <w:szCs w:val="24"/>
          <w:lang w:val="en-US" w:eastAsia="zh-CN"/>
        </w:rPr>
        <w:t xml:space="preserve">9921 </w:t>
      </w:r>
      <w:r>
        <w:rPr>
          <w:rFonts w:hint="default" w:ascii="Times New Roman" w:hAnsi="Times New Roman" w:cs="Times New Roman"/>
          <w:color w:val="000000"/>
          <w:sz w:val="24"/>
          <w:szCs w:val="24"/>
          <w:lang w:val="en-US" w:eastAsia="zh-CN"/>
        </w:rPr>
        <w:t>食品安全国家标准</w:t>
      </w:r>
      <w:r>
        <w:rPr>
          <w:rFonts w:hint="eastAsia" w:ascii="Times New Roman" w:hAnsi="Times New Roman" w:cs="Times New Roman"/>
          <w:color w:val="000000"/>
          <w:sz w:val="24"/>
          <w:szCs w:val="24"/>
          <w:lang w:val="en-US" w:eastAsia="zh-CN"/>
        </w:rPr>
        <w:t xml:space="preserve"> 食品中致病菌限量</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cs="Times New Roman"/>
          <w:color w:val="000000"/>
          <w:sz w:val="24"/>
          <w:szCs w:val="24"/>
          <w:lang w:val="en-US" w:eastAsia="zh-CN"/>
        </w:rPr>
      </w:pPr>
      <w:r>
        <w:rPr>
          <w:rFonts w:hint="eastAsia" w:ascii="Times New Roman" w:hAnsi="Times New Roman" w:cs="Times New Roman"/>
          <w:color w:val="000000"/>
          <w:sz w:val="24"/>
          <w:szCs w:val="24"/>
          <w:lang w:val="en-US" w:eastAsia="zh-CN"/>
        </w:rPr>
        <w:t>GB 13078 饲料卫生标准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cs="Times New Roman"/>
          <w:color w:val="000000"/>
          <w:sz w:val="24"/>
          <w:szCs w:val="24"/>
        </w:rPr>
      </w:pPr>
      <w:r>
        <w:rPr>
          <w:rFonts w:hint="eastAsia" w:ascii="Times New Roman" w:hAnsi="Times New Roman" w:cs="Times New Roman"/>
          <w:color w:val="000000"/>
          <w:sz w:val="24"/>
          <w:szCs w:val="24"/>
          <w:lang w:val="en-US" w:eastAsia="zh-CN"/>
        </w:rPr>
        <w:t>GB/T 17824.1规模猪场建设</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eastAsia="宋体" w:cs="Times New Roman"/>
          <w:color w:val="000000"/>
          <w:sz w:val="24"/>
          <w:szCs w:val="24"/>
          <w:highlight w:val="none"/>
          <w:lang w:eastAsia="zh-CN"/>
        </w:rPr>
      </w:pPr>
      <w:r>
        <w:rPr>
          <w:rFonts w:hint="eastAsia" w:ascii="Times New Roman" w:hAnsi="Times New Roman" w:cs="Times New Roman"/>
          <w:color w:val="000000"/>
          <w:sz w:val="24"/>
          <w:szCs w:val="24"/>
          <w:highlight w:val="none"/>
          <w:lang w:val="en-US" w:eastAsia="zh-CN"/>
        </w:rPr>
        <w:t>GB/T 17824.2 规模猪场生产技术规程</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cs="Times New Roman"/>
          <w:color w:val="000000"/>
          <w:sz w:val="24"/>
          <w:szCs w:val="24"/>
        </w:rPr>
      </w:pPr>
      <w:r>
        <w:rPr>
          <w:rFonts w:hint="eastAsia" w:ascii="Times New Roman" w:hAnsi="Times New Roman" w:cs="Times New Roman"/>
          <w:color w:val="000000"/>
          <w:sz w:val="24"/>
          <w:szCs w:val="24"/>
          <w:lang w:val="en-US" w:eastAsia="zh-CN"/>
        </w:rPr>
        <w:t>GB/T 17824.3 规模猪场环境参数及环境管理</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cs="Times New Roman"/>
          <w:color w:val="000000"/>
          <w:sz w:val="24"/>
          <w:szCs w:val="24"/>
          <w:lang w:val="en-US" w:eastAsia="zh-CN"/>
        </w:rPr>
      </w:pPr>
      <w:r>
        <w:rPr>
          <w:rFonts w:hint="eastAsia" w:ascii="Times New Roman" w:hAnsi="Times New Roman" w:cs="Times New Roman"/>
          <w:color w:val="000000"/>
          <w:sz w:val="24"/>
          <w:szCs w:val="24"/>
          <w:lang w:val="en-US" w:eastAsia="zh-CN"/>
        </w:rPr>
        <w:t xml:space="preserve">GB/T 9959.2分割鲜、冻猪瘦肉 </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default" w:ascii="Times New Roman" w:hAnsi="Times New Roman" w:cs="Times New Roman"/>
          <w:color w:val="000000"/>
          <w:sz w:val="24"/>
          <w:szCs w:val="24"/>
          <w:lang w:val="en-US" w:eastAsia="zh-CN"/>
        </w:rPr>
      </w:pPr>
      <w:r>
        <w:rPr>
          <w:rFonts w:ascii="Times New Roman" w:hAnsi="Times New Roman" w:cs="Times New Roman"/>
          <w:color w:val="000000"/>
          <w:sz w:val="24"/>
          <w:szCs w:val="24"/>
        </w:rPr>
        <w:t xml:space="preserve">NY/T </w:t>
      </w:r>
      <w:r>
        <w:rPr>
          <w:rFonts w:hint="eastAsia" w:ascii="Times New Roman" w:hAnsi="Times New Roman" w:cs="Times New Roman"/>
          <w:color w:val="000000"/>
          <w:sz w:val="24"/>
          <w:szCs w:val="24"/>
          <w:lang w:val="en-US" w:eastAsia="zh-CN"/>
        </w:rPr>
        <w:t>909生猪屠宰检疫规范</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hAnsi="Times New Roman" w:eastAsia="宋体" w:cs="Times New Roman"/>
          <w:color w:val="000000"/>
          <w:sz w:val="24"/>
          <w:szCs w:val="24"/>
          <w:lang w:eastAsia="zh-CN"/>
        </w:rPr>
      </w:pPr>
      <w:r>
        <w:rPr>
          <w:rFonts w:ascii="Times New Roman" w:hAnsi="Times New Roman" w:cs="Times New Roman"/>
          <w:color w:val="000000"/>
          <w:sz w:val="24"/>
          <w:szCs w:val="24"/>
        </w:rPr>
        <w:t>NY/T 821</w:t>
      </w:r>
      <w:r>
        <w:rPr>
          <w:rFonts w:hint="eastAsia" w:ascii="Times New Roman" w:hAnsi="Times New Roman" w:cs="Times New Roman"/>
          <w:color w:val="000000"/>
          <w:sz w:val="24"/>
          <w:szCs w:val="24"/>
          <w:lang w:val="en-US" w:eastAsia="zh-CN"/>
        </w:rPr>
        <w:t xml:space="preserve"> </w:t>
      </w:r>
      <w:r>
        <w:rPr>
          <w:rFonts w:ascii="Times New Roman" w:hAnsi="Times New Roman" w:cs="Times New Roman"/>
          <w:color w:val="000000"/>
          <w:sz w:val="24"/>
          <w:szCs w:val="24"/>
        </w:rPr>
        <w:t>猪肉品质测定技术</w:t>
      </w:r>
      <w:r>
        <w:rPr>
          <w:rFonts w:hint="eastAsia" w:ascii="Times New Roman" w:hAnsi="Times New Roman" w:cs="Times New Roman"/>
          <w:color w:val="000000"/>
          <w:sz w:val="24"/>
          <w:szCs w:val="24"/>
          <w:lang w:val="en-US" w:eastAsia="zh-CN"/>
        </w:rPr>
        <w:t>规程</w:t>
      </w:r>
    </w:p>
    <w:p>
      <w:pPr>
        <w:keepNext w:val="0"/>
        <w:keepLines w:val="0"/>
        <w:pageBreakBefore w:val="0"/>
        <w:kinsoku/>
        <w:wordWrap/>
        <w:overflowPunct/>
        <w:topLinePunct w:val="0"/>
        <w:autoSpaceDE/>
        <w:autoSpaceDN/>
        <w:bidi w:val="0"/>
        <w:adjustRightInd w:val="0"/>
        <w:snapToGrid w:val="0"/>
        <w:spacing w:line="360" w:lineRule="auto"/>
        <w:ind w:firstLine="480" w:firstLineChars="200"/>
        <w:textAlignment w:val="auto"/>
        <w:rPr>
          <w:rFonts w:hint="eastAsia" w:ascii="Times New Roman" w:eastAsia="黑体"/>
          <w:kern w:val="2"/>
          <w:sz w:val="24"/>
          <w:szCs w:val="24"/>
        </w:rPr>
      </w:pPr>
      <w:r>
        <w:rPr>
          <w:rFonts w:hint="eastAsia" w:ascii="Times New Roman" w:hAnsi="Times New Roman" w:cs="Times New Roman"/>
          <w:color w:val="000000"/>
          <w:sz w:val="24"/>
          <w:szCs w:val="24"/>
        </w:rPr>
        <w:t xml:space="preserve">NY/T </w:t>
      </w:r>
      <w:r>
        <w:rPr>
          <w:rFonts w:hint="eastAsia" w:ascii="Times New Roman" w:hAnsi="Times New Roman" w:cs="Times New Roman"/>
          <w:color w:val="000000"/>
          <w:sz w:val="24"/>
          <w:szCs w:val="24"/>
          <w:lang w:val="en-US" w:eastAsia="zh-CN"/>
        </w:rPr>
        <w:t>1180肉嫩度的测定 剪切力测定法</w:t>
      </w:r>
    </w:p>
    <w:p>
      <w:pPr>
        <w:pStyle w:val="10"/>
        <w:keepNext w:val="0"/>
        <w:keepLines w:val="0"/>
        <w:pageBreakBefore w:val="0"/>
        <w:kinsoku/>
        <w:wordWrap/>
        <w:overflowPunct/>
        <w:topLinePunct w:val="0"/>
        <w:bidi w:val="0"/>
        <w:spacing w:line="360" w:lineRule="auto"/>
        <w:ind w:firstLine="0" w:firstLineChars="0"/>
        <w:textAlignment w:val="auto"/>
        <w:outlineLvl w:val="0"/>
        <w:rPr>
          <w:rFonts w:ascii="Times New Roman" w:eastAsia="黑体"/>
          <w:kern w:val="2"/>
          <w:sz w:val="24"/>
          <w:szCs w:val="24"/>
        </w:rPr>
      </w:pPr>
      <w:r>
        <w:rPr>
          <w:rFonts w:hint="eastAsia" w:ascii="Times New Roman" w:eastAsia="黑体"/>
          <w:kern w:val="2"/>
          <w:sz w:val="24"/>
          <w:szCs w:val="24"/>
          <w:lang w:val="en-US" w:eastAsia="zh-CN"/>
        </w:rPr>
        <w:t>十</w:t>
      </w:r>
      <w:r>
        <w:rPr>
          <w:rFonts w:ascii="Times New Roman" w:eastAsia="黑体"/>
          <w:kern w:val="2"/>
          <w:sz w:val="24"/>
          <w:szCs w:val="24"/>
        </w:rPr>
        <w:t>、与有关现行法律、法规的关系</w:t>
      </w:r>
    </w:p>
    <w:p>
      <w:pPr>
        <w:pStyle w:val="5"/>
        <w:keepNext w:val="0"/>
        <w:keepLines w:val="0"/>
        <w:pageBreakBefore w:val="0"/>
        <w:tabs>
          <w:tab w:val="right" w:leader="dot" w:pos="9345"/>
        </w:tabs>
        <w:kinsoku/>
        <w:wordWrap/>
        <w:overflowPunct/>
        <w:topLinePunct w:val="0"/>
        <w:bidi w:val="0"/>
        <w:spacing w:line="360" w:lineRule="auto"/>
        <w:ind w:firstLine="480" w:firstLineChars="200"/>
        <w:textAlignment w:val="auto"/>
        <w:rPr>
          <w:rFonts w:ascii="Times New Roman"/>
          <w:kern w:val="2"/>
          <w:szCs w:val="24"/>
          <w:lang w:val="en-US"/>
        </w:rPr>
      </w:pPr>
      <w:r>
        <w:rPr>
          <w:rFonts w:ascii="Times New Roman"/>
          <w:sz w:val="24"/>
          <w:lang w:eastAsia="zh-CN"/>
        </w:rPr>
        <w:t>（1）</w:t>
      </w:r>
      <w:r>
        <w:rPr>
          <w:rFonts w:ascii="Times New Roman"/>
          <w:sz w:val="24"/>
        </w:rPr>
        <w:t>制标过程遵循《中华人民共和国标准法》、</w:t>
      </w:r>
      <w:r>
        <w:rPr>
          <w:rFonts w:ascii="Times New Roman"/>
          <w:sz w:val="24"/>
          <w:lang w:eastAsia="zh-CN"/>
        </w:rPr>
        <w:t>《中国人民共和国环境保护法》</w:t>
      </w:r>
      <w:r>
        <w:rPr>
          <w:rFonts w:ascii="Times New Roman"/>
          <w:sz w:val="24"/>
          <w:szCs w:val="24"/>
          <w:lang w:eastAsia="zh-CN"/>
        </w:rPr>
        <w:t>等法律</w:t>
      </w:r>
      <w:r>
        <w:rPr>
          <w:rFonts w:ascii="Times New Roman"/>
          <w:sz w:val="24"/>
        </w:rPr>
        <w:t>和</w:t>
      </w:r>
      <w:r>
        <w:rPr>
          <w:rFonts w:hint="eastAsia" w:ascii="Times New Roman"/>
          <w:sz w:val="24"/>
          <w:lang w:val="en-US" w:eastAsia="zh-CN"/>
        </w:rPr>
        <w:t>国家农业部</w:t>
      </w:r>
      <w:r>
        <w:rPr>
          <w:rFonts w:ascii="Times New Roman"/>
          <w:sz w:val="24"/>
        </w:rPr>
        <w:t>《</w:t>
      </w:r>
      <w:r>
        <w:rPr>
          <w:rFonts w:hint="eastAsia" w:ascii="Times New Roman"/>
          <w:sz w:val="24"/>
          <w:lang w:val="en-US" w:eastAsia="zh-CN"/>
        </w:rPr>
        <w:t>农业</w:t>
      </w:r>
      <w:r>
        <w:rPr>
          <w:rFonts w:ascii="Times New Roman"/>
          <w:sz w:val="24"/>
        </w:rPr>
        <w:t>标准化管理办法》等部门规章。</w:t>
      </w:r>
    </w:p>
    <w:p>
      <w:pPr>
        <w:keepNext w:val="0"/>
        <w:keepLines w:val="0"/>
        <w:pageBreakBefore w:val="0"/>
        <w:kinsoku/>
        <w:wordWrap/>
        <w:overflowPunct/>
        <w:topLinePunct w:val="0"/>
        <w:bidi w:val="0"/>
        <w:spacing w:line="360" w:lineRule="auto"/>
        <w:ind w:firstLine="480" w:firstLineChars="200"/>
        <w:textAlignment w:val="auto"/>
        <w:rPr>
          <w:sz w:val="24"/>
        </w:rPr>
      </w:pPr>
      <w:r>
        <w:rPr>
          <w:sz w:val="24"/>
        </w:rPr>
        <w:t>（2）本标准中计量单位采用法定计量单位。</w:t>
      </w:r>
    </w:p>
    <w:p>
      <w:pPr>
        <w:keepNext w:val="0"/>
        <w:keepLines w:val="0"/>
        <w:pageBreakBefore w:val="0"/>
        <w:kinsoku/>
        <w:wordWrap/>
        <w:overflowPunct/>
        <w:topLinePunct w:val="0"/>
        <w:bidi w:val="0"/>
        <w:spacing w:line="360" w:lineRule="auto"/>
        <w:ind w:firstLine="480" w:firstLineChars="200"/>
        <w:textAlignment w:val="auto"/>
        <w:rPr>
          <w:sz w:val="24"/>
        </w:rPr>
      </w:pPr>
      <w:r>
        <w:rPr>
          <w:sz w:val="24"/>
        </w:rPr>
        <w:t>（3）本标准的格式，编制和表达方法，按国家标准的要求制订。</w:t>
      </w:r>
    </w:p>
    <w:p>
      <w:pPr>
        <w:keepNext w:val="0"/>
        <w:keepLines w:val="0"/>
        <w:pageBreakBefore w:val="0"/>
        <w:kinsoku/>
        <w:wordWrap/>
        <w:overflowPunct/>
        <w:topLinePunct w:val="0"/>
        <w:bidi w:val="0"/>
        <w:spacing w:line="360" w:lineRule="auto"/>
        <w:ind w:firstLine="480" w:firstLineChars="200"/>
        <w:textAlignment w:val="auto"/>
        <w:rPr>
          <w:sz w:val="24"/>
        </w:rPr>
      </w:pPr>
      <w:r>
        <w:rPr>
          <w:sz w:val="24"/>
        </w:rPr>
        <w:t>（4）本标准与现行法律、法规和强制性标准无冲突。</w:t>
      </w:r>
    </w:p>
    <w:p>
      <w:pPr>
        <w:pStyle w:val="10"/>
        <w:keepNext w:val="0"/>
        <w:keepLines w:val="0"/>
        <w:pageBreakBefore w:val="0"/>
        <w:kinsoku/>
        <w:wordWrap/>
        <w:overflowPunct/>
        <w:topLinePunct w:val="0"/>
        <w:bidi w:val="0"/>
        <w:spacing w:line="360" w:lineRule="auto"/>
        <w:ind w:firstLine="0" w:firstLineChars="0"/>
        <w:textAlignment w:val="auto"/>
        <w:outlineLvl w:val="0"/>
        <w:rPr>
          <w:rFonts w:hint="eastAsia" w:ascii="Times New Roman" w:eastAsia="黑体"/>
          <w:kern w:val="2"/>
          <w:sz w:val="24"/>
          <w:szCs w:val="24"/>
        </w:rPr>
      </w:pPr>
      <w:r>
        <w:rPr>
          <w:rFonts w:hint="eastAsia" w:ascii="Times New Roman" w:eastAsia="黑体"/>
          <w:kern w:val="2"/>
          <w:sz w:val="24"/>
          <w:szCs w:val="24"/>
          <w:lang w:val="en-US" w:eastAsia="zh-CN"/>
        </w:rPr>
        <w:t>十一</w:t>
      </w:r>
      <w:r>
        <w:rPr>
          <w:rFonts w:ascii="Times New Roman" w:eastAsia="黑体"/>
          <w:kern w:val="2"/>
          <w:sz w:val="24"/>
          <w:szCs w:val="24"/>
        </w:rPr>
        <w:t>、</w:t>
      </w:r>
      <w:r>
        <w:rPr>
          <w:rFonts w:hint="eastAsia" w:ascii="Times New Roman" w:eastAsia="黑体"/>
          <w:kern w:val="2"/>
          <w:sz w:val="24"/>
          <w:szCs w:val="24"/>
        </w:rPr>
        <w:t>是否涉及</w:t>
      </w:r>
      <w:r>
        <w:rPr>
          <w:rFonts w:ascii="Times New Roman" w:eastAsia="黑体"/>
          <w:kern w:val="2"/>
          <w:sz w:val="24"/>
          <w:szCs w:val="24"/>
        </w:rPr>
        <w:t>专利说明</w:t>
      </w:r>
    </w:p>
    <w:p>
      <w:pPr>
        <w:pStyle w:val="5"/>
        <w:keepNext w:val="0"/>
        <w:keepLines w:val="0"/>
        <w:pageBreakBefore w:val="0"/>
        <w:tabs>
          <w:tab w:val="right" w:leader="dot" w:pos="9345"/>
        </w:tabs>
        <w:kinsoku/>
        <w:wordWrap/>
        <w:overflowPunct/>
        <w:topLinePunct w:val="0"/>
        <w:bidi w:val="0"/>
        <w:spacing w:line="360" w:lineRule="auto"/>
        <w:ind w:firstLine="480" w:firstLineChars="200"/>
        <w:textAlignment w:val="auto"/>
        <w:rPr>
          <w:rFonts w:ascii="Times New Roman"/>
          <w:kern w:val="2"/>
          <w:szCs w:val="24"/>
          <w:lang w:val="en-US"/>
        </w:rPr>
      </w:pPr>
      <w:r>
        <w:rPr>
          <w:rFonts w:hint="eastAsia" w:ascii="Times New Roman"/>
          <w:sz w:val="24"/>
          <w:lang w:eastAsia="zh-CN"/>
        </w:rPr>
        <w:t>本标准</w:t>
      </w:r>
      <w:r>
        <w:rPr>
          <w:rFonts w:ascii="Times New Roman"/>
          <w:sz w:val="24"/>
          <w:lang w:eastAsia="zh-CN"/>
        </w:rPr>
        <w:t>中未涉及相关专利</w:t>
      </w:r>
      <w:r>
        <w:rPr>
          <w:rFonts w:ascii="Times New Roman"/>
          <w:sz w:val="24"/>
        </w:rPr>
        <w:t>。</w:t>
      </w:r>
    </w:p>
    <w:p>
      <w:pPr>
        <w:pStyle w:val="10"/>
        <w:keepNext w:val="0"/>
        <w:keepLines w:val="0"/>
        <w:pageBreakBefore w:val="0"/>
        <w:kinsoku/>
        <w:wordWrap/>
        <w:overflowPunct/>
        <w:topLinePunct w:val="0"/>
        <w:bidi w:val="0"/>
        <w:spacing w:line="360" w:lineRule="auto"/>
        <w:ind w:firstLine="0" w:firstLineChars="0"/>
        <w:textAlignment w:val="auto"/>
        <w:outlineLvl w:val="0"/>
        <w:rPr>
          <w:rFonts w:ascii="Times New Roman" w:eastAsia="黑体"/>
          <w:kern w:val="2"/>
          <w:sz w:val="24"/>
          <w:szCs w:val="24"/>
        </w:rPr>
      </w:pPr>
      <w:r>
        <w:rPr>
          <w:rFonts w:hint="eastAsia" w:ascii="Times New Roman" w:eastAsia="黑体"/>
          <w:kern w:val="2"/>
          <w:sz w:val="24"/>
          <w:szCs w:val="24"/>
        </w:rPr>
        <w:t>十</w:t>
      </w:r>
      <w:r>
        <w:rPr>
          <w:rFonts w:hint="eastAsia" w:ascii="Times New Roman" w:eastAsia="黑体"/>
          <w:kern w:val="2"/>
          <w:sz w:val="24"/>
          <w:szCs w:val="24"/>
          <w:lang w:val="en-US" w:eastAsia="zh-CN"/>
        </w:rPr>
        <w:t>二</w:t>
      </w:r>
      <w:r>
        <w:rPr>
          <w:rFonts w:ascii="Times New Roman" w:eastAsia="黑体"/>
          <w:kern w:val="2"/>
          <w:sz w:val="24"/>
          <w:szCs w:val="24"/>
        </w:rPr>
        <w:t>、作为强制性标准或者推荐性标准的建议</w:t>
      </w:r>
    </w:p>
    <w:p>
      <w:pPr>
        <w:keepNext w:val="0"/>
        <w:keepLines w:val="0"/>
        <w:pageBreakBefore w:val="0"/>
        <w:kinsoku/>
        <w:wordWrap/>
        <w:overflowPunct/>
        <w:topLinePunct w:val="0"/>
        <w:bidi w:val="0"/>
        <w:spacing w:line="360" w:lineRule="auto"/>
        <w:ind w:firstLine="540" w:firstLineChars="225"/>
        <w:textAlignment w:val="auto"/>
        <w:rPr>
          <w:sz w:val="24"/>
        </w:rPr>
      </w:pPr>
      <w:r>
        <w:rPr>
          <w:sz w:val="24"/>
        </w:rPr>
        <w:t>根据《</w:t>
      </w:r>
      <w:r>
        <w:rPr>
          <w:rFonts w:hint="eastAsia"/>
          <w:sz w:val="24"/>
          <w:lang w:val="en-US" w:eastAsia="zh-CN"/>
        </w:rPr>
        <w:t>农业</w:t>
      </w:r>
      <w:r>
        <w:rPr>
          <w:sz w:val="24"/>
        </w:rPr>
        <w:t>标准化管理办法》第五条规定，建议作为推荐性标准贯彻与实施，由贵州省质量技术监督局发布，并进一步加大宣传力度，尽快在</w:t>
      </w:r>
      <w:r>
        <w:rPr>
          <w:rFonts w:hint="eastAsia"/>
          <w:sz w:val="24"/>
          <w:lang w:val="en-US" w:eastAsia="zh-CN"/>
        </w:rPr>
        <w:t>土猪养殖行业中</w:t>
      </w:r>
      <w:r>
        <w:rPr>
          <w:sz w:val="24"/>
        </w:rPr>
        <w:t>推广实施，大力推进</w:t>
      </w:r>
      <w:r>
        <w:rPr>
          <w:rFonts w:hint="eastAsia"/>
          <w:sz w:val="24"/>
          <w:lang w:val="en-US" w:eastAsia="zh-CN"/>
        </w:rPr>
        <w:t>土猪肉质量化</w:t>
      </w:r>
      <w:r>
        <w:rPr>
          <w:sz w:val="24"/>
        </w:rPr>
        <w:t>的科学</w:t>
      </w:r>
      <w:r>
        <w:rPr>
          <w:rFonts w:hint="eastAsia"/>
          <w:sz w:val="24"/>
          <w:lang w:val="en-US" w:eastAsia="zh-CN"/>
        </w:rPr>
        <w:t>评价</w:t>
      </w:r>
      <w:r>
        <w:rPr>
          <w:sz w:val="24"/>
        </w:rPr>
        <w:t>，</w:t>
      </w:r>
      <w:r>
        <w:rPr>
          <w:rFonts w:hint="eastAsia"/>
          <w:sz w:val="24"/>
          <w:lang w:val="en-US" w:eastAsia="zh-CN"/>
        </w:rPr>
        <w:t>形成优质优价，淘汰市场中已劣代优的土猪肉，净化市场，</w:t>
      </w:r>
      <w:r>
        <w:rPr>
          <w:sz w:val="24"/>
        </w:rPr>
        <w:t>不断促进</w:t>
      </w:r>
      <w:r>
        <w:rPr>
          <w:rFonts w:hint="eastAsia"/>
          <w:sz w:val="24"/>
          <w:lang w:val="en-US" w:eastAsia="zh-CN"/>
        </w:rPr>
        <w:t>贵州土猪产业的健康</w:t>
      </w:r>
      <w:r>
        <w:rPr>
          <w:sz w:val="24"/>
        </w:rPr>
        <w:t>快速发展。</w:t>
      </w:r>
    </w:p>
    <w:p>
      <w:pPr>
        <w:pStyle w:val="10"/>
        <w:keepNext w:val="0"/>
        <w:keepLines w:val="0"/>
        <w:pageBreakBefore w:val="0"/>
        <w:kinsoku/>
        <w:wordWrap/>
        <w:overflowPunct/>
        <w:topLinePunct w:val="0"/>
        <w:bidi w:val="0"/>
        <w:spacing w:line="360" w:lineRule="auto"/>
        <w:ind w:firstLine="0" w:firstLineChars="0"/>
        <w:textAlignment w:val="auto"/>
        <w:outlineLvl w:val="0"/>
        <w:rPr>
          <w:rFonts w:ascii="Times New Roman" w:eastAsia="黑体"/>
          <w:kern w:val="2"/>
          <w:sz w:val="24"/>
          <w:szCs w:val="24"/>
        </w:rPr>
      </w:pPr>
      <w:r>
        <w:rPr>
          <w:rFonts w:hint="eastAsia" w:ascii="Times New Roman" w:eastAsia="黑体"/>
          <w:kern w:val="2"/>
          <w:sz w:val="24"/>
          <w:szCs w:val="24"/>
        </w:rPr>
        <w:t>十</w:t>
      </w:r>
      <w:r>
        <w:rPr>
          <w:rFonts w:hint="eastAsia" w:ascii="Times New Roman" w:eastAsia="黑体"/>
          <w:kern w:val="2"/>
          <w:sz w:val="24"/>
          <w:szCs w:val="24"/>
          <w:lang w:val="en-US" w:eastAsia="zh-CN"/>
        </w:rPr>
        <w:t>三</w:t>
      </w:r>
      <w:r>
        <w:rPr>
          <w:rFonts w:ascii="Times New Roman" w:eastAsia="黑体"/>
          <w:kern w:val="2"/>
          <w:sz w:val="24"/>
          <w:szCs w:val="24"/>
        </w:rPr>
        <w:t>、贯彻标准的要求、措施和建议</w:t>
      </w:r>
    </w:p>
    <w:p>
      <w:pPr>
        <w:pStyle w:val="10"/>
        <w:keepNext w:val="0"/>
        <w:keepLines w:val="0"/>
        <w:pageBreakBefore w:val="0"/>
        <w:kinsoku/>
        <w:wordWrap/>
        <w:overflowPunct/>
        <w:topLinePunct w:val="0"/>
        <w:bidi w:val="0"/>
        <w:spacing w:line="360" w:lineRule="auto"/>
        <w:ind w:firstLine="0" w:firstLineChars="0"/>
        <w:textAlignment w:val="auto"/>
        <w:outlineLvl w:val="1"/>
        <w:rPr>
          <w:rFonts w:ascii="Times New Roman"/>
          <w:b/>
          <w:bCs/>
          <w:sz w:val="24"/>
        </w:rPr>
      </w:pPr>
      <w:r>
        <w:rPr>
          <w:rFonts w:ascii="Times New Roman"/>
          <w:b/>
          <w:bCs/>
          <w:sz w:val="24"/>
        </w:rPr>
        <w:t>1. 贯彻本地方标准的要求</w:t>
      </w:r>
    </w:p>
    <w:p>
      <w:pPr>
        <w:keepNext w:val="0"/>
        <w:keepLines w:val="0"/>
        <w:pageBreakBefore w:val="0"/>
        <w:kinsoku/>
        <w:wordWrap/>
        <w:overflowPunct/>
        <w:topLinePunct w:val="0"/>
        <w:bidi w:val="0"/>
        <w:spacing w:line="360" w:lineRule="auto"/>
        <w:ind w:firstLine="480" w:firstLineChars="200"/>
        <w:textAlignment w:val="auto"/>
        <w:rPr>
          <w:sz w:val="24"/>
        </w:rPr>
      </w:pPr>
      <w:r>
        <w:rPr>
          <w:sz w:val="24"/>
        </w:rPr>
        <w:t>本标准一旦发布实施，</w:t>
      </w:r>
      <w:r>
        <w:rPr>
          <w:rFonts w:hint="eastAsia"/>
          <w:sz w:val="24"/>
          <w:lang w:val="en-US" w:eastAsia="zh-CN"/>
        </w:rPr>
        <w:t>土猪养殖行业</w:t>
      </w:r>
      <w:r>
        <w:rPr>
          <w:sz w:val="24"/>
        </w:rPr>
        <w:t>应严格按照本标准要求进行</w:t>
      </w:r>
      <w:r>
        <w:rPr>
          <w:rFonts w:hint="eastAsia"/>
          <w:sz w:val="24"/>
          <w:lang w:val="en-US" w:eastAsia="zh-CN"/>
        </w:rPr>
        <w:t>肉质分级评价</w:t>
      </w:r>
      <w:r>
        <w:rPr>
          <w:sz w:val="24"/>
        </w:rPr>
        <w:t>；全省</w:t>
      </w:r>
      <w:r>
        <w:rPr>
          <w:rFonts w:hint="eastAsia"/>
          <w:sz w:val="24"/>
          <w:lang w:val="en-US" w:eastAsia="zh-CN"/>
        </w:rPr>
        <w:t>农业</w:t>
      </w:r>
      <w:r>
        <w:rPr>
          <w:sz w:val="24"/>
        </w:rPr>
        <w:t>主管部门应加强执行本标准的业务培训和技术指导，确保</w:t>
      </w:r>
      <w:r>
        <w:rPr>
          <w:rFonts w:hint="eastAsia"/>
          <w:sz w:val="24"/>
          <w:lang w:val="en-US" w:eastAsia="zh-CN"/>
        </w:rPr>
        <w:t>土猪肉品质分级评价体系</w:t>
      </w:r>
      <w:r>
        <w:rPr>
          <w:sz w:val="24"/>
        </w:rPr>
        <w:t>的标准化、规范化、健康有序进行。</w:t>
      </w:r>
    </w:p>
    <w:p>
      <w:pPr>
        <w:pStyle w:val="10"/>
        <w:keepNext w:val="0"/>
        <w:keepLines w:val="0"/>
        <w:pageBreakBefore w:val="0"/>
        <w:kinsoku/>
        <w:wordWrap/>
        <w:overflowPunct/>
        <w:topLinePunct w:val="0"/>
        <w:bidi w:val="0"/>
        <w:spacing w:line="360" w:lineRule="auto"/>
        <w:ind w:firstLine="0" w:firstLineChars="0"/>
        <w:textAlignment w:val="auto"/>
        <w:outlineLvl w:val="1"/>
        <w:rPr>
          <w:rFonts w:ascii="Times New Roman"/>
          <w:b/>
          <w:bCs/>
          <w:sz w:val="24"/>
        </w:rPr>
      </w:pPr>
      <w:r>
        <w:rPr>
          <w:rFonts w:ascii="Times New Roman"/>
          <w:b/>
          <w:bCs/>
          <w:sz w:val="24"/>
        </w:rPr>
        <w:t>2. 贯彻本地方标准的措施建议</w:t>
      </w:r>
    </w:p>
    <w:p>
      <w:pPr>
        <w:keepNext w:val="0"/>
        <w:keepLines w:val="0"/>
        <w:pageBreakBefore w:val="0"/>
        <w:kinsoku/>
        <w:wordWrap/>
        <w:overflowPunct/>
        <w:topLinePunct w:val="0"/>
        <w:bidi w:val="0"/>
        <w:spacing w:line="360" w:lineRule="auto"/>
        <w:ind w:firstLine="480" w:firstLineChars="200"/>
        <w:textAlignment w:val="auto"/>
        <w:rPr>
          <w:sz w:val="24"/>
        </w:rPr>
      </w:pPr>
      <w:r>
        <w:rPr>
          <w:sz w:val="24"/>
        </w:rPr>
        <w:t>（1）加大宣传力度</w:t>
      </w:r>
      <w:r>
        <w:rPr>
          <w:rFonts w:hint="eastAsia"/>
          <w:sz w:val="24"/>
          <w:lang w:eastAsia="zh-CN"/>
        </w:rPr>
        <w:t>，</w:t>
      </w:r>
      <w:r>
        <w:rPr>
          <w:sz w:val="24"/>
        </w:rPr>
        <w:t>通过有关媒体发布、公告标准信息，扩大影响。</w:t>
      </w:r>
    </w:p>
    <w:p>
      <w:pPr>
        <w:keepNext w:val="0"/>
        <w:keepLines w:val="0"/>
        <w:pageBreakBefore w:val="0"/>
        <w:kinsoku/>
        <w:wordWrap/>
        <w:overflowPunct/>
        <w:topLinePunct w:val="0"/>
        <w:bidi w:val="0"/>
        <w:spacing w:line="360" w:lineRule="auto"/>
        <w:ind w:firstLine="480" w:firstLineChars="200"/>
        <w:textAlignment w:val="auto"/>
        <w:rPr>
          <w:kern w:val="0"/>
          <w:sz w:val="24"/>
        </w:rPr>
      </w:pPr>
      <w:r>
        <w:rPr>
          <w:kern w:val="0"/>
          <w:sz w:val="24"/>
        </w:rPr>
        <w:t>（2）建议在实施标准过程中对所发现的问题应及时反馈，以利于标准的修订和完善。</w:t>
      </w:r>
    </w:p>
    <w:p>
      <w:pPr>
        <w:spacing w:line="360" w:lineRule="auto"/>
        <w:ind w:firstLine="480" w:firstLineChars="200"/>
        <w:rPr>
          <w:kern w:val="0"/>
          <w:sz w:val="24"/>
        </w:rPr>
      </w:pPr>
    </w:p>
    <w:p>
      <w:pPr>
        <w:spacing w:line="360" w:lineRule="auto"/>
        <w:ind w:firstLine="480" w:firstLineChars="200"/>
        <w:rPr>
          <w:kern w:val="0"/>
          <w:sz w:val="24"/>
        </w:rPr>
      </w:pPr>
    </w:p>
    <w:p>
      <w:pPr>
        <w:spacing w:line="360" w:lineRule="auto"/>
        <w:ind w:firstLine="480" w:firstLineChars="200"/>
        <w:rPr>
          <w:rFonts w:hint="eastAsia"/>
          <w:kern w:val="0"/>
          <w:sz w:val="24"/>
        </w:rPr>
      </w:pPr>
    </w:p>
    <w:p>
      <w:pPr>
        <w:spacing w:line="360" w:lineRule="auto"/>
        <w:jc w:val="right"/>
        <w:rPr>
          <w:sz w:val="24"/>
        </w:rPr>
      </w:pPr>
      <w:r>
        <w:rPr>
          <w:sz w:val="24"/>
        </w:rPr>
        <w:t>《</w:t>
      </w:r>
      <w:r>
        <w:rPr>
          <w:rFonts w:hint="eastAsia"/>
          <w:kern w:val="0"/>
          <w:sz w:val="24"/>
          <w:lang w:val="en-US" w:eastAsia="zh-CN"/>
        </w:rPr>
        <w:t>土猪肉品质分级评价标准</w:t>
      </w:r>
      <w:r>
        <w:rPr>
          <w:sz w:val="24"/>
        </w:rPr>
        <w:t>》起草组</w:t>
      </w:r>
    </w:p>
    <w:p>
      <w:pPr>
        <w:spacing w:line="360" w:lineRule="auto"/>
        <w:rPr>
          <w:kern w:val="0"/>
          <w:sz w:val="24"/>
        </w:rPr>
      </w:pPr>
      <w:r>
        <w:rPr>
          <w:sz w:val="24"/>
        </w:rPr>
        <w:t xml:space="preserve">                                               20</w:t>
      </w:r>
      <w:r>
        <w:rPr>
          <w:rFonts w:hint="eastAsia"/>
          <w:sz w:val="24"/>
          <w:lang w:val="en-US" w:eastAsia="zh-CN"/>
        </w:rPr>
        <w:t>20</w:t>
      </w:r>
      <w:r>
        <w:rPr>
          <w:sz w:val="24"/>
        </w:rPr>
        <w:t>年</w:t>
      </w:r>
      <w:r>
        <w:rPr>
          <w:rFonts w:hint="eastAsia"/>
          <w:sz w:val="24"/>
          <w:lang w:val="en-US" w:eastAsia="zh-CN"/>
        </w:rPr>
        <w:t>11</w:t>
      </w:r>
      <w:r>
        <w:rPr>
          <w:sz w:val="24"/>
        </w:rPr>
        <w:t>月</w:t>
      </w:r>
    </w:p>
    <w:p>
      <w:pPr>
        <w:keepNext w:val="0"/>
        <w:keepLines w:val="0"/>
        <w:pageBreakBefore w:val="0"/>
        <w:widowControl/>
        <w:kinsoku/>
        <w:wordWrap/>
        <w:overflowPunct/>
        <w:topLinePunct w:val="0"/>
        <w:autoSpaceDE/>
        <w:autoSpaceDN/>
        <w:bidi w:val="0"/>
        <w:adjustRightInd w:val="0"/>
        <w:snapToGrid w:val="0"/>
        <w:spacing w:line="360" w:lineRule="auto"/>
        <w:textAlignment w:val="auto"/>
        <w:rPr>
          <w:rFonts w:hint="eastAsia" w:ascii="宋体" w:hAnsi="宋体" w:cs="Arial" w:eastAsiaTheme="minorEastAsia"/>
          <w:sz w:val="21"/>
          <w:szCs w:val="21"/>
          <w:lang w:eastAsia="zh-CN"/>
        </w:rPr>
      </w:pPr>
    </w:p>
    <w:p>
      <w:pPr>
        <w:spacing w:line="560" w:lineRule="exact"/>
        <w:rPr>
          <w:rFonts w:hint="eastAsia" w:ascii="宋体" w:hAnsi="宋体" w:eastAsia="宋体" w:cs="宋体"/>
          <w:b/>
          <w:bCs/>
          <w:sz w:val="30"/>
          <w:szCs w:val="30"/>
        </w:rPr>
      </w:pPr>
    </w:p>
    <w:p>
      <w:pPr>
        <w:spacing w:line="560" w:lineRule="exact"/>
        <w:rPr>
          <w:rFonts w:hint="eastAsia" w:ascii="宋体" w:hAnsi="宋体" w:eastAsia="宋体" w:cs="宋体"/>
          <w:b/>
          <w:bCs/>
          <w:sz w:val="30"/>
          <w:szCs w:val="30"/>
        </w:rPr>
      </w:pPr>
    </w:p>
    <w:p>
      <w:pPr>
        <w:adjustRightInd w:val="0"/>
        <w:snapToGrid w:val="0"/>
        <w:spacing w:line="360" w:lineRule="auto"/>
        <w:jc w:val="left"/>
        <w:rPr>
          <w:rFonts w:hint="eastAsia" w:ascii="Times New Roman" w:hAnsi="Times New Roman" w:cs="Times New Roman" w:eastAsiaTheme="minorEastAsia"/>
          <w:sz w:val="24"/>
          <w:szCs w:val="24"/>
          <w:lang w:eastAsia="zh-CN"/>
        </w:rPr>
      </w:pPr>
    </w:p>
    <w:p>
      <w:pPr>
        <w:keepNext w:val="0"/>
        <w:keepLines w:val="0"/>
        <w:pageBreakBefore w:val="0"/>
        <w:numPr>
          <w:ilvl w:val="0"/>
          <w:numId w:val="0"/>
        </w:numPr>
        <w:kinsoku/>
        <w:wordWrap/>
        <w:topLinePunct w:val="0"/>
        <w:bidi w:val="0"/>
        <w:spacing w:line="360" w:lineRule="auto"/>
        <w:jc w:val="both"/>
        <w:rPr>
          <w:rFonts w:hint="eastAsia" w:ascii="宋体" w:hAnsi="宋体" w:eastAsia="宋体" w:cs="宋体"/>
          <w:b/>
          <w:bCs/>
          <w:sz w:val="30"/>
          <w:szCs w:val="30"/>
          <w:lang w:val="en-US" w:eastAsia="zh-CN"/>
        </w:rPr>
      </w:pPr>
      <w:r>
        <w:rPr>
          <w:rFonts w:hint="eastAsia" w:ascii="宋体" w:hAnsi="宋体" w:eastAsia="宋体" w:cs="宋体"/>
          <w:b/>
          <w:bCs/>
          <w:sz w:val="30"/>
          <w:szCs w:val="30"/>
          <w:lang w:val="en-US" w:eastAsia="zh-CN"/>
        </w:rPr>
        <w:t>参考文献：</w:t>
      </w:r>
    </w:p>
    <w:p>
      <w:pPr>
        <w:keepNext w:val="0"/>
        <w:keepLines w:val="0"/>
        <w:pageBreakBefore w:val="0"/>
        <w:widowControl/>
        <w:suppressLineNumbers w:val="0"/>
        <w:kinsoku/>
        <w:wordWrap/>
        <w:overflowPunct/>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sz w:val="24"/>
        </w:rPr>
      </w:pPr>
      <w:r>
        <w:rPr>
          <w:rFonts w:hint="default" w:ascii="Times New Roman" w:hAnsi="Times New Roman" w:eastAsia="宋体" w:cs="Times New Roman"/>
          <w:sz w:val="24"/>
          <w:lang w:val="en-US" w:eastAsia="zh-CN"/>
        </w:rPr>
        <w:t xml:space="preserve">[1] 张凤鸣,柴捷,王金勇等. </w:t>
      </w:r>
      <w:r>
        <w:rPr>
          <w:rFonts w:hint="default" w:ascii="Times New Roman" w:hAnsi="Times New Roman" w:eastAsia="宋体" w:cs="Times New Roman"/>
          <w:color w:val="000000"/>
          <w:kern w:val="0"/>
          <w:sz w:val="24"/>
          <w:szCs w:val="24"/>
          <w:lang w:val="en-US" w:eastAsia="zh-CN" w:bidi="ar"/>
        </w:rPr>
        <w:t>当前我国土猪养殖发展的瓶颈及对策</w:t>
      </w:r>
      <w:r>
        <w:rPr>
          <w:rFonts w:hint="default" w:ascii="Times New Roman" w:hAnsi="Times New Roman" w:eastAsia="宋体" w:cs="Times New Roman"/>
          <w:sz w:val="24"/>
          <w:lang w:val="en-US" w:eastAsia="zh-CN"/>
        </w:rPr>
        <w:t>[J].黑龙江中国猪业.2019,(15)8:36-38.</w:t>
      </w:r>
    </w:p>
    <w:p>
      <w:pPr>
        <w:keepNext w:val="0"/>
        <w:keepLines w:val="0"/>
        <w:pageBreakBefore w:val="0"/>
        <w:kinsoku/>
        <w:wordWrap/>
        <w:overflowPunct/>
        <w:topLinePunct/>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sz w:val="24"/>
          <w:lang w:val="en-US" w:eastAsia="zh-CN"/>
        </w:rPr>
      </w:pPr>
      <w:r>
        <w:rPr>
          <w:rFonts w:hint="default" w:ascii="Times New Roman" w:hAnsi="Times New Roman" w:eastAsia="宋体" w:cs="Times New Roman"/>
          <w:sz w:val="24"/>
        </w:rPr>
        <w:t>[</w:t>
      </w:r>
      <w:r>
        <w:rPr>
          <w:rFonts w:hint="default" w:ascii="Times New Roman" w:hAnsi="Times New Roman" w:eastAsia="宋体" w:cs="Times New Roman"/>
          <w:sz w:val="24"/>
          <w:lang w:val="en-US" w:eastAsia="zh-CN"/>
        </w:rPr>
        <w:t>2</w:t>
      </w:r>
      <w:r>
        <w:rPr>
          <w:rFonts w:hint="default" w:ascii="Times New Roman" w:hAnsi="Times New Roman" w:eastAsia="宋体" w:cs="Times New Roman"/>
          <w:sz w:val="24"/>
        </w:rPr>
        <w:t xml:space="preserve">] </w:t>
      </w:r>
      <w:r>
        <w:rPr>
          <w:rFonts w:hint="default" w:ascii="Times New Roman" w:hAnsi="Times New Roman" w:eastAsia="宋体" w:cs="Times New Roman"/>
          <w:sz w:val="24"/>
          <w:lang w:val="en-US" w:eastAsia="zh-CN"/>
        </w:rPr>
        <w:t>陈平衡</w:t>
      </w:r>
      <w:r>
        <w:rPr>
          <w:rFonts w:hint="default" w:ascii="Times New Roman" w:hAnsi="Times New Roman" w:eastAsia="宋体" w:cs="Times New Roman"/>
          <w:sz w:val="24"/>
        </w:rPr>
        <w:t>.</w:t>
      </w:r>
      <w:r>
        <w:rPr>
          <w:rFonts w:hint="default" w:ascii="Times New Roman" w:hAnsi="Times New Roman" w:eastAsia="宋体" w:cs="Times New Roman"/>
          <w:color w:val="000000"/>
          <w:kern w:val="0"/>
          <w:sz w:val="24"/>
          <w:szCs w:val="24"/>
          <w:lang w:val="en-US" w:eastAsia="zh-CN" w:bidi="ar"/>
        </w:rPr>
        <w:t>生猪屠宰工艺与品质检验技术</w:t>
      </w:r>
      <w:r>
        <w:rPr>
          <w:rFonts w:hint="default" w:ascii="Times New Roman" w:hAnsi="Times New Roman" w:eastAsia="宋体" w:cs="Times New Roman"/>
          <w:sz w:val="24"/>
        </w:rPr>
        <w:t>[M].</w:t>
      </w:r>
      <w:r>
        <w:rPr>
          <w:rFonts w:hint="default" w:ascii="Times New Roman" w:hAnsi="Times New Roman" w:eastAsia="宋体" w:cs="Times New Roman"/>
          <w:sz w:val="24"/>
          <w:lang w:val="en-US" w:eastAsia="zh-CN"/>
        </w:rPr>
        <w:t>北京</w:t>
      </w:r>
      <w:r>
        <w:rPr>
          <w:rFonts w:hint="default" w:ascii="Times New Roman" w:hAnsi="Times New Roman" w:eastAsia="宋体" w:cs="Times New Roman"/>
          <w:sz w:val="24"/>
        </w:rPr>
        <w:t>：</w:t>
      </w:r>
      <w:r>
        <w:rPr>
          <w:rFonts w:hint="default" w:ascii="Times New Roman" w:hAnsi="Times New Roman" w:eastAsia="宋体" w:cs="Times New Roman"/>
          <w:sz w:val="24"/>
          <w:lang w:val="en-US" w:eastAsia="zh-CN"/>
        </w:rPr>
        <w:t>中国农业大学</w:t>
      </w:r>
      <w:r>
        <w:rPr>
          <w:rFonts w:hint="default" w:ascii="Times New Roman" w:hAnsi="Times New Roman" w:eastAsia="宋体" w:cs="Times New Roman"/>
          <w:sz w:val="24"/>
        </w:rPr>
        <w:t>出版社,201</w:t>
      </w:r>
      <w:r>
        <w:rPr>
          <w:rFonts w:hint="default" w:ascii="Times New Roman" w:hAnsi="Times New Roman" w:eastAsia="宋体" w:cs="Times New Roman"/>
          <w:sz w:val="24"/>
          <w:lang w:val="en-US" w:eastAsia="zh-CN"/>
        </w:rPr>
        <w:t>0</w:t>
      </w:r>
      <w:r>
        <w:rPr>
          <w:rFonts w:hint="default" w:ascii="Times New Roman" w:hAnsi="Times New Roman" w:eastAsia="宋体" w:cs="Times New Roman"/>
          <w:sz w:val="24"/>
        </w:rPr>
        <w:t>.1</w:t>
      </w:r>
      <w:r>
        <w:rPr>
          <w:rFonts w:hint="default" w:ascii="Times New Roman" w:hAnsi="Times New Roman" w:eastAsia="宋体" w:cs="Times New Roman"/>
          <w:sz w:val="24"/>
          <w:lang w:val="en-US" w:eastAsia="zh-CN"/>
        </w:rPr>
        <w:t>44</w:t>
      </w:r>
      <w:r>
        <w:rPr>
          <w:rFonts w:hint="default" w:ascii="Times New Roman" w:hAnsi="Times New Roman" w:eastAsia="宋体" w:cs="Times New Roman"/>
          <w:sz w:val="24"/>
        </w:rPr>
        <w:t>-1</w:t>
      </w:r>
      <w:r>
        <w:rPr>
          <w:rFonts w:hint="default" w:ascii="Times New Roman" w:hAnsi="Times New Roman" w:eastAsia="宋体" w:cs="Times New Roman"/>
          <w:sz w:val="24"/>
          <w:lang w:val="en-US" w:eastAsia="zh-CN"/>
        </w:rPr>
        <w:t>49</w:t>
      </w:r>
      <w:r>
        <w:rPr>
          <w:rFonts w:hint="eastAsia" w:ascii="Times New Roman" w:hAnsi="Times New Roman" w:eastAsia="宋体" w:cs="Times New Roman"/>
          <w:sz w:val="24"/>
          <w:lang w:val="en-US" w:eastAsia="zh-CN"/>
        </w:rPr>
        <w:t>.</w:t>
      </w:r>
    </w:p>
    <w:p>
      <w:pPr>
        <w:keepNext w:val="0"/>
        <w:keepLines w:val="0"/>
        <w:pageBreakBefore w:val="0"/>
        <w:kinsoku/>
        <w:wordWrap/>
        <w:overflowPunct/>
        <w:autoSpaceDE/>
        <w:autoSpaceDN/>
        <w:bidi w:val="0"/>
        <w:adjustRightInd/>
        <w:snapToGrid/>
        <w:spacing w:line="360" w:lineRule="auto"/>
        <w:ind w:firstLine="480" w:firstLineChars="200"/>
        <w:textAlignment w:val="auto"/>
        <w:rPr>
          <w:rFonts w:hint="default" w:ascii="Times New Roman" w:hAnsi="Times New Roman" w:eastAsia="宋体" w:cs="Times New Roman"/>
          <w:sz w:val="24"/>
          <w:lang w:val="en-US" w:eastAsia="zh-CN"/>
        </w:rPr>
      </w:pPr>
      <w:r>
        <w:rPr>
          <w:rFonts w:hint="default" w:ascii="Times New Roman" w:hAnsi="Times New Roman" w:eastAsia="宋体" w:cs="Times New Roman"/>
          <w:sz w:val="24"/>
        </w:rPr>
        <w:t>[</w:t>
      </w:r>
      <w:r>
        <w:rPr>
          <w:rFonts w:hint="default" w:ascii="Times New Roman" w:hAnsi="Times New Roman" w:eastAsia="宋体" w:cs="Times New Roman"/>
          <w:sz w:val="24"/>
          <w:lang w:val="en-US" w:eastAsia="zh-CN"/>
        </w:rPr>
        <w:t>3</w:t>
      </w:r>
      <w:r>
        <w:rPr>
          <w:rFonts w:hint="default" w:ascii="Times New Roman" w:hAnsi="Times New Roman" w:eastAsia="宋体" w:cs="Times New Roman"/>
          <w:sz w:val="24"/>
        </w:rPr>
        <w:t xml:space="preserve">] </w:t>
      </w:r>
      <w:r>
        <w:rPr>
          <w:rFonts w:hint="default" w:ascii="Times New Roman" w:hAnsi="Times New Roman" w:eastAsia="宋体" w:cs="Times New Roman"/>
          <w:sz w:val="24"/>
          <w:lang w:val="en-US" w:eastAsia="zh-CN"/>
        </w:rPr>
        <w:t>魏玉明</w:t>
      </w:r>
      <w:r>
        <w:rPr>
          <w:rFonts w:hint="default" w:ascii="Times New Roman" w:hAnsi="Times New Roman" w:eastAsia="宋体" w:cs="Times New Roman"/>
          <w:sz w:val="24"/>
        </w:rPr>
        <w:t>,</w:t>
      </w:r>
      <w:r>
        <w:rPr>
          <w:rFonts w:hint="default" w:ascii="Times New Roman" w:hAnsi="Times New Roman" w:eastAsia="宋体" w:cs="Times New Roman"/>
          <w:sz w:val="24"/>
          <w:lang w:val="en-US" w:eastAsia="zh-CN"/>
        </w:rPr>
        <w:t>钱振波</w:t>
      </w:r>
      <w:r>
        <w:rPr>
          <w:rFonts w:hint="default" w:ascii="Times New Roman" w:hAnsi="Times New Roman" w:eastAsia="宋体" w:cs="Times New Roman"/>
          <w:sz w:val="24"/>
        </w:rPr>
        <w:t>,</w:t>
      </w:r>
      <w:r>
        <w:rPr>
          <w:rFonts w:hint="default" w:ascii="Times New Roman" w:hAnsi="Times New Roman" w:eastAsia="宋体" w:cs="Times New Roman"/>
          <w:sz w:val="24"/>
          <w:lang w:val="en-US" w:eastAsia="zh-CN"/>
        </w:rPr>
        <w:t>齐明等</w:t>
      </w:r>
      <w:r>
        <w:rPr>
          <w:rFonts w:hint="default" w:ascii="Times New Roman" w:hAnsi="Times New Roman" w:eastAsia="宋体" w:cs="Times New Roman"/>
          <w:sz w:val="24"/>
        </w:rPr>
        <w:t xml:space="preserve">. </w:t>
      </w:r>
      <w:r>
        <w:rPr>
          <w:rFonts w:hint="default" w:ascii="Times New Roman" w:hAnsi="Times New Roman" w:eastAsia="宋体" w:cs="Times New Roman"/>
          <w:color w:val="000000"/>
          <w:kern w:val="0"/>
          <w:sz w:val="24"/>
          <w:szCs w:val="24"/>
          <w:lang w:val="en-US" w:eastAsia="zh-CN" w:bidi="ar"/>
        </w:rPr>
        <w:t>猪鲜肉中细菌学指标和重金属、兽药残留分析</w:t>
      </w:r>
      <w:r>
        <w:rPr>
          <w:rFonts w:hint="default" w:ascii="Times New Roman" w:hAnsi="Times New Roman" w:eastAsia="宋体" w:cs="Times New Roman"/>
          <w:sz w:val="24"/>
        </w:rPr>
        <w:t>[J].</w:t>
      </w:r>
      <w:r>
        <w:rPr>
          <w:rFonts w:hint="default" w:ascii="Times New Roman" w:hAnsi="Times New Roman" w:eastAsia="宋体" w:cs="Times New Roman"/>
          <w:sz w:val="24"/>
          <w:lang w:val="en-US" w:eastAsia="zh-CN"/>
        </w:rPr>
        <w:t>畜牧兽医杂志</w:t>
      </w:r>
      <w:r>
        <w:rPr>
          <w:rFonts w:hint="default" w:ascii="Times New Roman" w:hAnsi="Times New Roman" w:eastAsia="宋体" w:cs="Times New Roman"/>
          <w:sz w:val="24"/>
        </w:rPr>
        <w:t>.201</w:t>
      </w:r>
      <w:r>
        <w:rPr>
          <w:rFonts w:hint="default" w:ascii="Times New Roman" w:hAnsi="Times New Roman" w:eastAsia="宋体" w:cs="Times New Roman"/>
          <w:sz w:val="24"/>
          <w:lang w:val="en-US" w:eastAsia="zh-CN"/>
        </w:rPr>
        <w:t>5</w:t>
      </w:r>
      <w:r>
        <w:rPr>
          <w:rFonts w:hint="default" w:ascii="Times New Roman" w:hAnsi="Times New Roman" w:eastAsia="宋体" w:cs="Times New Roman"/>
          <w:sz w:val="24"/>
        </w:rPr>
        <w:t>,</w:t>
      </w:r>
      <w:r>
        <w:rPr>
          <w:rFonts w:hint="default" w:ascii="Times New Roman" w:hAnsi="Times New Roman" w:eastAsia="宋体" w:cs="Times New Roman"/>
          <w:sz w:val="24"/>
          <w:lang w:val="en-US" w:eastAsia="zh-CN"/>
        </w:rPr>
        <w:t>34</w:t>
      </w:r>
      <w:r>
        <w:rPr>
          <w:rFonts w:hint="default" w:ascii="Times New Roman" w:hAnsi="Times New Roman" w:eastAsia="宋体" w:cs="Times New Roman"/>
          <w:sz w:val="24"/>
        </w:rPr>
        <w:t>(</w:t>
      </w:r>
      <w:r>
        <w:rPr>
          <w:rFonts w:hint="default" w:ascii="Times New Roman" w:hAnsi="Times New Roman" w:eastAsia="宋体" w:cs="Times New Roman"/>
          <w:sz w:val="24"/>
          <w:lang w:val="en-US" w:eastAsia="zh-CN"/>
        </w:rPr>
        <w:t>6</w:t>
      </w:r>
      <w:r>
        <w:rPr>
          <w:rFonts w:hint="default" w:ascii="Times New Roman" w:hAnsi="Times New Roman" w:eastAsia="宋体" w:cs="Times New Roman"/>
          <w:sz w:val="24"/>
        </w:rPr>
        <w:t>):</w:t>
      </w:r>
      <w:r>
        <w:rPr>
          <w:rFonts w:hint="default" w:ascii="Times New Roman" w:hAnsi="Times New Roman" w:eastAsia="宋体" w:cs="Times New Roman"/>
          <w:sz w:val="24"/>
          <w:lang w:val="en-US" w:eastAsia="zh-CN"/>
        </w:rPr>
        <w:t>13</w:t>
      </w:r>
      <w:r>
        <w:rPr>
          <w:rFonts w:hint="default" w:ascii="Times New Roman" w:hAnsi="Times New Roman" w:eastAsia="宋体" w:cs="Times New Roman"/>
          <w:sz w:val="24"/>
        </w:rPr>
        <w:t>-</w:t>
      </w:r>
      <w:r>
        <w:rPr>
          <w:rFonts w:hint="default" w:ascii="Times New Roman" w:hAnsi="Times New Roman" w:eastAsia="宋体" w:cs="Times New Roman"/>
          <w:sz w:val="24"/>
          <w:lang w:val="en-US" w:eastAsia="zh-CN"/>
        </w:rPr>
        <w:t>16</w:t>
      </w:r>
      <w:r>
        <w:rPr>
          <w:rFonts w:hint="default" w:ascii="Times New Roman" w:hAnsi="Times New Roman" w:eastAsia="宋体" w:cs="Times New Roman"/>
          <w:sz w:val="24"/>
        </w:rPr>
        <w:t>.</w:t>
      </w:r>
    </w:p>
    <w:p>
      <w:pPr>
        <w:keepNext w:val="0"/>
        <w:keepLines w:val="0"/>
        <w:pageBreakBefore w:val="0"/>
        <w:widowControl/>
        <w:suppressLineNumbers w:val="0"/>
        <w:kinsoku/>
        <w:wordWrap/>
        <w:overflowPunct/>
        <w:autoSpaceDE/>
        <w:autoSpaceDN/>
        <w:bidi w:val="0"/>
        <w:adjustRightInd/>
        <w:snapToGrid/>
        <w:spacing w:line="360" w:lineRule="auto"/>
        <w:ind w:firstLine="480" w:firstLineChars="200"/>
        <w:jc w:val="left"/>
        <w:textAlignment w:val="auto"/>
        <w:rPr>
          <w:rFonts w:hint="default" w:ascii="Times New Roman" w:hAnsi="Times New Roman" w:eastAsia="宋体" w:cs="Times New Roman"/>
          <w:sz w:val="24"/>
          <w:lang w:val="en-US" w:eastAsia="zh-CN"/>
        </w:rPr>
      </w:pPr>
      <w:r>
        <w:rPr>
          <w:rFonts w:hint="default" w:ascii="Times New Roman" w:hAnsi="Times New Roman" w:eastAsia="宋体" w:cs="Times New Roman"/>
          <w:sz w:val="24"/>
          <w:lang w:val="en-US" w:eastAsia="zh-CN"/>
        </w:rPr>
        <w:t>[4] 杨蓉,林鹏飞,吴光松等. 不同屠宰期柯乐猪肉品质的差异研究[J].黑龙江畜牧兽医.2019,(13):44-46.</w:t>
      </w:r>
    </w:p>
    <w:p>
      <w:pPr>
        <w:keepNext w:val="0"/>
        <w:keepLines w:val="0"/>
        <w:pageBreakBefore w:val="0"/>
        <w:numPr>
          <w:ilvl w:val="0"/>
          <w:numId w:val="0"/>
        </w:numPr>
        <w:kinsoku/>
        <w:wordWrap/>
        <w:overflowPunct/>
        <w:autoSpaceDE/>
        <w:autoSpaceDN/>
        <w:bidi w:val="0"/>
        <w:adjustRightInd/>
        <w:snapToGrid/>
        <w:spacing w:line="360" w:lineRule="auto"/>
        <w:ind w:firstLine="480" w:firstLineChars="200"/>
        <w:textAlignment w:val="auto"/>
        <w:rPr>
          <w:rFonts w:hint="default" w:ascii="Times New Roman" w:hAnsi="Times New Roman" w:eastAsia="宋体" w:cs="Times New Roman"/>
          <w:sz w:val="24"/>
          <w:lang w:val="en-US" w:eastAsia="zh-CN"/>
        </w:rPr>
      </w:pPr>
      <w:r>
        <w:rPr>
          <w:rFonts w:hint="default" w:ascii="Times New Roman" w:hAnsi="Times New Roman" w:eastAsia="宋体" w:cs="Times New Roman"/>
          <w:sz w:val="24"/>
          <w:lang w:val="en-US" w:eastAsia="zh-CN"/>
        </w:rPr>
        <w:t>[5] 张雄,尚以顺,韩雪等. 从江香猪胴体及肉品质性状研究[J].家畜生态学报.2019,40(1):36-40</w:t>
      </w:r>
      <w:r>
        <w:rPr>
          <w:rFonts w:hint="eastAsia" w:ascii="Times New Roman" w:hAnsi="Times New Roman" w:eastAsia="宋体" w:cs="Times New Roman"/>
          <w:sz w:val="24"/>
          <w:lang w:val="en-US" w:eastAsia="zh-CN"/>
        </w:rPr>
        <w:t>.</w:t>
      </w:r>
    </w:p>
    <w:p>
      <w:pPr>
        <w:keepNext w:val="0"/>
        <w:keepLines w:val="0"/>
        <w:pageBreakBefore w:val="0"/>
        <w:kinsoku/>
        <w:wordWrap/>
        <w:overflowPunct/>
        <w:autoSpaceDE/>
        <w:autoSpaceDN/>
        <w:bidi w:val="0"/>
        <w:adjustRightInd/>
        <w:snapToGrid/>
        <w:spacing w:line="360" w:lineRule="auto"/>
        <w:ind w:firstLine="480" w:firstLineChars="200"/>
        <w:textAlignment w:val="auto"/>
        <w:rPr>
          <w:rFonts w:hint="default" w:ascii="Times New Roman" w:hAnsi="Times New Roman" w:eastAsia="宋体" w:cs="Times New Roman"/>
          <w:sz w:val="24"/>
        </w:rPr>
      </w:pPr>
      <w:r>
        <w:rPr>
          <w:rFonts w:hint="default" w:ascii="Times New Roman" w:hAnsi="Times New Roman" w:eastAsia="宋体" w:cs="Times New Roman"/>
          <w:sz w:val="24"/>
        </w:rPr>
        <w:t>[</w:t>
      </w:r>
      <w:r>
        <w:rPr>
          <w:rFonts w:hint="default" w:ascii="Times New Roman" w:hAnsi="Times New Roman" w:eastAsia="宋体" w:cs="Times New Roman"/>
          <w:sz w:val="24"/>
          <w:lang w:val="en-US" w:eastAsia="zh-CN"/>
        </w:rPr>
        <w:t>6</w:t>
      </w:r>
      <w:r>
        <w:rPr>
          <w:rFonts w:hint="default" w:ascii="Times New Roman" w:hAnsi="Times New Roman" w:eastAsia="宋体" w:cs="Times New Roman"/>
          <w:sz w:val="24"/>
        </w:rPr>
        <w:t xml:space="preserve">] </w:t>
      </w:r>
      <w:r>
        <w:rPr>
          <w:rFonts w:hint="default" w:ascii="Times New Roman" w:hAnsi="Times New Roman" w:eastAsia="宋体" w:cs="Times New Roman"/>
          <w:sz w:val="24"/>
          <w:lang w:val="en-US" w:eastAsia="zh-CN"/>
        </w:rPr>
        <w:t>杨忠诚</w:t>
      </w:r>
      <w:r>
        <w:rPr>
          <w:rFonts w:hint="default" w:ascii="Times New Roman" w:hAnsi="Times New Roman" w:eastAsia="宋体" w:cs="Times New Roman"/>
          <w:sz w:val="24"/>
        </w:rPr>
        <w:t>,</w:t>
      </w:r>
      <w:r>
        <w:rPr>
          <w:rFonts w:hint="default" w:ascii="Times New Roman" w:hAnsi="Times New Roman" w:eastAsia="宋体" w:cs="Times New Roman"/>
          <w:sz w:val="24"/>
          <w:lang w:val="en-US" w:eastAsia="zh-CN"/>
        </w:rPr>
        <w:t>刘若余</w:t>
      </w:r>
      <w:r>
        <w:rPr>
          <w:rFonts w:hint="default" w:ascii="Times New Roman" w:hAnsi="Times New Roman" w:eastAsia="宋体" w:cs="Times New Roman"/>
          <w:sz w:val="24"/>
        </w:rPr>
        <w:t>,</w:t>
      </w:r>
      <w:r>
        <w:rPr>
          <w:rFonts w:hint="default" w:ascii="Times New Roman" w:hAnsi="Times New Roman" w:eastAsia="宋体" w:cs="Times New Roman"/>
          <w:sz w:val="24"/>
          <w:lang w:val="en-US" w:eastAsia="zh-CN"/>
        </w:rPr>
        <w:t>盘道兴</w:t>
      </w:r>
      <w:r>
        <w:rPr>
          <w:rFonts w:hint="eastAsia" w:ascii="Times New Roman" w:hAnsi="Times New Roman" w:eastAsia="宋体" w:cs="Times New Roman"/>
          <w:sz w:val="24"/>
          <w:lang w:val="en-US" w:eastAsia="zh-CN"/>
        </w:rPr>
        <w:t>等</w:t>
      </w:r>
      <w:r>
        <w:rPr>
          <w:rFonts w:hint="default" w:ascii="Times New Roman" w:hAnsi="Times New Roman" w:eastAsia="宋体" w:cs="Times New Roman"/>
          <w:sz w:val="24"/>
        </w:rPr>
        <w:t xml:space="preserve">. </w:t>
      </w:r>
      <w:r>
        <w:rPr>
          <w:rFonts w:hint="default" w:ascii="Times New Roman" w:hAnsi="Times New Roman" w:eastAsia="宋体" w:cs="Times New Roman"/>
          <w:color w:val="000000"/>
          <w:kern w:val="0"/>
          <w:sz w:val="24"/>
          <w:szCs w:val="24"/>
          <w:lang w:val="en-US" w:eastAsia="zh-CN" w:bidi="ar"/>
        </w:rPr>
        <w:t>不同屠宰体重对江口萝卜猪胴体性状、肉品质、 氨基酸和脂肪酸的影响</w:t>
      </w:r>
      <w:r>
        <w:rPr>
          <w:rFonts w:hint="default" w:ascii="Times New Roman" w:hAnsi="Times New Roman" w:eastAsia="宋体" w:cs="Times New Roman"/>
          <w:sz w:val="24"/>
        </w:rPr>
        <w:t>[J].</w:t>
      </w:r>
      <w:r>
        <w:rPr>
          <w:rFonts w:hint="default" w:ascii="Times New Roman" w:hAnsi="Times New Roman" w:eastAsia="宋体" w:cs="Times New Roman"/>
          <w:sz w:val="24"/>
          <w:lang w:val="en-US" w:eastAsia="zh-CN"/>
        </w:rPr>
        <w:t>中国畜牧兽医</w:t>
      </w:r>
      <w:r>
        <w:rPr>
          <w:rFonts w:hint="default" w:ascii="Times New Roman" w:hAnsi="Times New Roman" w:eastAsia="宋体" w:cs="Times New Roman"/>
          <w:sz w:val="24"/>
        </w:rPr>
        <w:t>.201</w:t>
      </w:r>
      <w:r>
        <w:rPr>
          <w:rFonts w:hint="default" w:ascii="Times New Roman" w:hAnsi="Times New Roman" w:eastAsia="宋体" w:cs="Times New Roman"/>
          <w:sz w:val="24"/>
          <w:lang w:val="en-US" w:eastAsia="zh-CN"/>
        </w:rPr>
        <w:t>6</w:t>
      </w:r>
      <w:r>
        <w:rPr>
          <w:rFonts w:hint="default" w:ascii="Times New Roman" w:hAnsi="Times New Roman" w:eastAsia="宋体" w:cs="Times New Roman"/>
          <w:sz w:val="24"/>
        </w:rPr>
        <w:t>,</w:t>
      </w:r>
      <w:r>
        <w:rPr>
          <w:rFonts w:hint="default" w:ascii="Times New Roman" w:hAnsi="Times New Roman" w:eastAsia="宋体" w:cs="Times New Roman"/>
          <w:sz w:val="24"/>
          <w:lang w:val="en-US" w:eastAsia="zh-CN"/>
        </w:rPr>
        <w:t>43</w:t>
      </w:r>
      <w:r>
        <w:rPr>
          <w:rFonts w:hint="default" w:ascii="Times New Roman" w:hAnsi="Times New Roman" w:eastAsia="宋体" w:cs="Times New Roman"/>
          <w:sz w:val="24"/>
        </w:rPr>
        <w:t>(</w:t>
      </w:r>
      <w:r>
        <w:rPr>
          <w:rFonts w:hint="default" w:ascii="Times New Roman" w:hAnsi="Times New Roman" w:eastAsia="宋体" w:cs="Times New Roman"/>
          <w:sz w:val="24"/>
          <w:lang w:val="en-US" w:eastAsia="zh-CN"/>
        </w:rPr>
        <w:t>9</w:t>
      </w:r>
      <w:r>
        <w:rPr>
          <w:rFonts w:hint="default" w:ascii="Times New Roman" w:hAnsi="Times New Roman" w:eastAsia="宋体" w:cs="Times New Roman"/>
          <w:sz w:val="24"/>
        </w:rPr>
        <w:t>):</w:t>
      </w:r>
      <w:r>
        <w:rPr>
          <w:rFonts w:hint="default" w:ascii="Times New Roman" w:hAnsi="Times New Roman" w:eastAsia="宋体" w:cs="Times New Roman"/>
          <w:sz w:val="24"/>
          <w:lang w:val="en-US" w:eastAsia="zh-CN"/>
        </w:rPr>
        <w:t>2317</w:t>
      </w:r>
      <w:r>
        <w:rPr>
          <w:rFonts w:hint="default" w:ascii="Times New Roman" w:hAnsi="Times New Roman" w:eastAsia="宋体" w:cs="Times New Roman"/>
          <w:sz w:val="24"/>
        </w:rPr>
        <w:t>-</w:t>
      </w:r>
      <w:r>
        <w:rPr>
          <w:rFonts w:hint="default" w:ascii="Times New Roman" w:hAnsi="Times New Roman" w:eastAsia="宋体" w:cs="Times New Roman"/>
          <w:sz w:val="24"/>
          <w:lang w:val="en-US" w:eastAsia="zh-CN"/>
        </w:rPr>
        <w:t>2325</w:t>
      </w:r>
      <w:r>
        <w:rPr>
          <w:rFonts w:hint="default" w:ascii="Times New Roman" w:hAnsi="Times New Roman" w:eastAsia="宋体" w:cs="Times New Roman"/>
          <w:sz w:val="24"/>
        </w:rPr>
        <w:t>.</w:t>
      </w:r>
    </w:p>
    <w:p>
      <w:pPr>
        <w:keepNext w:val="0"/>
        <w:keepLines w:val="0"/>
        <w:pageBreakBefore w:val="0"/>
        <w:kinsoku/>
        <w:wordWrap/>
        <w:overflowPunct/>
        <w:autoSpaceDE/>
        <w:autoSpaceDN/>
        <w:bidi w:val="0"/>
        <w:adjustRightInd/>
        <w:snapToGrid/>
        <w:spacing w:line="360" w:lineRule="auto"/>
        <w:ind w:firstLine="480" w:firstLineChars="200"/>
        <w:textAlignment w:val="auto"/>
        <w:rPr>
          <w:rFonts w:hint="default" w:ascii="Times New Roman" w:hAnsi="Times New Roman" w:eastAsia="宋体" w:cs="Times New Roman"/>
          <w:sz w:val="24"/>
          <w:lang w:val="en-US" w:eastAsia="zh-CN"/>
        </w:rPr>
      </w:pPr>
      <w:r>
        <w:rPr>
          <w:rFonts w:hint="default" w:ascii="Times New Roman" w:hAnsi="Times New Roman" w:eastAsia="宋体" w:cs="Times New Roman"/>
          <w:sz w:val="24"/>
          <w:lang w:val="en-US" w:eastAsia="zh-CN"/>
        </w:rPr>
        <w:t>[7] 张雄,史开志,王婧等. 不同生长阶段从江香猪肉品质及脂肪沉积变化研究[J].黑龙江畜牧兽医.2019,(13):62-64.</w:t>
      </w:r>
    </w:p>
    <w:p>
      <w:pPr>
        <w:spacing w:line="343" w:lineRule="auto"/>
        <w:rPr>
          <w:rFonts w:hint="eastAsia"/>
          <w:sz w:val="24"/>
          <w:lang w:val="en-US" w:eastAsia="zh-CN"/>
        </w:rPr>
      </w:pPr>
    </w:p>
    <w:p>
      <w:pPr>
        <w:keepNext w:val="0"/>
        <w:keepLines w:val="0"/>
        <w:widowControl/>
        <w:suppressLineNumbers w:val="0"/>
        <w:jc w:val="left"/>
        <w:rPr>
          <w:rFonts w:hint="eastAsia"/>
          <w:sz w:val="24"/>
          <w:lang w:val="en-US" w:eastAsia="zh-CN"/>
        </w:rPr>
      </w:pPr>
    </w:p>
    <w:p>
      <w:pPr>
        <w:keepNext w:val="0"/>
        <w:keepLines w:val="0"/>
        <w:widowControl/>
        <w:suppressLineNumbers w:val="0"/>
        <w:jc w:val="left"/>
        <w:rPr>
          <w:rFonts w:hint="eastAsia"/>
          <w:sz w:val="24"/>
          <w:lang w:val="en-US" w:eastAsia="zh-CN"/>
        </w:rPr>
      </w:pPr>
    </w:p>
    <w:p>
      <w:pPr>
        <w:spacing w:line="343" w:lineRule="auto"/>
        <w:rPr>
          <w:sz w:val="24"/>
        </w:rPr>
      </w:pPr>
    </w:p>
    <w:p>
      <w:pPr>
        <w:keepNext w:val="0"/>
        <w:keepLines w:val="0"/>
        <w:pageBreakBefore w:val="0"/>
        <w:widowControl w:val="0"/>
        <w:kinsoku/>
        <w:wordWrap/>
        <w:overflowPunct/>
        <w:topLinePunct w:val="0"/>
        <w:autoSpaceDE/>
        <w:autoSpaceDN/>
        <w:bidi w:val="0"/>
        <w:adjustRightInd/>
        <w:snapToGrid/>
        <w:spacing w:line="540" w:lineRule="exact"/>
        <w:ind w:right="0" w:rightChars="0" w:firstLine="560" w:firstLineChars="200"/>
        <w:textAlignment w:val="auto"/>
        <w:outlineLvl w:val="9"/>
        <w:rPr>
          <w:rFonts w:hint="eastAsia" w:ascii="仿宋_GB2312" w:hAnsi="仿宋_GB2312" w:eastAsia="仿宋_GB2312" w:cs="仿宋_GB2312"/>
          <w:sz w:val="28"/>
          <w:szCs w:val="28"/>
          <w:lang w:val="en-US" w:eastAsia="zh-CN"/>
        </w:rPr>
      </w:pPr>
    </w:p>
    <w:p>
      <w:pPr>
        <w:keepNext w:val="0"/>
        <w:keepLines w:val="0"/>
        <w:pageBreakBefore w:val="0"/>
        <w:numPr>
          <w:ilvl w:val="0"/>
          <w:numId w:val="0"/>
        </w:numPr>
        <w:kinsoku/>
        <w:wordWrap/>
        <w:topLinePunct w:val="0"/>
        <w:bidi w:val="0"/>
        <w:spacing w:line="360" w:lineRule="auto"/>
        <w:jc w:val="both"/>
        <w:rPr>
          <w:rFonts w:hint="default" w:ascii="宋体" w:hAnsi="宋体" w:eastAsia="宋体" w:cs="宋体"/>
          <w:b/>
          <w:bCs/>
          <w:sz w:val="30"/>
          <w:szCs w:val="30"/>
          <w:lang w:val="en-US" w:eastAsia="zh-CN"/>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font-weight : 400">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7F7A12"/>
    <w:multiLevelType w:val="singleLevel"/>
    <w:tmpl w:val="A97F7A12"/>
    <w:lvl w:ilvl="0" w:tentative="0">
      <w:start w:val="1"/>
      <w:numFmt w:val="decimal"/>
      <w:suff w:val="nothing"/>
      <w:lvlText w:val="（%1）"/>
      <w:lvlJc w:val="left"/>
    </w:lvl>
  </w:abstractNum>
  <w:abstractNum w:abstractNumId="1">
    <w:nsid w:val="00000014"/>
    <w:multiLevelType w:val="multilevel"/>
    <w:tmpl w:val="00000014"/>
    <w:lvl w:ilvl="0" w:tentative="0">
      <w:start w:val="1"/>
      <w:numFmt w:val="upperLetter"/>
      <w:suff w:val="nothing"/>
      <w:lvlText w:val="附　录　%1"/>
      <w:lvlJc w:val="left"/>
      <w:pPr>
        <w:ind w:left="0" w:firstLine="0"/>
      </w:pPr>
      <w:rPr>
        <w:rFonts w:hint="eastAsia" w:ascii="黑体" w:hAnsi="Times New Roman" w:eastAsia="黑体"/>
        <w:b w:val="0"/>
        <w:i w:val="0"/>
        <w:sz w:val="21"/>
      </w:rPr>
    </w:lvl>
    <w:lvl w:ilvl="1" w:tentative="0">
      <w:start w:val="1"/>
      <w:numFmt w:val="decimal"/>
      <w:pStyle w:val="9"/>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383A81"/>
    <w:rsid w:val="00245A3E"/>
    <w:rsid w:val="013C3F2C"/>
    <w:rsid w:val="0256772B"/>
    <w:rsid w:val="068F52A3"/>
    <w:rsid w:val="0753570A"/>
    <w:rsid w:val="07990C19"/>
    <w:rsid w:val="0B4437FA"/>
    <w:rsid w:val="0C963C26"/>
    <w:rsid w:val="0CB82791"/>
    <w:rsid w:val="0D535177"/>
    <w:rsid w:val="0DFF6CF6"/>
    <w:rsid w:val="0F45268A"/>
    <w:rsid w:val="121C7BFC"/>
    <w:rsid w:val="14060B35"/>
    <w:rsid w:val="18CF05C3"/>
    <w:rsid w:val="1B92729A"/>
    <w:rsid w:val="1CF56B57"/>
    <w:rsid w:val="1D030F2C"/>
    <w:rsid w:val="1F4F1AB7"/>
    <w:rsid w:val="22E36F6E"/>
    <w:rsid w:val="23745894"/>
    <w:rsid w:val="25D72228"/>
    <w:rsid w:val="2623330C"/>
    <w:rsid w:val="26B964BD"/>
    <w:rsid w:val="27373D73"/>
    <w:rsid w:val="36774738"/>
    <w:rsid w:val="3C452025"/>
    <w:rsid w:val="3C586B85"/>
    <w:rsid w:val="3C683A0E"/>
    <w:rsid w:val="42454C3E"/>
    <w:rsid w:val="43CF4D2C"/>
    <w:rsid w:val="43E030A6"/>
    <w:rsid w:val="43F70DC7"/>
    <w:rsid w:val="46095C6B"/>
    <w:rsid w:val="49094C2F"/>
    <w:rsid w:val="4A9C1537"/>
    <w:rsid w:val="4AC324B9"/>
    <w:rsid w:val="4E366267"/>
    <w:rsid w:val="4F481559"/>
    <w:rsid w:val="539022DF"/>
    <w:rsid w:val="56473CBB"/>
    <w:rsid w:val="57B415C9"/>
    <w:rsid w:val="5B383A81"/>
    <w:rsid w:val="5C690305"/>
    <w:rsid w:val="5D7B3F46"/>
    <w:rsid w:val="61BA739B"/>
    <w:rsid w:val="621246D2"/>
    <w:rsid w:val="63D21E2D"/>
    <w:rsid w:val="649C3D8F"/>
    <w:rsid w:val="65121E69"/>
    <w:rsid w:val="65611C15"/>
    <w:rsid w:val="681808FA"/>
    <w:rsid w:val="6A1C0DDE"/>
    <w:rsid w:val="6A1E249A"/>
    <w:rsid w:val="6E0B07A7"/>
    <w:rsid w:val="6F4D0543"/>
    <w:rsid w:val="700C3A47"/>
    <w:rsid w:val="72054352"/>
    <w:rsid w:val="730A0801"/>
    <w:rsid w:val="735770B7"/>
    <w:rsid w:val="754149F2"/>
    <w:rsid w:val="76C905EA"/>
    <w:rsid w:val="79F35529"/>
    <w:rsid w:val="7AC00D87"/>
    <w:rsid w:val="7B7414CD"/>
    <w:rsid w:val="7D47797B"/>
    <w:rsid w:val="7E6F6D4D"/>
    <w:rsid w:val="7F0868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name="toc 3"/>
    <w:lsdException w:unhideWhenUsed="0" w:uiPriority="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toc 3"/>
    <w:basedOn w:val="1"/>
    <w:next w:val="1"/>
    <w:semiHidden/>
    <w:qFormat/>
    <w:uiPriority w:val="0"/>
    <w:pPr>
      <w:ind w:left="840" w:leftChars="400"/>
    </w:pPr>
  </w:style>
  <w:style w:type="paragraph" w:styleId="4">
    <w:name w:val="Plain Text"/>
    <w:basedOn w:val="1"/>
    <w:qFormat/>
    <w:uiPriority w:val="99"/>
    <w:rPr>
      <w:rFonts w:ascii="宋体" w:hAnsi="Courier New" w:eastAsia="等线"/>
      <w:kern w:val="0"/>
      <w:szCs w:val="21"/>
    </w:rPr>
  </w:style>
  <w:style w:type="paragraph" w:styleId="5">
    <w:name w:val="toc 4"/>
    <w:basedOn w:val="3"/>
    <w:next w:val="1"/>
    <w:semiHidden/>
    <w:uiPriority w:val="0"/>
    <w:pPr>
      <w:widowControl/>
      <w:ind w:left="0" w:leftChars="0"/>
    </w:pPr>
    <w:rPr>
      <w:rFonts w:ascii="宋体"/>
      <w:kern w:val="0"/>
      <w:szCs w:val="20"/>
    </w:rPr>
  </w:style>
  <w:style w:type="paragraph" w:styleId="6">
    <w:name w:val="Normal (Web)"/>
    <w:basedOn w:val="1"/>
    <w:unhideWhenUsed/>
    <w:uiPriority w:val="99"/>
    <w:pPr>
      <w:widowControl/>
      <w:spacing w:before="100" w:beforeAutospacing="1" w:after="100" w:afterAutospacing="1"/>
      <w:jc w:val="left"/>
    </w:pPr>
    <w:rPr>
      <w:rFonts w:ascii="宋体" w:hAnsi="宋体" w:cs="宋体"/>
      <w:kern w:val="0"/>
      <w:sz w:val="24"/>
    </w:rPr>
  </w:style>
  <w:style w:type="paragraph" w:customStyle="1" w:styleId="9">
    <w:name w:val="附录章标题"/>
    <w:next w:val="10"/>
    <w:qFormat/>
    <w:uiPriority w:val="0"/>
    <w:pPr>
      <w:numPr>
        <w:ilvl w:val="1"/>
        <w:numId w:val="1"/>
      </w:numPr>
      <w:wordWrap w:val="0"/>
      <w:overflowPunct w:val="0"/>
      <w:autoSpaceDE w:val="0"/>
      <w:spacing w:before="156" w:beforeLines="50" w:after="156"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0">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1">
    <w:name w:val="font31"/>
    <w:basedOn w:val="8"/>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2020-07-18T08:30:00Z</dcterms:created>
  <dc:creator>joy</dc:creator>
  <cp:lastModifiedBy>小张先森</cp:lastModifiedBy>
  <dcterms:modified xsi:type="dcterms:W3CDTF">2020-11-10T13:36:02Z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