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商丘市市场监督管理局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</w:rPr>
        <w:t>食品监督抽检情况的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53</w:t>
      </w:r>
      <w:r>
        <w:rPr>
          <w:rFonts w:hint="eastAsia" w:ascii="黑体" w:hAnsi="黑体" w:eastAsia="黑体" w:cs="黑体"/>
          <w:sz w:val="44"/>
          <w:szCs w:val="44"/>
        </w:rPr>
        <w:t>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根据《中华人民共和国食品安全法》、《食品安全抽样检验管理办法》的规定，商丘市市场监督管理局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河南省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</w:rPr>
        <w:t>监督管理局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下达的抽检任务进行了</w:t>
      </w:r>
      <w:r>
        <w:rPr>
          <w:rFonts w:hint="eastAsia" w:ascii="仿宋" w:hAnsi="仿宋" w:eastAsia="仿宋" w:cs="仿宋"/>
          <w:sz w:val="32"/>
          <w:szCs w:val="32"/>
        </w:rPr>
        <w:t>抽检，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现将处置完毕批次公示如下：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本次共抽检食品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批次，经检验，合格数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，不合格批次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1批次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上述样品检验机构均为商丘市质量技术监督检验测试中心。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附件：商丘市市场监督管理局20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流通领域</w:t>
      </w:r>
      <w:r>
        <w:rPr>
          <w:rFonts w:hint="eastAsia" w:ascii="仿宋" w:hAnsi="仿宋" w:eastAsia="仿宋" w:cs="仿宋"/>
          <w:sz w:val="32"/>
          <w:szCs w:val="32"/>
        </w:rPr>
        <w:t>监督抽检信息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920" w:firstLineChars="3100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商丘市市场监督管理局20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</w:rPr>
        <w:t>年第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53</w:t>
      </w:r>
      <w:r>
        <w:rPr>
          <w:rFonts w:hint="eastAsia" w:ascii="仿宋" w:hAnsi="仿宋" w:eastAsia="仿宋" w:cs="仿宋"/>
          <w:sz w:val="36"/>
          <w:szCs w:val="36"/>
        </w:rPr>
        <w:t>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流通领域</w:t>
      </w:r>
      <w:r>
        <w:rPr>
          <w:rFonts w:hint="eastAsia" w:ascii="仿宋" w:hAnsi="仿宋" w:eastAsia="仿宋" w:cs="仿宋"/>
          <w:sz w:val="36"/>
          <w:szCs w:val="36"/>
        </w:rPr>
        <w:t>监督抽检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合格</w:t>
      </w:r>
      <w:r>
        <w:rPr>
          <w:rFonts w:hint="eastAsia" w:ascii="仿宋" w:hAnsi="仿宋" w:eastAsia="仿宋" w:cs="仿宋"/>
          <w:sz w:val="36"/>
          <w:szCs w:val="36"/>
        </w:rPr>
        <w:t>信息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公示</w:t>
      </w:r>
      <w:r>
        <w:rPr>
          <w:rFonts w:hint="eastAsia" w:ascii="仿宋" w:hAnsi="仿宋" w:eastAsia="仿宋" w:cs="仿宋"/>
          <w:sz w:val="36"/>
          <w:szCs w:val="36"/>
        </w:rPr>
        <w:t>表</w:t>
      </w:r>
    </w:p>
    <w:tbl>
      <w:tblPr>
        <w:tblStyle w:val="5"/>
        <w:tblW w:w="14231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854"/>
        <w:gridCol w:w="1787"/>
        <w:gridCol w:w="1950"/>
        <w:gridCol w:w="1899"/>
        <w:gridCol w:w="1128"/>
        <w:gridCol w:w="1391"/>
        <w:gridCol w:w="1104"/>
        <w:gridCol w:w="1378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抽样单号（编号）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   批号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所抽批次抽检结果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DC20411400467932546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商丘市广安糕点有限公司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商丘市城乡一体化示范区商鼎路中段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商丘市梁园区晓卿副食商行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花生酥月饼（京式月饼）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300克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2020-8-22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DC20411400467932545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商丘市广安糕点有限公司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商丘市城乡一体化示范区商鼎路中段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商丘市梁园区晓卿副食商行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蜂蜜枣蓉月饼（苏式蓉沙类）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60克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2020-8-19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DC20411400467932520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河南省永城市天茂食品厂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永城市龙岗镇后田楼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老月饼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280g±9g/盒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2020-8-7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DC20411400467932519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永城市鸿宇食品厂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永城市十八里镇柘树集村柘树集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花生酥月饼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288g/盒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2020-7-29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DC20411400467932518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永城市鸿宇食品厂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永城市十八里镇柘树集村柘树集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芝麻酥月饼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288g/盒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2020-7-28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DC20411400467932549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商丘市梁园区添瑞食品厂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商丘市梁园区孙付集西街路北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商丘市睢阳区勇奇副食品经营部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添瑞月饼（凤梨味）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248克/袋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2020-8-4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DC20411400467932550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商丘市众欢食品有限公司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商丘市睢阳区李口镇李自勺村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商丘市睢阳区勇奇副食品经营部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众欢月饼（花生酥月饼）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248克/袋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2020-9-2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DC20411400467932551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单县圣鸿食品有限公司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单县终兴镇白楼行政村</w:t>
            </w:r>
          </w:p>
        </w:tc>
        <w:tc>
          <w:tcPr>
            <w:tcW w:w="1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商丘市睢阳区勇奇副食品经营部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哈密瓜味月饼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200g/袋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2020-9-1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DC20411400467932544</w:t>
            </w:r>
          </w:p>
        </w:tc>
        <w:tc>
          <w:tcPr>
            <w:tcW w:w="1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永城市鸿宇食品厂</w:t>
            </w:r>
          </w:p>
        </w:tc>
        <w:tc>
          <w:tcPr>
            <w:tcW w:w="1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永城市十八里镇柘树集村柘树集</w:t>
            </w:r>
          </w:p>
        </w:tc>
        <w:tc>
          <w:tcPr>
            <w:tcW w:w="18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商丘市睢阳区恋家水果店</w:t>
            </w:r>
          </w:p>
        </w:tc>
        <w:tc>
          <w:tcPr>
            <w:tcW w:w="11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蛋黄酥月饼</w:t>
            </w:r>
          </w:p>
        </w:tc>
        <w:tc>
          <w:tcPr>
            <w:tcW w:w="11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300克</w:t>
            </w:r>
          </w:p>
        </w:tc>
        <w:tc>
          <w:tcPr>
            <w:tcW w:w="13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2020-8-26</w:t>
            </w:r>
          </w:p>
        </w:tc>
        <w:tc>
          <w:tcPr>
            <w:tcW w:w="11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DC20411400467932543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永城市鸿宇食品厂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永城市十八里镇柘树集村柘树集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商丘市睢阳区恋家水果店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果仁酥月饼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300克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2020-8-27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DC20411400467932521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商丘市乡味浓食品有限公司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商丘市睢阳区生态食品产业园珠江西路振兴路南侧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芝麻油（小磨香油）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225ml/瓶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2020-2-15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DC20411400467932522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河南家伦食品有限责任公司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郑州市中牟县郑庵镇中芦路北侧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家伦大刀肉味（调味面制品）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85克/袋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2020-7-21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5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DC20411400467932523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沁阳市利豪豆制品厂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焦作市沁阳市西向镇工业区焦克路北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商丘市城乡一体化示范区金客来副食店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河南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腐竹(非发酵性豆制品)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2020-3-8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商丘市市场监督管理局20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</w:rPr>
        <w:t>年第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53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期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流通领域</w:t>
      </w:r>
      <w:r>
        <w:rPr>
          <w:rFonts w:hint="eastAsia" w:ascii="仿宋" w:hAnsi="仿宋" w:eastAsia="仿宋" w:cs="仿宋"/>
          <w:sz w:val="36"/>
          <w:szCs w:val="36"/>
        </w:rPr>
        <w:t>监督抽检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不合格信</w:t>
      </w:r>
      <w:r>
        <w:rPr>
          <w:rFonts w:hint="eastAsia" w:ascii="仿宋" w:hAnsi="仿宋" w:eastAsia="仿宋" w:cs="仿宋"/>
          <w:sz w:val="36"/>
          <w:szCs w:val="36"/>
        </w:rPr>
        <w:t>息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公示</w:t>
      </w:r>
      <w:r>
        <w:rPr>
          <w:rFonts w:hint="eastAsia" w:ascii="仿宋" w:hAnsi="仿宋" w:eastAsia="仿宋" w:cs="仿宋"/>
          <w:sz w:val="36"/>
          <w:szCs w:val="36"/>
        </w:rPr>
        <w:t>表</w:t>
      </w:r>
    </w:p>
    <w:tbl>
      <w:tblPr>
        <w:tblStyle w:val="5"/>
        <w:tblW w:w="14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823"/>
        <w:gridCol w:w="1918"/>
        <w:gridCol w:w="1469"/>
        <w:gridCol w:w="1334"/>
        <w:gridCol w:w="1176"/>
        <w:gridCol w:w="815"/>
        <w:gridCol w:w="830"/>
        <w:gridCol w:w="1037"/>
        <w:gridCol w:w="1037"/>
        <w:gridCol w:w="1037"/>
        <w:gridCol w:w="949"/>
        <w:gridCol w:w="1110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抽样单号（编号）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   批号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38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Helvetica" w:cs="Helvetica"/>
                <w:i w:val="0"/>
                <w:color w:val="676A6C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DC20411400467930517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安徽省涡阳县义门恒发食品有限公司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安徽省亳州市涡阳县义门镇S307线北侧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虞城县芒种桥好又多购物中心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河南省商丘市虞城县芒种桥乡芒种桥村26号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宋体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小麦粉（多用途麦芯粉）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2.5kg/袋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  <w:t>/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2020-02-24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宋体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eastAsia="zh-CN"/>
              </w:rPr>
              <w:t>标签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</w:rPr>
              <w:t>1、执行标准：GB1355-1986 错误， 应为 GB/T 1355-1986；2、质量等 级标识错误，面粉质量等级无精 制一等，应分为：特制一等、特 制二等、标准粉、普通粉。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宋体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  <w:t>GB7718-2011、GB28050-2011等相关标准及法律法规规定。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676A6C"/>
                <w:spacing w:val="0"/>
                <w:sz w:val="19"/>
                <w:szCs w:val="19"/>
                <w:shd w:val="clear" w:fill="FFFFFF"/>
                <w:lang w:val="en-US" w:eastAsia="zh-CN"/>
              </w:rPr>
              <w:t>商丘市质量技术监督检验测测试中心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Helvetica" w:hAnsi="Helvetica" w:eastAsia="宋体" w:cs="Helvetica"/>
          <w:i w:val="0"/>
          <w:caps w:val="0"/>
          <w:color w:val="676A6C"/>
          <w:spacing w:val="0"/>
          <w:sz w:val="19"/>
          <w:szCs w:val="19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7FF5"/>
    <w:rsid w:val="00A81FCD"/>
    <w:rsid w:val="00C1579F"/>
    <w:rsid w:val="025C7ED6"/>
    <w:rsid w:val="032957F1"/>
    <w:rsid w:val="032F4012"/>
    <w:rsid w:val="04821FE6"/>
    <w:rsid w:val="06D549C9"/>
    <w:rsid w:val="07640A16"/>
    <w:rsid w:val="09EC77A5"/>
    <w:rsid w:val="0A35362C"/>
    <w:rsid w:val="0AC47881"/>
    <w:rsid w:val="0BE72ABA"/>
    <w:rsid w:val="0C99362B"/>
    <w:rsid w:val="0D104BEF"/>
    <w:rsid w:val="0D3378ED"/>
    <w:rsid w:val="0DFA0C00"/>
    <w:rsid w:val="10303897"/>
    <w:rsid w:val="114E2AEB"/>
    <w:rsid w:val="11667E2E"/>
    <w:rsid w:val="118261CE"/>
    <w:rsid w:val="118B471F"/>
    <w:rsid w:val="11A97807"/>
    <w:rsid w:val="11B3759F"/>
    <w:rsid w:val="11CC1D3D"/>
    <w:rsid w:val="13063A43"/>
    <w:rsid w:val="138F61B5"/>
    <w:rsid w:val="142E7DCE"/>
    <w:rsid w:val="15483431"/>
    <w:rsid w:val="15A85E16"/>
    <w:rsid w:val="166A18DF"/>
    <w:rsid w:val="16E0709B"/>
    <w:rsid w:val="180C2308"/>
    <w:rsid w:val="190963E3"/>
    <w:rsid w:val="193B0B32"/>
    <w:rsid w:val="19C26760"/>
    <w:rsid w:val="1B8A6816"/>
    <w:rsid w:val="1BEA5D23"/>
    <w:rsid w:val="1CA338C8"/>
    <w:rsid w:val="1CDC4331"/>
    <w:rsid w:val="1D615B96"/>
    <w:rsid w:val="1F1D09B6"/>
    <w:rsid w:val="1F7A74E4"/>
    <w:rsid w:val="20254E4F"/>
    <w:rsid w:val="212323C9"/>
    <w:rsid w:val="235F1394"/>
    <w:rsid w:val="236C402D"/>
    <w:rsid w:val="23C9658A"/>
    <w:rsid w:val="23F549EB"/>
    <w:rsid w:val="240A1C7F"/>
    <w:rsid w:val="241D7361"/>
    <w:rsid w:val="24B16BC5"/>
    <w:rsid w:val="24FF048B"/>
    <w:rsid w:val="25631DB0"/>
    <w:rsid w:val="263D6067"/>
    <w:rsid w:val="27441299"/>
    <w:rsid w:val="27B05933"/>
    <w:rsid w:val="27F421E4"/>
    <w:rsid w:val="28C96C0D"/>
    <w:rsid w:val="29074821"/>
    <w:rsid w:val="29A11DCB"/>
    <w:rsid w:val="2A0040F7"/>
    <w:rsid w:val="2A7C4098"/>
    <w:rsid w:val="2A9477CD"/>
    <w:rsid w:val="2C162BF3"/>
    <w:rsid w:val="2C783182"/>
    <w:rsid w:val="2C9360F9"/>
    <w:rsid w:val="2CE6107F"/>
    <w:rsid w:val="2D693556"/>
    <w:rsid w:val="2ED158FD"/>
    <w:rsid w:val="2ED93CCA"/>
    <w:rsid w:val="2F69130F"/>
    <w:rsid w:val="2F992AAC"/>
    <w:rsid w:val="30A27C1D"/>
    <w:rsid w:val="33123EBF"/>
    <w:rsid w:val="33130542"/>
    <w:rsid w:val="331B0A24"/>
    <w:rsid w:val="33CB5DC6"/>
    <w:rsid w:val="345063A2"/>
    <w:rsid w:val="35D85AEA"/>
    <w:rsid w:val="361F2BE1"/>
    <w:rsid w:val="36377DD8"/>
    <w:rsid w:val="368505C3"/>
    <w:rsid w:val="36A553C1"/>
    <w:rsid w:val="36C96C22"/>
    <w:rsid w:val="3784452A"/>
    <w:rsid w:val="37901B7C"/>
    <w:rsid w:val="37A67C0D"/>
    <w:rsid w:val="381372C0"/>
    <w:rsid w:val="38D62128"/>
    <w:rsid w:val="390D2407"/>
    <w:rsid w:val="391D404B"/>
    <w:rsid w:val="39292D95"/>
    <w:rsid w:val="3941257E"/>
    <w:rsid w:val="39471594"/>
    <w:rsid w:val="39DF7C5E"/>
    <w:rsid w:val="3A8D5422"/>
    <w:rsid w:val="3AAC4FA0"/>
    <w:rsid w:val="3B214B35"/>
    <w:rsid w:val="3C084CB6"/>
    <w:rsid w:val="3C3B16A9"/>
    <w:rsid w:val="3C3C1799"/>
    <w:rsid w:val="3D875A3D"/>
    <w:rsid w:val="3E9129E9"/>
    <w:rsid w:val="3F1E3E89"/>
    <w:rsid w:val="3F9E2FBF"/>
    <w:rsid w:val="405B777E"/>
    <w:rsid w:val="40874F8D"/>
    <w:rsid w:val="40974ACE"/>
    <w:rsid w:val="40F50F9D"/>
    <w:rsid w:val="41720ED3"/>
    <w:rsid w:val="41F242DB"/>
    <w:rsid w:val="42DD0BE2"/>
    <w:rsid w:val="43265C8E"/>
    <w:rsid w:val="43372DEB"/>
    <w:rsid w:val="44B063C3"/>
    <w:rsid w:val="452003E5"/>
    <w:rsid w:val="45B8104C"/>
    <w:rsid w:val="45BE5328"/>
    <w:rsid w:val="462B2C32"/>
    <w:rsid w:val="463D3F8F"/>
    <w:rsid w:val="465F5B7A"/>
    <w:rsid w:val="474B6561"/>
    <w:rsid w:val="48DD268D"/>
    <w:rsid w:val="4A486040"/>
    <w:rsid w:val="4A8850F7"/>
    <w:rsid w:val="4BFF080C"/>
    <w:rsid w:val="4C6D0966"/>
    <w:rsid w:val="4CFB656D"/>
    <w:rsid w:val="4D2E5FC8"/>
    <w:rsid w:val="4D7C07AB"/>
    <w:rsid w:val="4E1A3CC7"/>
    <w:rsid w:val="4F11140D"/>
    <w:rsid w:val="4F7512A3"/>
    <w:rsid w:val="4F7755B1"/>
    <w:rsid w:val="4F9B6E97"/>
    <w:rsid w:val="505066BB"/>
    <w:rsid w:val="50BE35C1"/>
    <w:rsid w:val="510021FE"/>
    <w:rsid w:val="51DA41BE"/>
    <w:rsid w:val="52555AFE"/>
    <w:rsid w:val="53A528EE"/>
    <w:rsid w:val="53AA4DFD"/>
    <w:rsid w:val="53DC78EF"/>
    <w:rsid w:val="542A2D2D"/>
    <w:rsid w:val="546C3542"/>
    <w:rsid w:val="54A70A21"/>
    <w:rsid w:val="556628C0"/>
    <w:rsid w:val="55E66560"/>
    <w:rsid w:val="561F5D20"/>
    <w:rsid w:val="5638408A"/>
    <w:rsid w:val="564342F1"/>
    <w:rsid w:val="56CF7DE9"/>
    <w:rsid w:val="56D01EAE"/>
    <w:rsid w:val="578E0DAE"/>
    <w:rsid w:val="57AD2A48"/>
    <w:rsid w:val="57AF4432"/>
    <w:rsid w:val="57E81BD5"/>
    <w:rsid w:val="57F23FD5"/>
    <w:rsid w:val="5B467FA5"/>
    <w:rsid w:val="5BC2677D"/>
    <w:rsid w:val="5C155354"/>
    <w:rsid w:val="5C907F48"/>
    <w:rsid w:val="5D1B0C4B"/>
    <w:rsid w:val="5E3D7463"/>
    <w:rsid w:val="5EDF7E20"/>
    <w:rsid w:val="5FB527E8"/>
    <w:rsid w:val="60874BF2"/>
    <w:rsid w:val="60FD1FBE"/>
    <w:rsid w:val="62F16540"/>
    <w:rsid w:val="62FC39AA"/>
    <w:rsid w:val="63205CD3"/>
    <w:rsid w:val="634D25EF"/>
    <w:rsid w:val="63635021"/>
    <w:rsid w:val="63BB3DAB"/>
    <w:rsid w:val="63E502AF"/>
    <w:rsid w:val="64614F27"/>
    <w:rsid w:val="64B35017"/>
    <w:rsid w:val="654B5BD6"/>
    <w:rsid w:val="65B77FF5"/>
    <w:rsid w:val="65FF7744"/>
    <w:rsid w:val="66316A31"/>
    <w:rsid w:val="67461EF9"/>
    <w:rsid w:val="679D02A2"/>
    <w:rsid w:val="68FF002D"/>
    <w:rsid w:val="69AC1FF7"/>
    <w:rsid w:val="6A083268"/>
    <w:rsid w:val="6B9A5032"/>
    <w:rsid w:val="6BE22CDD"/>
    <w:rsid w:val="6D690D3D"/>
    <w:rsid w:val="6DA6296E"/>
    <w:rsid w:val="6E052814"/>
    <w:rsid w:val="6EFF1056"/>
    <w:rsid w:val="7001515C"/>
    <w:rsid w:val="706D0FBB"/>
    <w:rsid w:val="71DA779C"/>
    <w:rsid w:val="72C618AD"/>
    <w:rsid w:val="734779F9"/>
    <w:rsid w:val="736163D4"/>
    <w:rsid w:val="73B751A2"/>
    <w:rsid w:val="74980A80"/>
    <w:rsid w:val="74AE4A5C"/>
    <w:rsid w:val="77630F22"/>
    <w:rsid w:val="77CA16D0"/>
    <w:rsid w:val="7831379E"/>
    <w:rsid w:val="79055875"/>
    <w:rsid w:val="796B6A96"/>
    <w:rsid w:val="79C14CBC"/>
    <w:rsid w:val="7AA31FB0"/>
    <w:rsid w:val="7AEC05EF"/>
    <w:rsid w:val="7BA95D73"/>
    <w:rsid w:val="7BB726E3"/>
    <w:rsid w:val="7BDC0E0D"/>
    <w:rsid w:val="7C192F2F"/>
    <w:rsid w:val="7D2F00DA"/>
    <w:rsid w:val="7D822ADB"/>
    <w:rsid w:val="7E333E83"/>
    <w:rsid w:val="7EC97EE5"/>
    <w:rsid w:val="7F193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font11"/>
    <w:basedOn w:val="6"/>
    <w:qFormat/>
    <w:uiPriority w:val="0"/>
    <w:rPr>
      <w:rFonts w:hint="default" w:ascii="Arial" w:hAnsi="Arial" w:cs="Arial"/>
      <w:color w:val="808080"/>
      <w:sz w:val="20"/>
      <w:szCs w:val="20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  <w:style w:type="character" w:customStyle="1" w:styleId="17">
    <w:name w:val="font41"/>
    <w:basedOn w:val="6"/>
    <w:qFormat/>
    <w:uiPriority w:val="0"/>
    <w:rPr>
      <w:rFonts w:hint="default" w:ascii="Arial" w:hAnsi="Arial" w:cs="Arial"/>
      <w:color w:val="676A6C"/>
      <w:sz w:val="20"/>
      <w:szCs w:val="20"/>
      <w:u w:val="none"/>
    </w:rPr>
  </w:style>
  <w:style w:type="character" w:customStyle="1" w:styleId="18">
    <w:name w:val="label10"/>
    <w:basedOn w:val="6"/>
    <w:qFormat/>
    <w:uiPriority w:val="0"/>
    <w:rPr>
      <w:color w:val="1AB394"/>
      <w:shd w:val="clear" w:fill="FFFFFF"/>
    </w:rPr>
  </w:style>
  <w:style w:type="character" w:customStyle="1" w:styleId="19">
    <w:name w:val="label11"/>
    <w:basedOn w:val="6"/>
    <w:qFormat/>
    <w:uiPriority w:val="0"/>
    <w:rPr>
      <w:color w:val="1CC09F"/>
      <w:shd w:val="clear" w:fill="FFFFFF"/>
    </w:rPr>
  </w:style>
  <w:style w:type="character" w:customStyle="1" w:styleId="20">
    <w:name w:val="label12"/>
    <w:basedOn w:val="6"/>
    <w:qFormat/>
    <w:uiPriority w:val="0"/>
  </w:style>
  <w:style w:type="character" w:customStyle="1" w:styleId="21">
    <w:name w:val="label13"/>
    <w:basedOn w:val="6"/>
    <w:qFormat/>
    <w:uiPriority w:val="0"/>
  </w:style>
  <w:style w:type="character" w:customStyle="1" w:styleId="22">
    <w:name w:val="hover11"/>
    <w:basedOn w:val="6"/>
    <w:qFormat/>
    <w:uiPriority w:val="0"/>
    <w:rPr>
      <w:shd w:val="clear" w:fill="EEEEEE"/>
    </w:rPr>
  </w:style>
  <w:style w:type="character" w:customStyle="1" w:styleId="23">
    <w:name w:val="old"/>
    <w:basedOn w:val="6"/>
    <w:qFormat/>
    <w:uiPriority w:val="0"/>
    <w:rPr>
      <w:color w:val="999999"/>
    </w:rPr>
  </w:style>
  <w:style w:type="character" w:customStyle="1" w:styleId="24">
    <w:name w:val="new"/>
    <w:basedOn w:val="6"/>
    <w:qFormat/>
    <w:uiPriority w:val="0"/>
    <w:rPr>
      <w:color w:val="999999"/>
    </w:rPr>
  </w:style>
  <w:style w:type="character" w:customStyle="1" w:styleId="25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6">
    <w:name w:val="first-child"/>
    <w:basedOn w:val="6"/>
    <w:qFormat/>
    <w:uiPriority w:val="0"/>
  </w:style>
  <w:style w:type="character" w:customStyle="1" w:styleId="27">
    <w:name w:val="active7"/>
    <w:basedOn w:val="6"/>
    <w:qFormat/>
    <w:uiPriority w:val="0"/>
    <w:rPr>
      <w:shd w:val="clear" w:fill="F6F6F6"/>
    </w:rPr>
  </w:style>
  <w:style w:type="character" w:customStyle="1" w:styleId="28">
    <w:name w:val="label"/>
    <w:basedOn w:val="6"/>
    <w:qFormat/>
    <w:uiPriority w:val="0"/>
    <w:rPr>
      <w:color w:val="1AB394"/>
      <w:shd w:val="clear" w:fill="FFFFFF"/>
    </w:rPr>
  </w:style>
  <w:style w:type="character" w:customStyle="1" w:styleId="29">
    <w:name w:val="label1"/>
    <w:basedOn w:val="6"/>
    <w:qFormat/>
    <w:uiPriority w:val="0"/>
    <w:rPr>
      <w:color w:val="1CC09F"/>
      <w:shd w:val="clear" w:fill="FFFFFF"/>
    </w:rPr>
  </w:style>
  <w:style w:type="character" w:customStyle="1" w:styleId="30">
    <w:name w:val="label2"/>
    <w:basedOn w:val="6"/>
    <w:qFormat/>
    <w:uiPriority w:val="0"/>
  </w:style>
  <w:style w:type="character" w:customStyle="1" w:styleId="31">
    <w:name w:val="label3"/>
    <w:basedOn w:val="6"/>
    <w:qFormat/>
    <w:uiPriority w:val="0"/>
  </w:style>
  <w:style w:type="character" w:customStyle="1" w:styleId="32">
    <w:name w:val="font31"/>
    <w:basedOn w:val="6"/>
    <w:qFormat/>
    <w:uiPriority w:val="0"/>
    <w:rPr>
      <w:rFonts w:hint="eastAsia" w:ascii="宋体" w:hAnsi="宋体" w:eastAsia="宋体" w:cs="宋体"/>
      <w:color w:val="FF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2019-11-20T01:58:00Z</dcterms:created>
  <dc:creator>lenovo</dc:creator>
  <cp:lastModifiedBy>Administrator</cp:lastModifiedBy>
  <cp:lastPrinted>2020-03-27T01:35:00Z</cp:lastPrinted>
  <dcterms:modified xsi:type="dcterms:W3CDTF">2020-11-23T01:55:55Z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